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is an extraordinarily rich dataset. Let me now synthesize everything into the comprehensive multi-section analysis you’ve requested.</w:t>
      </w:r>
    </w:p>
    <w:p>
      <w:r>
        <w:pict>
          <v:rect style="width:0;height:1.5pt" o:hralign="center" o:hrstd="t" o:hr="t"/>
        </w:pict>
      </w:r>
    </w:p>
    <w:p>
      <w:pPr>
        <w:pStyle w:val="Heading1"/>
      </w:pPr>
      <w:bookmarkStart w:id="20" w:name="Xafca3a9cffcd133d0a33e752199d597173ef67e"/>
      <w:r>
        <w:t xml:space="preserve">LUNAR ENERGY, INC. — SENIOR EQUITY RESEARCH: DEEP OPERATIONAL &amp; FINANCIAL DUE DILIGENCE</w:t>
      </w:r>
      <w:bookmarkEnd w:id="20"/>
    </w:p>
    <w:p>
      <w:pPr>
        <w:pStyle w:val="FirstParagraph"/>
      </w:pPr>
      <w:r>
        <w:rPr>
          <w:b/>
        </w:rPr>
        <w:t xml:space="preserve">Prepared:</w:t>
      </w:r>
      <w:r>
        <w:t xml:space="preserve"> </w:t>
      </w:r>
      <w:r>
        <w:t xml:space="preserve">February 2026 |</w:t>
      </w:r>
      <w:r>
        <w:t xml:space="preserve"> </w:t>
      </w:r>
      <w:r>
        <w:rPr>
          <w:b/>
        </w:rPr>
        <w:t xml:space="preserve">Classification:</w:t>
      </w:r>
      <w:r>
        <w:t xml:space="preserve"> </w:t>
      </w:r>
      <w:r>
        <w:t xml:space="preserve">Confidential — For Institutional Use Only</w:t>
      </w:r>
      <w:r>
        <w:t xml:space="preserve"> </w:t>
      </w:r>
      <w:r>
        <w:rPr>
          <w:b/>
        </w:rPr>
        <w:t xml:space="preserve">Coverage Universe:</w:t>
      </w:r>
      <w:r>
        <w:t xml:space="preserve"> </w:t>
      </w:r>
      <w:r>
        <w:t xml:space="preserve">Private, Venture-Backed Residential Battery Storage</w:t>
      </w:r>
      <w:r>
        <w:t xml:space="preserve"> </w:t>
      </w:r>
      <w:r>
        <w:rPr>
          <w:b/>
        </w:rPr>
        <w:t xml:space="preserve">Total Verified Funding:</w:t>
      </w:r>
      <w:r>
        <w:t xml:space="preserve"> </w:t>
      </w:r>
      <w:r>
        <w:t xml:space="preserve">$532M |</w:t>
      </w:r>
      <w:r>
        <w:t xml:space="preserve"> </w:t>
      </w:r>
      <w:r>
        <w:rPr>
          <w:b/>
        </w:rPr>
        <w:t xml:space="preserve">Revenue (est. FY2025):</w:t>
      </w:r>
      <w:r>
        <w:t xml:space="preserve"> </w:t>
      </w:r>
      <w:r>
        <w:t xml:space="preserve">~$35M |</w:t>
      </w:r>
      <w:r>
        <w:t xml:space="preserve"> </w:t>
      </w:r>
      <w:r>
        <w:rPr>
          <w:b/>
        </w:rPr>
        <w:t xml:space="preserve">Employees:</w:t>
      </w:r>
      <w:r>
        <w:t xml:space="preserve"> </w:t>
      </w:r>
      <w:r>
        <w:t xml:space="preserve">226</w:t>
      </w:r>
    </w:p>
    <w:p>
      <w:r>
        <w:pict>
          <v:rect style="width:0;height:1.5pt" o:hralign="center" o:hrstd="t" o:hr="t"/>
        </w:pict>
      </w:r>
    </w:p>
    <w:p>
      <w:pPr>
        <w:pStyle w:val="Heading2"/>
      </w:pPr>
      <w:bookmarkStart w:id="21" w:name="section"/>
      <w:r>
        <w:t xml:space="preserve">─────────────────────────────────────────</w:t>
      </w:r>
      <w:bookmarkEnd w:id="21"/>
    </w:p>
    <w:p>
      <w:pPr>
        <w:pStyle w:val="Heading2"/>
      </w:pPr>
      <w:bookmarkStart w:id="22" w:name="Xfde56f49e574709990065d21e7b0765d96773cc"/>
      <w:r>
        <w:t xml:space="preserve">SECTION 1: MANUFACTURING OPERATIONS — FACILITY-BY-FACILITY ANALYSIS</w:t>
      </w:r>
      <w:bookmarkEnd w:id="22"/>
    </w:p>
    <w:p>
      <w:pPr>
        <w:pStyle w:val="Heading2"/>
      </w:pPr>
      <w:bookmarkStart w:id="23" w:name="section-1"/>
      <w:r>
        <w:t xml:space="preserve">─────────────────────────────────────────</w:t>
      </w:r>
      <w:bookmarkEnd w:id="23"/>
    </w:p>
    <w:p>
      <w:pPr>
        <w:pStyle w:val="Heading3"/>
      </w:pPr>
      <w:bookmarkStart w:id="24" w:name="X2da0d5d3e1dee6a6efdacaea579fd4d5ab500f0"/>
      <w:r>
        <w:t xml:space="preserve">1A. Mountain View, California — 755 Ravendale Drive (HQ + Primary Manufacturing)</w:t>
      </w:r>
      <w:bookmarkEnd w:id="24"/>
    </w:p>
    <w:p>
      <w:pPr>
        <w:pStyle w:val="FirstParagraph"/>
      </w:pPr>
      <w:r>
        <w:rPr>
          <w:b/>
        </w:rPr>
        <w:t xml:space="preserve">Facility Classification: R&amp;D Pilot Line / Low-Volume Production + Engineering HQ</w:t>
      </w:r>
    </w:p>
    <w:p>
      <w:pPr>
        <w:pStyle w:val="BodyText"/>
      </w:pPr>
      <w:r>
        <w:t xml:space="preserve">Lunar Energy has built a 35,000-square-foot manufacturing facility in Mountain View, according to CEO Girotra.</w:t>
      </w:r>
    </w:p>
    <w:p>
      <w:pPr>
        <w:pStyle w:val="BodyText"/>
      </w:pPr>
      <w:r>
        <w:t xml:space="preserve">The company’s headquarters is confirmed at 755 Ravendale Drive, Mountain View.</w:t>
      </w:r>
    </w:p>
    <w:p>
      <w:pPr>
        <w:pStyle w:val="BodyText"/>
      </w:pPr>
      <w:r>
        <w:rPr>
          <w:b/>
        </w:rPr>
        <w:t xml:space="preserve">Nature of Operations:</w:t>
      </w:r>
      <w:r>
        <w:t xml:space="preserve"> </w:t>
      </w:r>
      <w:r>
        <w:t xml:space="preserve">The Mountain View facility is best classified as a</w:t>
      </w:r>
      <w:r>
        <w:t xml:space="preserve"> </w:t>
      </w:r>
      <w:r>
        <w:rPr>
          <w:b/>
        </w:rPr>
        <w:t xml:space="preserve">hybrid engineering lab and low-volume pilot line</w:t>
      </w:r>
      <w:r>
        <w:t xml:space="preserve">, not a true production facility. This assessment is supported by multiple data points:</w:t>
      </w:r>
    </w:p>
    <w:p>
      <w:pPr>
        <w:numPr>
          <w:ilvl w:val="0"/>
          <w:numId w:val="1001"/>
        </w:numPr>
      </w:pPr>
      <w:r>
        <w:t xml:space="preserve">At a stated current</w:t>
      </w:r>
      <w:r>
        <w:t xml:space="preserve"> </w:t>
      </w:r>
      <w:r>
        <w:rPr>
          <w:b/>
        </w:rPr>
        <w:t xml:space="preserve">manufacturing capacity of ~10,000 systems/year</w:t>
      </w:r>
      <w:r>
        <w:t xml:space="preserve"> </w:t>
      </w:r>
      <w:r>
        <w:t xml:space="preserve">across</w:t>
      </w:r>
      <w:r>
        <w:t xml:space="preserve"> </w:t>
      </w:r>
      <w:r>
        <w:rPr>
          <w:i/>
        </w:rPr>
        <w:t xml:space="preserve">three</w:t>
      </w:r>
      <w:r>
        <w:t xml:space="preserve"> </w:t>
      </w:r>
      <w:r>
        <w:t xml:space="preserve">facilities (CA, GA, WA), the Mountain View facility’s contribution is almost certainly the smallest.</w:t>
      </w:r>
      <w:r>
        <w:t xml:space="preserve"> </w:t>
      </w:r>
      <w:r>
        <w:t xml:space="preserve">Lunar currently designs its products in California and assembles them in Georgia and Washington.</w:t>
      </w:r>
      <w:r>
        <w:t xml:space="preserve"> </w:t>
      </w:r>
      <w:r>
        <w:t xml:space="preserve">The deliberate use of the word</w:t>
      </w:r>
      <w:r>
        <w:t xml:space="preserve"> </w:t>
      </w:r>
      <w:r>
        <w:t xml:space="preserve">“</w:t>
      </w:r>
      <w:r>
        <w:t xml:space="preserve">designs</w:t>
      </w:r>
      <w:r>
        <w:t xml:space="preserve">”</w:t>
      </w:r>
      <w:r>
        <w:t xml:space="preserve"> </w:t>
      </w:r>
      <w:r>
        <w:t xml:space="preserve">(not</w:t>
      </w:r>
      <w:r>
        <w:t xml:space="preserve"> </w:t>
      </w:r>
      <w:r>
        <w:t xml:space="preserve">“</w:t>
      </w:r>
      <w:r>
        <w:t xml:space="preserve">assembles</w:t>
      </w:r>
      <w:r>
        <w:t xml:space="preserve">”</w:t>
      </w:r>
      <w:r>
        <w:t xml:space="preserve">) for California, and</w:t>
      </w:r>
      <w:r>
        <w:t xml:space="preserve"> </w:t>
      </w:r>
      <w:r>
        <w:t xml:space="preserve">“</w:t>
      </w:r>
      <w:r>
        <w:t xml:space="preserve">assembles</w:t>
      </w:r>
      <w:r>
        <w:t xml:space="preserve">”</w:t>
      </w:r>
      <w:r>
        <w:t xml:space="preserve"> </w:t>
      </w:r>
      <w:r>
        <w:t xml:space="preserve">for the other two states, is a critical linguistic tell. This indicates Mountain View is</w:t>
      </w:r>
      <w:r>
        <w:t xml:space="preserve"> </w:t>
      </w:r>
      <w:r>
        <w:rPr>
          <w:b/>
        </w:rPr>
        <w:t xml:space="preserve">primarily a design, engineering, and product development center</w:t>
      </w:r>
      <w:r>
        <w:t xml:space="preserve">, with assembly operations concentrated elsewhere.</w:t>
      </w:r>
    </w:p>
    <w:p>
      <w:pPr>
        <w:numPr>
          <w:ilvl w:val="0"/>
          <w:numId w:val="1001"/>
        </w:numPr>
      </w:pPr>
      <w:r>
        <w:t xml:space="preserve">Lunar has built a team of nearly 250 employees globally, most of whom are a mix of hardware, firmware and software engineers designing and building energy products in its Mountain View, CA and London, UK offices.</w:t>
      </w:r>
      <w:r>
        <w:t xml:space="preserve"> </w:t>
      </w:r>
      <w:r>
        <w:t xml:space="preserve">The preponderance of</w:t>
      </w:r>
      <w:r>
        <w:t xml:space="preserve"> </w:t>
      </w:r>
      <w:r>
        <w:rPr>
          <w:i/>
        </w:rPr>
        <w:t xml:space="preserve">engineers</w:t>
      </w:r>
      <w:r>
        <w:t xml:space="preserve"> </w:t>
      </w:r>
      <w:r>
        <w:t xml:space="preserve">(not assembly technicians) in Mountain View confirms this read. The London office (acquired via Moixa) handles software/GridShare engineering.</w:t>
      </w:r>
    </w:p>
    <w:p>
      <w:pPr>
        <w:numPr>
          <w:ilvl w:val="0"/>
          <w:numId w:val="1001"/>
        </w:numPr>
      </w:pPr>
      <w:r>
        <w:t xml:space="preserve">The facility almost certainly houses: (a) prototype development and validation lines; (b) environmental and reliability testing chambers (</w:t>
      </w:r>
      <w:r>
        <w:t xml:space="preserve">“</w:t>
      </w:r>
      <w:r>
        <w:t xml:space="preserve">Lunar Reliability Labs</w:t>
      </w:r>
      <w:r>
        <w:t xml:space="preserve">”</w:t>
      </w:r>
      <w:r>
        <w:t xml:space="preserve"> </w:t>
      </w:r>
      <w:r>
        <w:t xml:space="preserve">is a known brand term); (c) quality control stations for pre-production sign-off; (d) electrical safety certification testing (UL 9540, UL 1973 equivalent); and (e) executive offices, sales, finance, legal, and supply chain functions.</w:t>
      </w:r>
    </w:p>
    <w:p>
      <w:pPr>
        <w:pStyle w:val="FirstParagraph"/>
      </w:pPr>
      <w:r>
        <w:rPr>
          <w:b/>
        </w:rPr>
        <w:t xml:space="preserve">Staffing Estimate:</w:t>
      </w:r>
      <w:r>
        <w:t xml:space="preserve"> </w:t>
      </w:r>
      <w:r>
        <w:t xml:space="preserve">- Total employees company-wide:</w:t>
      </w:r>
      <w:r>
        <w:t xml:space="preserve"> </w:t>
      </w:r>
      <w:r>
        <w:t xml:space="preserve">226.</w:t>
      </w:r>
    </w:p>
    <w:p>
      <w:pPr>
        <w:numPr>
          <w:ilvl w:val="0"/>
          <w:numId w:val="1002"/>
        </w:numPr>
        <w:pStyle w:val="Compact"/>
      </w:pPr>
      <w:r>
        <w:t xml:space="preserve">London office (Moixa GridShare/software team): est. 40–60 employees</w:t>
      </w:r>
    </w:p>
    <w:p>
      <w:pPr>
        <w:numPr>
          <w:ilvl w:val="0"/>
          <w:numId w:val="1002"/>
        </w:numPr>
        <w:pStyle w:val="Compact"/>
      </w:pPr>
      <w:r>
        <w:t xml:space="preserve">Mountain View: est. 140–160 employees, of which roughly</w:t>
      </w:r>
      <w:r>
        <w:t xml:space="preserve"> </w:t>
      </w:r>
      <w:r>
        <w:rPr>
          <w:b/>
        </w:rPr>
        <w:t xml:space="preserve">120–135 are engineers/professionals</w:t>
      </w:r>
      <w:r>
        <w:t xml:space="preserve"> </w:t>
      </w:r>
      <w:r>
        <w:t xml:space="preserve">and</w:t>
      </w:r>
      <w:r>
        <w:t xml:space="preserve"> </w:t>
      </w:r>
      <w:r>
        <w:rPr>
          <w:b/>
        </w:rPr>
        <w:t xml:space="preserve">15–25 are manufacturing/assembly technicians and lab staff</w:t>
      </w:r>
    </w:p>
    <w:p>
      <w:pPr>
        <w:pStyle w:val="FirstParagraph"/>
      </w:pPr>
      <w:r>
        <w:rPr>
          <w:b/>
        </w:rPr>
        <w:t xml:space="preserve">Lease Cost (Market Benchmark):</w:t>
      </w:r>
    </w:p>
    <w:p>
      <w:pPr>
        <w:pStyle w:val="BodyText"/>
      </w:pPr>
      <w:r>
        <w:t xml:space="preserve">The average asking rent in Mountain View for industrial space is $44.01 per square foot.</w:t>
      </w:r>
      <w:r>
        <w:t xml:space="preserve"> </w:t>
      </w:r>
      <w:r>
        <w:t xml:space="preserve">Some brokers report a range of</w:t>
      </w:r>
      <w:r>
        <w:t xml:space="preserve"> </w:t>
      </w:r>
      <w:r>
        <w:t xml:space="preserve">approximately $33 per square foot on the lower end,</w:t>
      </w:r>
      <w:r>
        <w:t xml:space="preserve"> </w:t>
      </w:r>
      <w:r>
        <w:t xml:space="preserve">with R&amp;D-industrial flex space commanding premiums. For a 35,000 sq ft facility with lab buildout, a reasonable estimate is</w:t>
      </w:r>
      <w:r>
        <w:t xml:space="preserve"> </w:t>
      </w:r>
      <w:r>
        <w:rPr>
          <w:b/>
        </w:rPr>
        <w:t xml:space="preserve">$38–$44/sq ft NNN</w:t>
      </w:r>
      <w:r>
        <w:t xml:space="preserve">, yielding an</w:t>
      </w:r>
      <w:r>
        <w:t xml:space="preserve"> </w:t>
      </w:r>
      <w:r>
        <w:rPr>
          <w:b/>
        </w:rPr>
        <w:t xml:space="preserve">annual occupancy cost of approximately $1.33M–$1.54M/year</w:t>
      </w:r>
      <w:r>
        <w:t xml:space="preserve"> </w:t>
      </w:r>
      <w:r>
        <w:t xml:space="preserve">in base rent, before NNN charges (taxes, insurance, CAM) which typically add 15–25% in the South Bay. Total occupancy burden: likely</w:t>
      </w:r>
      <w:r>
        <w:t xml:space="preserve"> </w:t>
      </w:r>
      <w:r>
        <w:rPr>
          <w:b/>
        </w:rPr>
        <w:t xml:space="preserve">$1.5M–$2.0M/year.</w:t>
      </w:r>
    </w:p>
    <w:p>
      <w:pPr>
        <w:pStyle w:val="BodyText"/>
      </w:pPr>
      <w:r>
        <w:rPr>
          <w:b/>
        </w:rPr>
        <w:t xml:space="preserve">Annual Unit Throughput:</w:t>
      </w:r>
      <w:r>
        <w:t xml:space="preserve"> </w:t>
      </w:r>
      <w:r>
        <w:t xml:space="preserve">Estimated at</w:t>
      </w:r>
      <w:r>
        <w:t xml:space="preserve"> </w:t>
      </w:r>
      <w:r>
        <w:rPr>
          <w:b/>
        </w:rPr>
        <w:t xml:space="preserve">zero to a few hundred pilot/validation units/year</w:t>
      </w:r>
      <w:r>
        <w:t xml:space="preserve">. This facility is not a production throughput driver. It may produce engineering samples, validation units, and potentially small batches of pre-production hardware for installer training and certification purposes.</w:t>
      </w:r>
    </w:p>
    <w:p>
      <w:pPr>
        <w:pStyle w:val="BodyText"/>
      </w:pPr>
      <w:r>
        <w:rPr>
          <w:b/>
        </w:rPr>
        <w:t xml:space="preserve">Bottleneck Assessment:</w:t>
      </w:r>
      <w:r>
        <w:t xml:space="preserve"> </w:t>
      </w:r>
      <w:r>
        <w:t xml:space="preserve">Not a throughput bottleneck in the traditional sense — it is a</w:t>
      </w:r>
      <w:r>
        <w:t xml:space="preserve"> </w:t>
      </w:r>
      <w:r>
        <w:rPr>
          <w:b/>
        </w:rPr>
        <w:t xml:space="preserve">design and validation bottleneck</w:t>
      </w:r>
      <w:r>
        <w:t xml:space="preserve"> </w:t>
      </w:r>
      <w:r>
        <w:t xml:space="preserve">insofar as design changes, engineering sign-offs, and quality protocols must flow from here before being scaled in GA and WA. As a production facility it has largely been superseded by the other two sites.</w:t>
      </w:r>
    </w:p>
    <w:p>
      <w:pPr>
        <w:pStyle w:val="BodyText"/>
      </w:pPr>
      <w:r>
        <w:rPr>
          <w:b/>
        </w:rPr>
        <w:t xml:space="preserve">Utilization Rate:</w:t>
      </w:r>
      <w:r>
        <w:t xml:space="preserve"> </w:t>
      </w:r>
      <w:r>
        <w:t xml:space="preserve">Manufacturing floor space utilization estimated at</w:t>
      </w:r>
      <w:r>
        <w:t xml:space="preserve"> </w:t>
      </w:r>
      <w:r>
        <w:rPr>
          <w:b/>
        </w:rPr>
        <w:t xml:space="preserve">15–25%</w:t>
      </w:r>
      <w:r>
        <w:t xml:space="preserve">. This represents a significant fixed cost drag at current volumes.</w:t>
      </w:r>
    </w:p>
    <w:p>
      <w:pPr>
        <w:pStyle w:val="BodyText"/>
      </w:pPr>
      <w:r>
        <w:rPr>
          <w:b/>
        </w:rPr>
        <w:t xml:space="preserve">Waste/Byproducts:</w:t>
      </w:r>
      <w:r>
        <w:t xml:space="preserve"> </w:t>
      </w:r>
      <w:r>
        <w:t xml:space="preserve">Prototype battery cells (both LFP and potentially NMC-variant test chemistries), scrapped PCBs, electronic assemblies, enclosure prototypes. These likely flow to California-licensed e-waste recyclers. Battery hazmat disposal adds incremental cost. No evidence of a formal refurbishment/recycling operation.</w:t>
      </w:r>
    </w:p>
    <w:p>
      <w:r>
        <w:pict>
          <v:rect style="width:0;height:1.5pt" o:hralign="center" o:hrstd="t" o:hr="t"/>
        </w:pict>
      </w:r>
    </w:p>
    <w:p>
      <w:pPr>
        <w:pStyle w:val="Heading3"/>
      </w:pPr>
      <w:bookmarkStart w:id="25" w:name="b.-georgia-factory-sk-group-partnership"/>
      <w:r>
        <w:t xml:space="preserve">1B. Georgia Factory (SK Group Partnership)</w:t>
      </w:r>
      <w:bookmarkEnd w:id="25"/>
    </w:p>
    <w:p>
      <w:pPr>
        <w:pStyle w:val="FirstParagraph"/>
      </w:pPr>
      <w:r>
        <w:rPr>
          <w:b/>
        </w:rPr>
        <w:t xml:space="preserve">Location: Commerce, Georgia (estimated — Jackson County)</w:t>
      </w:r>
    </w:p>
    <w:p>
      <w:pPr>
        <w:pStyle w:val="BodyText"/>
      </w:pPr>
      <w:r>
        <w:t xml:space="preserve">Lunar Energy is working with SK, a South Korean manufacturing company, to make new home batteries at a Georgia factory.</w:t>
      </w:r>
    </w:p>
    <w:p>
      <w:pPr>
        <w:pStyle w:val="BodyText"/>
      </w:pPr>
      <w:r>
        <w:t xml:space="preserve">SK Battery America’s plant in Commerce, Georgia is located on 283 acres along I-85 about 65 miles northeast of downtown Atlanta inside the Commerce industrial complex.</w:t>
      </w:r>
    </w:p>
    <w:p>
      <w:pPr>
        <w:pStyle w:val="BodyText"/>
      </w:pPr>
      <w:r>
        <w:rPr>
          <w:b/>
        </w:rPr>
        <w:t xml:space="preserve">The SK Connection — Contractual Structure:</w:t>
      </w:r>
      <w:r>
        <w:t xml:space="preserve"> </w:t>
      </w:r>
      <w:r>
        <w:t xml:space="preserve">The relationship between Lunar Energy and SK Group at the Georgia facility involves</w:t>
      </w:r>
      <w:r>
        <w:t xml:space="preserve"> </w:t>
      </w:r>
      <w:r>
        <w:rPr>
          <w:b/>
        </w:rPr>
        <w:t xml:space="preserve">multiple layers</w:t>
      </w:r>
      <w:r>
        <w:t xml:space="preserve"> </w:t>
      </w:r>
      <w:r>
        <w:t xml:space="preserve">that must be disentangled:</w:t>
      </w:r>
    </w:p>
    <w:p>
      <w:pPr>
        <w:numPr>
          <w:ilvl w:val="0"/>
          <w:numId w:val="1003"/>
        </w:numPr>
        <w:pStyle w:val="Compact"/>
      </w:pPr>
      <w:r>
        <w:rPr>
          <w:b/>
        </w:rPr>
        <w:t xml:space="preserve">SK Group is a strategic equity investor in Lunar Energy.</w:t>
      </w:r>
      <w:r>
        <w:t xml:space="preserve"> </w:t>
      </w:r>
      <w:r>
        <w:t xml:space="preserve">Lunar was founded in August 2020 and has raised $300 million in funding over two rounds by Sunrun and South Korea’s SK Group.</w:t>
      </w:r>
    </w:p>
    <w:p>
      <w:pPr>
        <w:pStyle w:val="FirstParagraph"/>
      </w:pPr>
      <w:r>
        <w:t xml:space="preserve">“</w:t>
      </w:r>
      <w:r>
        <w:t xml:space="preserve">The SK Group and Sunrun are investors and…strategic partners,</w:t>
      </w:r>
      <w:r>
        <w:t xml:space="preserve">”</w:t>
      </w:r>
      <w:r>
        <w:t xml:space="preserve"> </w:t>
      </w:r>
      <w:r>
        <w:t xml:space="preserve">Girotra said.</w:t>
      </w:r>
      <w:r>
        <w:t xml:space="preserve"> </w:t>
      </w:r>
      <w:r>
        <w:t xml:space="preserve">“</w:t>
      </w:r>
      <w:r>
        <w:t xml:space="preserve">SK plays partnership and supply, Sunrun plays partnership and demand.</w:t>
      </w:r>
      <w:r>
        <w:t xml:space="preserve">”</w:t>
      </w:r>
    </w:p>
    <w:p>
      <w:pPr>
        <w:numPr>
          <w:ilvl w:val="0"/>
          <w:numId w:val="1004"/>
        </w:numPr>
      </w:pPr>
      <w:r>
        <w:rPr>
          <w:b/>
        </w:rPr>
        <w:t xml:space="preserve">The Georgia operation appears to be a contract manufacturing or tolling arrangement</w:t>
      </w:r>
      <w:r>
        <w:t xml:space="preserve">, not a joint venture. SK On (formerly SK Innovation Battery) operates a</w:t>
      </w:r>
      <w:r>
        <w:t xml:space="preserve"> </w:t>
      </w:r>
      <w:r>
        <w:t xml:space="preserve">2.4 million-square-foot facility in Commerce, Georgia — SK Innovation’s first EV battery factory in the U.S.</w:t>
      </w:r>
      <w:r>
        <w:t xml:space="preserve"> </w:t>
      </w:r>
      <w:r>
        <w:t xml:space="preserve">The critical distinction is:</w:t>
      </w:r>
      <w:r>
        <w:t xml:space="preserve"> </w:t>
      </w:r>
      <w:r>
        <w:rPr>
          <w:b/>
        </w:rPr>
        <w:t xml:space="preserve">Is Lunar assembling systems at SK’s facility, or does SK supply cells/modules to a separate Lunar-leased space in the Commerce area?</w:t>
      </w:r>
      <w:r>
        <w:t xml:space="preserve"> </w:t>
      </w:r>
      <w:r>
        <w:t xml:space="preserve">Public data does not definitively resolve this. The most probable structure, based on the language used, is that Lunar has either (a) a dedicated assembly space</w:t>
      </w:r>
      <w:r>
        <w:t xml:space="preserve"> </w:t>
      </w:r>
      <w:r>
        <w:rPr>
          <w:i/>
        </w:rPr>
        <w:t xml:space="preserve">within or adjacent to</w:t>
      </w:r>
      <w:r>
        <w:t xml:space="preserve"> </w:t>
      </w:r>
      <w:r>
        <w:t xml:space="preserve">the SK Commerce campus, or (b) a separately leased facility nearby that receives SK-sourced battery cells/modules.</w:t>
      </w:r>
    </w:p>
    <w:p>
      <w:pPr>
        <w:numPr>
          <w:ilvl w:val="0"/>
          <w:numId w:val="1004"/>
        </w:numPr>
      </w:pPr>
      <w:r>
        <w:rPr>
          <w:b/>
        </w:rPr>
        <w:t xml:space="preserve">Cell supply vs. module assembly:</w:t>
      </w:r>
      <w:r>
        <w:t xml:space="preserve"> </w:t>
      </w:r>
      <w:r>
        <w:t xml:space="preserve">Given SK On’s Commerce facility primarily manufactures large-format pouch cells for EV applications (Ford, Volkswagen),</w:t>
      </w:r>
      <w:r>
        <w:t xml:space="preserve"> </w:t>
      </w:r>
      <w:r>
        <w:t xml:space="preserve">SK, which makes lithium-ion batteries for hybrid and fully electric automobiles, builds batteries for multiple vehicle manufacturers.</w:t>
      </w:r>
      <w:r>
        <w:t xml:space="preserve"> </w:t>
      </w:r>
      <w:r>
        <w:t xml:space="preserve">Lunar likely receives</w:t>
      </w:r>
      <w:r>
        <w:t xml:space="preserve"> </w:t>
      </w:r>
      <w:r>
        <w:rPr>
          <w:b/>
        </w:rPr>
        <w:t xml:space="preserve">prismatic LFP cells or module-level assemblies</w:t>
      </w:r>
      <w:r>
        <w:t xml:space="preserve"> </w:t>
      </w:r>
      <w:r>
        <w:t xml:space="preserve">from SK’s supply network (potentially from SK’s Korean operations rather than the Commerce EV-cell plant), then performs module stacking, BMS integration, and housing assembly at the Georgia site. This is a key uncertainty: if the cells are sourced from SK Korea (not the Commerce plant), then the Georgia</w:t>
      </w:r>
      <w:r>
        <w:t xml:space="preserve"> </w:t>
      </w:r>
      <w:r>
        <w:t xml:space="preserve">“</w:t>
      </w:r>
      <w:r>
        <w:t xml:space="preserve">factory</w:t>
      </w:r>
      <w:r>
        <w:t xml:space="preserve">”</w:t>
      </w:r>
      <w:r>
        <w:t xml:space="preserve"> </w:t>
      </w:r>
      <w:r>
        <w:t xml:space="preserve">is more of an</w:t>
      </w:r>
      <w:r>
        <w:t xml:space="preserve"> </w:t>
      </w:r>
      <w:r>
        <w:rPr>
          <w:b/>
        </w:rPr>
        <w:t xml:space="preserve">import-and-assemble operation</w:t>
      </w:r>
      <w:r>
        <w:t xml:space="preserve"> </w:t>
      </w:r>
      <w:r>
        <w:t xml:space="preserve">than domestic cell manufacturing.</w:t>
      </w:r>
    </w:p>
    <w:p>
      <w:pPr>
        <w:pStyle w:val="FirstParagraph"/>
      </w:pPr>
      <w:r>
        <w:rPr>
          <w:b/>
        </w:rPr>
        <w:t xml:space="preserve">Domestic Content / FEOC Implications:</w:t>
      </w:r>
    </w:p>
    <w:p>
      <w:pPr>
        <w:pStyle w:val="BodyText"/>
      </w:pPr>
      <w:r>
        <w:t xml:space="preserve">Lunar Vice President of Revenue Ed Gunn noted that the company is</w:t>
      </w:r>
      <w:r>
        <w:t xml:space="preserve"> </w:t>
      </w:r>
      <w:r>
        <w:t xml:space="preserve">“</w:t>
      </w:r>
      <w:r>
        <w:t xml:space="preserve">proudly domestic content.</w:t>
      </w:r>
      <w:r>
        <w:t xml:space="preserve">”</w:t>
      </w:r>
      <w:r>
        <w:t xml:space="preserve"> </w:t>
      </w:r>
      <w:r>
        <w:t xml:space="preserve">Girotra says this means the company’s products qualify as non-FEOC and can secure the ITC and domestic content incentives for third-party owners.</w:t>
      </w:r>
      <w:r>
        <w:t xml:space="preserve"> </w:t>
      </w:r>
      <w:r>
        <w:t xml:space="preserve">This is a</w:t>
      </w:r>
      <w:r>
        <w:t xml:space="preserve"> </w:t>
      </w:r>
      <w:r>
        <w:rPr>
          <w:i/>
        </w:rPr>
        <w:t xml:space="preserve">critical</w:t>
      </w:r>
      <w:r>
        <w:t xml:space="preserve"> </w:t>
      </w:r>
      <w:r>
        <w:t xml:space="preserve">claim that deserves scrutiny. South Korea (where SK Group is headquartered) is NOT a</w:t>
      </w:r>
      <w:r>
        <w:t xml:space="preserve"> </w:t>
      </w:r>
      <w:r>
        <w:t xml:space="preserve">“</w:t>
      </w:r>
      <w:r>
        <w:t xml:space="preserve">foreign entity of concern</w:t>
      </w:r>
      <w:r>
        <w:t xml:space="preserve">”</w:t>
      </w:r>
      <w:r>
        <w:t xml:space="preserve"> </w:t>
      </w:r>
      <w:r>
        <w:t xml:space="preserve">under current FEOC definitions (which target China, Russia, North Korea, Iran).</w:t>
      </w:r>
      <w:r>
        <w:t xml:space="preserve"> </w:t>
      </w:r>
      <w:r>
        <w:t xml:space="preserve">South Korean battery companies’ announcements have been primarily on battery cells for BESS, not BESS assembly itself. However, BESS assembly and system integration is much less capex-intensive with a shorter lead time.</w:t>
      </w:r>
      <w:r>
        <w:t xml:space="preserve"> </w:t>
      </w:r>
      <w:r>
        <w:t xml:space="preserve">So SK-supplied cells from Korea can be FEOC-compliant, which is strategically valuable for Lunar’s lease business model.</w:t>
      </w:r>
      <w:r>
        <w:t xml:space="preserve"> </w:t>
      </w:r>
      <w:r>
        <w:t xml:space="preserve">Leasing companies look for products that remain eligible for the Section 48E investment tax credit (ITC) and domestic content bonus, which require that eligible products were not manufactured using material assistance from so-called</w:t>
      </w:r>
      <w:r>
        <w:t xml:space="preserve"> </w:t>
      </w:r>
      <w:r>
        <w:t xml:space="preserve">“</w:t>
      </w:r>
      <w:r>
        <w:t xml:space="preserve">foreign entities of concern</w:t>
      </w:r>
      <w:r>
        <w:t xml:space="preserve">”</w:t>
      </w:r>
      <w:r>
        <w:t xml:space="preserve"> </w:t>
      </w:r>
      <w:r>
        <w:t xml:space="preserve">(FEOC).</w:t>
      </w:r>
    </w:p>
    <w:p>
      <w:pPr>
        <w:pStyle w:val="BodyText"/>
      </w:pPr>
      <w:r>
        <w:rPr>
          <w:b/>
        </w:rPr>
        <w:t xml:space="preserve">Capacity:</w:t>
      </w:r>
      <w:r>
        <w:t xml:space="preserve"> </w:t>
      </w:r>
      <w:r>
        <w:t xml:space="preserve">Given that Lunar’s total stated capacity is ~10,000 systems/year across three sites, Georgia is likely the</w:t>
      </w:r>
      <w:r>
        <w:t xml:space="preserve"> </w:t>
      </w:r>
      <w:r>
        <w:rPr>
          <w:b/>
        </w:rPr>
        <w:t xml:space="preserve">primary assembly site</w:t>
      </w:r>
      <w:r>
        <w:t xml:space="preserve">, responsible for an estimated 6,000–8,000 systems/year of that total. The SK relationship provides cell/module supply access and potentially facility co-location advantages.</w:t>
      </w:r>
    </w:p>
    <w:p>
      <w:pPr>
        <w:pStyle w:val="BodyText"/>
      </w:pPr>
      <w:r>
        <w:rPr>
          <w:b/>
        </w:rPr>
        <w:t xml:space="preserve">Employee Mix:</w:t>
      </w:r>
      <w:r>
        <w:t xml:space="preserve"> </w:t>
      </w:r>
      <w:r>
        <w:t xml:space="preserve">Likely a small Lunar operations team of 20–40 employees (line supervisors, quality, logistics), with facility services potentially provided by SK. The heavy engineering headcount remains in Mountain View.</w:t>
      </w:r>
    </w:p>
    <w:p>
      <w:pPr>
        <w:pStyle w:val="BodyText"/>
      </w:pPr>
      <w:r>
        <w:rPr>
          <w:b/>
        </w:rPr>
        <w:t xml:space="preserve">Waste:</w:t>
      </w:r>
      <w:r>
        <w:t xml:space="preserve"> </w:t>
      </w:r>
      <w:r>
        <w:t xml:space="preserve">Standard lithium battery manufacturing byproducts — cell scrap, electrolyte materials, packaging waste. These flow through SK’s established hazmat and waste management systems, which is an operating advantage for Lunar.</w:t>
      </w:r>
    </w:p>
    <w:p>
      <w:r>
        <w:pict>
          <v:rect style="width:0;height:1.5pt" o:hralign="center" o:hrstd="t" o:hr="t"/>
        </w:pict>
      </w:r>
    </w:p>
    <w:p>
      <w:pPr>
        <w:pStyle w:val="Heading3"/>
      </w:pPr>
      <w:bookmarkStart w:id="26" w:name="c.-washington-state-facility"/>
      <w:r>
        <w:t xml:space="preserve">1C. Washington State Facility</w:t>
      </w:r>
      <w:bookmarkEnd w:id="26"/>
    </w:p>
    <w:p>
      <w:pPr>
        <w:pStyle w:val="FirstParagraph"/>
      </w:pPr>
      <w:r>
        <w:rPr>
          <w:b/>
        </w:rPr>
        <w:t xml:space="preserve">Location and Details: Unspecified — Significant Data Gap</w:t>
      </w:r>
    </w:p>
    <w:p>
      <w:pPr>
        <w:pStyle w:val="BodyText"/>
      </w:pPr>
      <w:r>
        <w:t xml:space="preserve">The Lunar System is designed in California, and assembled in Georgia and Washington.</w:t>
      </w:r>
      <w:r>
        <w:t xml:space="preserve"> </w:t>
      </w:r>
      <w:r>
        <w:t xml:space="preserve">Beyond this confirmation, there is</w:t>
      </w:r>
      <w:r>
        <w:t xml:space="preserve"> </w:t>
      </w:r>
      <w:r>
        <w:rPr>
          <w:b/>
        </w:rPr>
        <w:t xml:space="preserve">no public disclosure</w:t>
      </w:r>
      <w:r>
        <w:t xml:space="preserve"> </w:t>
      </w:r>
      <w:r>
        <w:t xml:space="preserve">of the exact location, size, contractual structure, or capacity of the Washington State assembly facility. This is a notable due diligence gap.</w:t>
      </w:r>
    </w:p>
    <w:p>
      <w:pPr>
        <w:pStyle w:val="BodyText"/>
      </w:pPr>
      <w:r>
        <w:rPr>
          <w:b/>
        </w:rPr>
        <w:t xml:space="preserve">Operational Hypothesis:</w:t>
      </w:r>
      <w:r>
        <w:t xml:space="preserve"> </w:t>
      </w:r>
      <w:r>
        <w:t xml:space="preserve">Several factors make Washington State a logical secondary assembly location:</w:t>
      </w:r>
      <w:r>
        <w:t xml:space="preserve"> </w:t>
      </w:r>
      <w:r>
        <w:t xml:space="preserve">- Washington has no state income tax (cost advantage)</w:t>
      </w:r>
      <w:r>
        <w:t xml:space="preserve"> </w:t>
      </w:r>
      <w:r>
        <w:t xml:space="preserve">- Port of Seattle/Tacoma provides efficient Pacific Rim import access for components</w:t>
      </w:r>
      <w:r>
        <w:t xml:space="preserve"> </w:t>
      </w:r>
      <w:r>
        <w:t xml:space="preserve">- Strong manufacturing labor pool (Boeing, aerospace supply chain workers)</w:t>
      </w:r>
      <w:r>
        <w:t xml:space="preserve"> </w:t>
      </w:r>
      <w:r>
        <w:t xml:space="preserve">- Proximity to Pacific Northwest solar markets (a growing adjacent sales territory)</w:t>
      </w:r>
      <w:r>
        <w:t xml:space="preserve"> </w:t>
      </w:r>
      <w:r>
        <w:t xml:space="preserve">- State-level clean energy incentives may be available</w:t>
      </w:r>
    </w:p>
    <w:p>
      <w:pPr>
        <w:pStyle w:val="BodyText"/>
      </w:pPr>
      <w:r>
        <w:t xml:space="preserve">The Washington facility is likely a</w:t>
      </w:r>
      <w:r>
        <w:t xml:space="preserve"> </w:t>
      </w:r>
      <w:r>
        <w:rPr>
          <w:b/>
        </w:rPr>
        <w:t xml:space="preserve">smaller, secondary integration site</w:t>
      </w:r>
      <w:r>
        <w:t xml:space="preserve"> </w:t>
      </w:r>
      <w:r>
        <w:t xml:space="preserve">— perhaps 20,000–50,000 sq ft — performing final system integration, testing, and staging for Pacific Northwest distribution. Estimated throughput:</w:t>
      </w:r>
      <w:r>
        <w:t xml:space="preserve"> </w:t>
      </w:r>
      <w:r>
        <w:rPr>
          <w:b/>
        </w:rPr>
        <w:t xml:space="preserve">2,000–4,000 systems/year</w:t>
      </w:r>
      <w:r>
        <w:t xml:space="preserve">.</w:t>
      </w:r>
    </w:p>
    <w:p>
      <w:pPr>
        <w:pStyle w:val="BodyText"/>
      </w:pPr>
      <w:r>
        <w:rPr>
          <w:b/>
        </w:rPr>
        <w:t xml:space="preserve">Binding Constraints Across All Facilities:</w:t>
      </w:r>
      <w:r>
        <w:t xml:space="preserve"> </w:t>
      </w:r>
      <w:r>
        <w:t xml:space="preserve">The most binding constraint system-wide is not factory floor space but rather:</w:t>
      </w:r>
      <w:r>
        <w:t xml:space="preserve"> </w:t>
      </w:r>
      <w:r>
        <w:t xml:space="preserve">1.</w:t>
      </w:r>
      <w:r>
        <w:t xml:space="preserve"> </w:t>
      </w:r>
      <w:r>
        <w:rPr>
          <w:b/>
        </w:rPr>
        <w:t xml:space="preserve">Battery cell/module procurement volume</w:t>
      </w:r>
      <w:r>
        <w:t xml:space="preserve"> </w:t>
      </w:r>
      <w:r>
        <w:t xml:space="preserve">— at 40 MWh/year (2,000 units × 20 kWh), Lunar is below the volume thresholds that unlock tier-2 cell pricing</w:t>
      </w:r>
      <w:r>
        <w:t xml:space="preserve"> </w:t>
      </w:r>
      <w:r>
        <w:t xml:space="preserve">2.</w:t>
      </w:r>
      <w:r>
        <w:t xml:space="preserve"> </w:t>
      </w:r>
      <w:r>
        <w:rPr>
          <w:b/>
        </w:rPr>
        <w:t xml:space="preserve">Installer channel capacity</w:t>
      </w:r>
      <w:r>
        <w:t xml:space="preserve"> </w:t>
      </w:r>
      <w:r>
        <w:t xml:space="preserve">— 40+ install partners must be certified and capable of absorbing volume</w:t>
      </w:r>
      <w:r>
        <w:t xml:space="preserve"> </w:t>
      </w:r>
      <w:r>
        <w:t xml:space="preserve">3.</w:t>
      </w:r>
      <w:r>
        <w:t xml:space="preserve"> </w:t>
      </w:r>
      <w:r>
        <w:rPr>
          <w:b/>
        </w:rPr>
        <w:t xml:space="preserve">Working capital</w:t>
      </w:r>
      <w:r>
        <w:t xml:space="preserve"> </w:t>
      </w:r>
      <w:r>
        <w:t xml:space="preserve">— building inventory ahead of demand requires cash; the lease model (discussed in Section 3) adds complexity</w:t>
      </w:r>
    </w:p>
    <w:p>
      <w:r>
        <w:pict>
          <v:rect style="width:0;height:1.5pt" o:hralign="center" o:hrstd="t" o:hr="t"/>
        </w:pict>
      </w:r>
    </w:p>
    <w:p>
      <w:pPr>
        <w:pStyle w:val="Heading2"/>
      </w:pPr>
      <w:bookmarkStart w:id="27" w:name="section-2"/>
      <w:r>
        <w:t xml:space="preserve">─────────────────────────────────────────</w:t>
      </w:r>
      <w:bookmarkEnd w:id="27"/>
    </w:p>
    <w:p>
      <w:pPr>
        <w:pStyle w:val="Heading2"/>
      </w:pPr>
      <w:bookmarkStart w:id="28" w:name="X9695eaf6fbf123dd98506c424c8b2a219f4373b"/>
      <w:r>
        <w:t xml:space="preserve">SECTION 2: PRODUCT COST STRUCTURE &amp; UNIT ECONOMICS</w:t>
      </w:r>
      <w:bookmarkEnd w:id="28"/>
    </w:p>
    <w:p>
      <w:pPr>
        <w:pStyle w:val="Heading2"/>
      </w:pPr>
      <w:bookmarkStart w:id="29" w:name="section-3"/>
      <w:r>
        <w:t xml:space="preserve">─────────────────────────────────────────</w:t>
      </w:r>
      <w:bookmarkEnd w:id="29"/>
    </w:p>
    <w:p>
      <w:pPr>
        <w:pStyle w:val="Heading3"/>
      </w:pPr>
      <w:bookmarkStart w:id="30" w:name="Xfb1f80cd94ce155b54cdd3231411283d794f0e5"/>
      <w:r>
        <w:t xml:space="preserve">2A. Bottom-Up Bill of Materials (BOM) — Lunar System (20 kWh Configuration)</w:t>
      </w:r>
      <w:bookmarkEnd w:id="30"/>
    </w:p>
    <w:p>
      <w:pPr>
        <w:pStyle w:val="FirstParagraph"/>
      </w:pPr>
      <w:r>
        <w:rPr>
          <w:b/>
        </w:rPr>
        <w:t xml:space="preserve">Battery Cells (LFP, 20 kWh usable):</w:t>
      </w:r>
    </w:p>
    <w:p>
      <w:pPr>
        <w:pStyle w:val="BodyText"/>
      </w:pPr>
      <w:r>
        <w:t xml:space="preserve">According to BloombergNEF, the volume-weighted average price for lithium-ion battery packs has fallen 8% to a record low of $108 per kilowatt-hour (kWh).</w:t>
      </w:r>
      <w:r>
        <w:t xml:space="preserve"> </w:t>
      </w:r>
      <w:r>
        <w:t xml:space="preserve">However, this is a global average heavily weighted toward Chinese producers. For FEOC-compliant, Korean-sourced LFP cells (the most probable Lunar supply chain), North American pricing carries a significant premium:</w:t>
      </w:r>
    </w:p>
    <w:p>
      <w:pPr>
        <w:pStyle w:val="BodyText"/>
      </w:pPr>
      <w:r>
        <w:t xml:space="preserve">Pack prices in North America and Europe were 44% and 56% higher, respectively,</w:t>
      </w:r>
      <w:r>
        <w:t xml:space="preserve"> </w:t>
      </w:r>
      <w:r>
        <w:t xml:space="preserve">versus the Chinese average.</w:t>
      </w:r>
      <w:r>
        <w:t xml:space="preserve"> </w:t>
      </w:r>
      <w:r>
        <w:t xml:space="preserve">The lowest observed cell and pack prices were just $36/kWh and $50/kWh, respectively. These were for LFP batteries going into stationary storage applications</w:t>
      </w:r>
      <w:r>
        <w:t xml:space="preserve"> </w:t>
      </w:r>
      <w:r>
        <w:t xml:space="preserve">— but these are China-sourced. For SK-sourced Korean LFP cells at Lunar’s current volume (~40 MWh/year — a</w:t>
      </w:r>
      <w:r>
        <w:t xml:space="preserve"> </w:t>
      </w:r>
      <w:r>
        <w:rPr>
          <w:i/>
        </w:rPr>
        <w:t xml:space="preserve">tiny</w:t>
      </w:r>
      <w:r>
        <w:t xml:space="preserve"> </w:t>
      </w:r>
      <w:r>
        <w:t xml:space="preserve">order book for an industrial cell maker), a realistic cell cost estimate is:</w:t>
      </w:r>
    </w:p>
    <w:p>
      <w:pPr>
        <w:numPr>
          <w:ilvl w:val="0"/>
          <w:numId w:val="1005"/>
        </w:numPr>
        <w:pStyle w:val="Compact"/>
      </w:pPr>
      <w:r>
        <w:rPr>
          <w:b/>
        </w:rPr>
        <w:t xml:space="preserve">Cell-level LFP cost (Korean-sourced, FEOC-compliant, small volume):</w:t>
      </w:r>
      <w:r>
        <w:t xml:space="preserve"> </w:t>
      </w:r>
      <w:r>
        <w:t xml:space="preserve">$120–$160/kWh</w:t>
      </w:r>
    </w:p>
    <w:p>
      <w:pPr>
        <w:numPr>
          <w:ilvl w:val="0"/>
          <w:numId w:val="1005"/>
        </w:numPr>
        <w:pStyle w:val="Compact"/>
      </w:pPr>
      <w:r>
        <w:rPr>
          <w:b/>
        </w:rPr>
        <w:t xml:space="preserve">For a 20 kWh system:</w:t>
      </w:r>
      <w:r>
        <w:t xml:space="preserve"> </w:t>
      </w:r>
      <w:r>
        <w:rPr>
          <w:b/>
        </w:rPr>
        <w:t xml:space="preserve">$2,400–$3,200 in cell cost alone</w:t>
      </w:r>
    </w:p>
    <w:p>
      <w:pPr>
        <w:pStyle w:val="FirstParagraph"/>
      </w:pPr>
      <w:r>
        <w:t xml:space="preserve">At 10,000 units/year (40 GWh is incorrect — this is 200 MWh/year at full capacity), the economics improve modestly, but remain well above global-average pricing.</w:t>
      </w:r>
    </w:p>
    <w:p>
      <w:pPr>
        <w:pStyle w:val="BodyText"/>
      </w:pPr>
      <w:r>
        <w:rPr>
          <w:i/>
        </w:rPr>
        <w:t xml:space="preserve">Comparative note:</w:t>
      </w:r>
      <w:r>
        <w:t xml:space="preserve"> </w:t>
      </w:r>
      <w:r>
        <w:t xml:space="preserve">Average lithium-ion cell prices have fallen from US$168/kWh in 2022 to just over US$100/kWh in 2025.</w:t>
      </w:r>
      <w:r>
        <w:t xml:space="preserve"> </w:t>
      </w:r>
      <w:r>
        <w:t xml:space="preserve">Tesla, purchasing cells at scale (millions of kWh annually), likely operates at $70–$90/kWh for comparable chemistry — a</w:t>
      </w:r>
      <w:r>
        <w:t xml:space="preserve"> </w:t>
      </w:r>
      <w:r>
        <w:rPr>
          <w:b/>
        </w:rPr>
        <w:t xml:space="preserve">40–50% cost advantage over Lunar at current volumes.</w:t>
      </w:r>
    </w:p>
    <w:p>
      <w:pPr>
        <w:pStyle w:val="BodyText"/>
      </w:pPr>
      <w:r>
        <w:rPr>
          <w:b/>
        </w:rPr>
        <w:t xml:space="preserve">Power Electronics (Inverter, BMS, DC-DC Converters):</w:t>
      </w:r>
    </w:p>
    <w:p>
      <w:pPr>
        <w:pStyle w:val="BodyText"/>
      </w:pPr>
      <w:r>
        <w:t xml:space="preserve">The Lunar System includes a compact and mighty hybrid inverter rated at nearly 10 kW.</w:t>
      </w:r>
      <w:r>
        <w:t xml:space="preserve"> </w:t>
      </w:r>
      <w:r>
        <w:t xml:space="preserve">A 10 kW bidirectional hybrid inverter (DC-coupled) with integrated BMS and communications at Lunar’s volumes is estimated at</w:t>
      </w:r>
      <w:r>
        <w:t xml:space="preserve"> </w:t>
      </w:r>
      <w:r>
        <w:rPr>
          <w:b/>
        </w:rPr>
        <w:t xml:space="preserve">$600–$900 in component cost</w:t>
      </w:r>
      <w:r>
        <w:t xml:space="preserve">, with PCB and firmware costs amortized. At scale (100K/year), this falls to $350–$500. Competitive benchmarking against SolarEdge and Enphase inverter BOMs suggests this range is appropriate.</w:t>
      </w:r>
    </w:p>
    <w:p>
      <w:pPr>
        <w:pStyle w:val="BodyText"/>
      </w:pPr>
      <w:r>
        <w:rPr>
          <w:b/>
        </w:rPr>
        <w:t xml:space="preserve">Enclosure, Bridge Smart Panel, Maximizer Optimizers, Mounting Hardware:</w:t>
      </w:r>
    </w:p>
    <w:p>
      <w:pPr>
        <w:pStyle w:val="BodyText"/>
      </w:pPr>
      <w:r>
        <w:t xml:space="preserve">The Lunar System is an end-to-end solar battery including: solar Maximizers to optimize every panel, an inverter, 5 kWh battery blocks, and a Bridge (smart panel) to the grid.</w:t>
      </w:r>
    </w:p>
    <w:p>
      <w:pPr>
        <w:pStyle w:val="BodyText"/>
      </w:pPr>
      <w:r>
        <w:t xml:space="preserve">The Lunar System has only two (not the standard four to five) boxes on the wall: the Lunar Battery and the Lunar Bridge.</w:t>
      </w:r>
      <w:r>
        <w:t xml:space="preserve"> </w:t>
      </w:r>
      <w:r>
        <w:t xml:space="preserve">The integrated design reduces enclosure count. Estimated BOM costs:</w:t>
      </w:r>
      <w:r>
        <w:t xml:space="preserve"> </w:t>
      </w:r>
      <w:r>
        <w:t xml:space="preserve">- Enclosures, thermal management, structural hardware:</w:t>
      </w:r>
      <w:r>
        <w:t xml:space="preserve"> </w:t>
      </w:r>
      <w:r>
        <w:rPr>
          <w:b/>
        </w:rPr>
        <w:t xml:space="preserve">$300–$500</w:t>
      </w:r>
      <w:r>
        <w:t xml:space="preserve"> </w:t>
      </w:r>
      <w:r>
        <w:t xml:space="preserve">- Bridge smart panel (smart electrical panel equivalent):</w:t>
      </w:r>
      <w:r>
        <w:t xml:space="preserve"> </w:t>
      </w:r>
      <w:r>
        <w:rPr>
          <w:b/>
        </w:rPr>
        <w:t xml:space="preserve">$200–$350</w:t>
      </w:r>
      <w:r>
        <w:t xml:space="preserve"> </w:t>
      </w:r>
      <w:r>
        <w:t xml:space="preserve">(vs. SPAN panel at ~$1,200 retail — Lunar’s integrated approach creates significant cost efficiency here)</w:t>
      </w:r>
      <w:r>
        <w:t xml:space="preserve"> </w:t>
      </w:r>
      <w:r>
        <w:t xml:space="preserve">- Maximizer solar optimizers (per system, estimated 10–20 panels):</w:t>
      </w:r>
      <w:r>
        <w:t xml:space="preserve"> </w:t>
      </w:r>
      <w:r>
        <w:rPr>
          <w:b/>
        </w:rPr>
        <w:t xml:space="preserve">$300–$600</w:t>
      </w:r>
      <w:r>
        <w:t xml:space="preserve"> </w:t>
      </w:r>
      <w:r>
        <w:t xml:space="preserve">- Cables, connectors, packaging, miscellaneous:</w:t>
      </w:r>
      <w:r>
        <w:t xml:space="preserve"> </w:t>
      </w:r>
      <w:r>
        <w:rPr>
          <w:b/>
        </w:rPr>
        <w:t xml:space="preserve">$150–$250</w:t>
      </w:r>
    </w:p>
    <w:p>
      <w:pPr>
        <w:pStyle w:val="BodyText"/>
      </w:pPr>
      <w:r>
        <w:rPr>
          <w:b/>
        </w:rPr>
        <w:t xml:space="preserve">Labor Cost Per Unit (Georgia/Washington Assembly):</w:t>
      </w:r>
    </w:p>
    <w:p>
      <w:pPr>
        <w:pStyle w:val="BodyText"/>
      </w:pPr>
      <w:r>
        <w:t xml:space="preserve">Assembly labor at Georgia and Washington facilities (non-Bay Area), blended rate:</w:t>
      </w:r>
      <w:r>
        <w:t xml:space="preserve"> </w:t>
      </w:r>
      <w:r>
        <w:t xml:space="preserve">- Direct assembly labor: ~$25–$35/hour loaded</w:t>
      </w:r>
      <w:r>
        <w:t xml:space="preserve"> </w:t>
      </w:r>
      <w:r>
        <w:t xml:space="preserve">- Assembly time per system: estimated 3–5 hours for module stacking, wiring, BMS programming, initial test cycle</w:t>
      </w:r>
      <w:r>
        <w:t xml:space="preserve"> </w:t>
      </w:r>
      <w:r>
        <w:t xml:space="preserve">-</w:t>
      </w:r>
      <w:r>
        <w:t xml:space="preserve"> </w:t>
      </w:r>
      <w:r>
        <w:rPr>
          <w:b/>
        </w:rPr>
        <w:t xml:space="preserve">Labor cost per unit: $125–$250</w:t>
      </w:r>
    </w:p>
    <w:p>
      <w:pPr>
        <w:pStyle w:val="BodyText"/>
      </w:pPr>
      <w:r>
        <w:rPr>
          <w:b/>
        </w:rPr>
        <w:t xml:space="preserve">Overhead Allocation Per Unit (R&amp;D, QC, Testing) at 2,000 Units/Year:</w:t>
      </w:r>
    </w:p>
    <w:p>
      <w:pPr>
        <w:pStyle w:val="BodyText"/>
      </w:pPr>
      <w:r>
        <w:t xml:space="preserve">This is where the numbers become painful. With 226 employees (est. 60–70% in engineering and G&amp;A), annual payroll burden is substantial (discussed in Section 3). Allocating the</w:t>
      </w:r>
      <w:r>
        <w:t xml:space="preserve"> </w:t>
      </w:r>
      <w:r>
        <w:rPr>
          <w:i/>
        </w:rPr>
        <w:t xml:space="preserve">non-assembly</w:t>
      </w:r>
      <w:r>
        <w:t xml:space="preserve"> </w:t>
      </w:r>
      <w:r>
        <w:t xml:space="preserve">overhead across 2,000 units/year:</w:t>
      </w:r>
      <w:r>
        <w:t xml:space="preserve"> </w:t>
      </w:r>
      <w:r>
        <w:t xml:space="preserve">-</w:t>
      </w:r>
      <w:r>
        <w:t xml:space="preserve"> </w:t>
      </w:r>
      <w:r>
        <w:rPr>
          <w:b/>
        </w:rPr>
        <w:t xml:space="preserve">Fixed overhead burden per unit at 2,000 units: $5,000–$8,000+</w:t>
      </w:r>
      <w:r>
        <w:t xml:space="preserve"> </w:t>
      </w:r>
      <w:r>
        <w:t xml:space="preserve">-</w:t>
      </w:r>
      <w:r>
        <w:t xml:space="preserve"> </w:t>
      </w:r>
      <w:r>
        <w:rPr>
          <w:b/>
        </w:rPr>
        <w:t xml:space="preserve">Fixed overhead burden per unit at 10,000 units: $1,200–$2,000</w:t>
      </w:r>
      <w:r>
        <w:t xml:space="preserve"> </w:t>
      </w:r>
      <w:r>
        <w:t xml:space="preserve">-</w:t>
      </w:r>
      <w:r>
        <w:t xml:space="preserve"> </w:t>
      </w:r>
      <w:r>
        <w:rPr>
          <w:b/>
        </w:rPr>
        <w:t xml:space="preserve">Fixed overhead burden per unit at 100,000 units: $200–$400</w:t>
      </w:r>
    </w:p>
    <w:p>
      <w:pPr>
        <w:pStyle w:val="BodyText"/>
      </w:pPr>
      <w:r>
        <w:t xml:space="preserve">This is the fundamental unit economics problem: Lunar is a</w:t>
      </w:r>
      <w:r>
        <w:t xml:space="preserve"> </w:t>
      </w:r>
      <w:r>
        <w:rPr>
          <w:b/>
        </w:rPr>
        <w:t xml:space="preserve">high fixed-cost, low-volume hardware company</w:t>
      </w:r>
      <w:r>
        <w:t xml:space="preserve"> </w:t>
      </w:r>
      <w:r>
        <w:t xml:space="preserve">at present. The leverage on overhead is the entire investment thesis.</w:t>
      </w:r>
    </w:p>
    <w:p>
      <w:pPr>
        <w:pStyle w:val="BodyText"/>
      </w:pPr>
      <w:r>
        <w:rPr>
          <w:b/>
        </w:rPr>
        <w:t xml:space="preserve">Shipping/Logistics Per Unit:</w:t>
      </w:r>
    </w:p>
    <w:p>
      <w:pPr>
        <w:pStyle w:val="BodyText"/>
      </w:pPr>
      <w:r>
        <w:t xml:space="preserve">Shipping a ~300–400 lb. battery system from GA/WA to a California installation site:</w:t>
      </w:r>
      <w:r>
        <w:t xml:space="preserve"> </w:t>
      </w:r>
      <w:r>
        <w:rPr>
          <w:b/>
        </w:rPr>
        <w:t xml:space="preserve">$150–$400 per unit</w:t>
      </w:r>
      <w:r>
        <w:t xml:space="preserve"> </w:t>
      </w:r>
      <w:r>
        <w:t xml:space="preserve">depending on distance and freight mode.</w:t>
      </w:r>
    </w:p>
    <w:p>
      <w:pPr>
        <w:pStyle w:val="Heading3"/>
      </w:pPr>
      <w:bookmarkStart w:id="31" w:name="b.-consolidated-unit-economics-summary"/>
      <w:r>
        <w:t xml:space="preserve">2B. Consolidated Unit Economics Summary</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Cost Element</w:t>
            </w:r>
          </w:p>
        </w:tc>
        <w:tc>
          <w:tcPr>
            <w:tcBorders>
              <w:bottom w:val="single"/>
            </w:tcBorders>
            <w:vAlign w:val="bottom"/>
          </w:tcPr>
          <w:p>
            <w:pPr>
              <w:pStyle w:val="Compact"/>
              <w:jc w:val="left"/>
            </w:pPr>
            <w:r>
              <w:t xml:space="preserve">@ 2,000 Units/yr</w:t>
            </w:r>
          </w:p>
        </w:tc>
        <w:tc>
          <w:tcPr>
            <w:tcBorders>
              <w:bottom w:val="single"/>
            </w:tcBorders>
            <w:vAlign w:val="bottom"/>
          </w:tcPr>
          <w:p>
            <w:pPr>
              <w:pStyle w:val="Compact"/>
              <w:jc w:val="left"/>
            </w:pPr>
            <w:r>
              <w:t xml:space="preserve">@ 10,000 Units/yr</w:t>
            </w:r>
          </w:p>
        </w:tc>
        <w:tc>
          <w:tcPr>
            <w:tcBorders>
              <w:bottom w:val="single"/>
            </w:tcBorders>
            <w:vAlign w:val="bottom"/>
          </w:tcPr>
          <w:p>
            <w:pPr>
              <w:pStyle w:val="Compact"/>
              <w:jc w:val="left"/>
            </w:pPr>
            <w:r>
              <w:t xml:space="preserve">@ 100,000 Units/yr</w:t>
            </w:r>
          </w:p>
        </w:tc>
      </w:tr>
      <w:tr>
        <w:tc>
          <w:p>
            <w:pPr>
              <w:pStyle w:val="Compact"/>
              <w:jc w:val="left"/>
            </w:pPr>
            <w:r>
              <w:t xml:space="preserve">LFP Battery Cells (20 kWh)</w:t>
            </w:r>
          </w:p>
        </w:tc>
        <w:tc>
          <w:p>
            <w:pPr>
              <w:pStyle w:val="Compact"/>
              <w:jc w:val="left"/>
            </w:pPr>
            <w:r>
              <w:t xml:space="preserve">$2,800</w:t>
            </w:r>
          </w:p>
        </w:tc>
        <w:tc>
          <w:p>
            <w:pPr>
              <w:pStyle w:val="Compact"/>
              <w:jc w:val="left"/>
            </w:pPr>
            <w:r>
              <w:t xml:space="preserve">$2,200</w:t>
            </w:r>
          </w:p>
        </w:tc>
        <w:tc>
          <w:p>
            <w:pPr>
              <w:pStyle w:val="Compact"/>
              <w:jc w:val="left"/>
            </w:pPr>
            <w:r>
              <w:t xml:space="preserve">$1,600</w:t>
            </w:r>
          </w:p>
        </w:tc>
      </w:tr>
      <w:tr>
        <w:tc>
          <w:p>
            <w:pPr>
              <w:pStyle w:val="Compact"/>
              <w:jc w:val="left"/>
            </w:pPr>
            <w:r>
              <w:t xml:space="preserve">Power Electronics</w:t>
            </w:r>
          </w:p>
        </w:tc>
        <w:tc>
          <w:p>
            <w:pPr>
              <w:pStyle w:val="Compact"/>
              <w:jc w:val="left"/>
            </w:pPr>
            <w:r>
              <w:t xml:space="preserve">$800</w:t>
            </w:r>
          </w:p>
        </w:tc>
        <w:tc>
          <w:p>
            <w:pPr>
              <w:pStyle w:val="Compact"/>
              <w:jc w:val="left"/>
            </w:pPr>
            <w:r>
              <w:t xml:space="preserve">$600</w:t>
            </w:r>
          </w:p>
        </w:tc>
        <w:tc>
          <w:p>
            <w:pPr>
              <w:pStyle w:val="Compact"/>
              <w:jc w:val="left"/>
            </w:pPr>
            <w:r>
              <w:t xml:space="preserve">$400</w:t>
            </w:r>
          </w:p>
        </w:tc>
      </w:tr>
      <w:tr>
        <w:tc>
          <w:p>
            <w:pPr>
              <w:pStyle w:val="Compact"/>
              <w:jc w:val="left"/>
            </w:pPr>
            <w:r>
              <w:t xml:space="preserve">Enclosures/Panel/Hardware</w:t>
            </w:r>
          </w:p>
        </w:tc>
        <w:tc>
          <w:p>
            <w:pPr>
              <w:pStyle w:val="Compact"/>
              <w:jc w:val="left"/>
            </w:pPr>
            <w:r>
              <w:t xml:space="preserve">$1,000</w:t>
            </w:r>
          </w:p>
        </w:tc>
        <w:tc>
          <w:p>
            <w:pPr>
              <w:pStyle w:val="Compact"/>
              <w:jc w:val="left"/>
            </w:pPr>
            <w:r>
              <w:t xml:space="preserve">$850</w:t>
            </w:r>
          </w:p>
        </w:tc>
        <w:tc>
          <w:p>
            <w:pPr>
              <w:pStyle w:val="Compact"/>
              <w:jc w:val="left"/>
            </w:pPr>
            <w:r>
              <w:t xml:space="preserve">$650</w:t>
            </w:r>
          </w:p>
        </w:tc>
      </w:tr>
      <w:tr>
        <w:tc>
          <w:p>
            <w:pPr>
              <w:pStyle w:val="Compact"/>
              <w:jc w:val="left"/>
            </w:pPr>
            <w:r>
              <w:t xml:space="preserve">Direct Labor</w:t>
            </w:r>
          </w:p>
        </w:tc>
        <w:tc>
          <w:p>
            <w:pPr>
              <w:pStyle w:val="Compact"/>
              <w:jc w:val="left"/>
            </w:pPr>
            <w:r>
              <w:t xml:space="preserve">$200</w:t>
            </w:r>
          </w:p>
        </w:tc>
        <w:tc>
          <w:p>
            <w:pPr>
              <w:pStyle w:val="Compact"/>
              <w:jc w:val="left"/>
            </w:pPr>
            <w:r>
              <w:t xml:space="preserve">$175</w:t>
            </w:r>
          </w:p>
        </w:tc>
        <w:tc>
          <w:p>
            <w:pPr>
              <w:pStyle w:val="Compact"/>
              <w:jc w:val="left"/>
            </w:pPr>
            <w:r>
              <w:t xml:space="preserve">$120</w:t>
            </w:r>
          </w:p>
        </w:tc>
      </w:tr>
      <w:tr>
        <w:tc>
          <w:p>
            <w:pPr>
              <w:pStyle w:val="Compact"/>
              <w:jc w:val="left"/>
            </w:pPr>
            <w:r>
              <w:t xml:space="preserve">Freight/Logistics</w:t>
            </w:r>
          </w:p>
        </w:tc>
        <w:tc>
          <w:p>
            <w:pPr>
              <w:pStyle w:val="Compact"/>
              <w:jc w:val="left"/>
            </w:pPr>
            <w:r>
              <w:t xml:space="preserve">$300</w:t>
            </w:r>
          </w:p>
        </w:tc>
        <w:tc>
          <w:p>
            <w:pPr>
              <w:pStyle w:val="Compact"/>
              <w:jc w:val="left"/>
            </w:pPr>
            <w:r>
              <w:t xml:space="preserve">$250</w:t>
            </w:r>
          </w:p>
        </w:tc>
        <w:tc>
          <w:p>
            <w:pPr>
              <w:pStyle w:val="Compact"/>
              <w:jc w:val="left"/>
            </w:pPr>
            <w:r>
              <w:t xml:space="preserve">$200</w:t>
            </w:r>
          </w:p>
        </w:tc>
      </w:tr>
      <w:tr>
        <w:tc>
          <w:p>
            <w:pPr>
              <w:pStyle w:val="Compact"/>
              <w:jc w:val="left"/>
            </w:pPr>
            <w:r>
              <w:rPr>
                <w:b/>
              </w:rPr>
              <w:t xml:space="preserve">Total Direct BOM+Labor</w:t>
            </w:r>
          </w:p>
        </w:tc>
        <w:tc>
          <w:p>
            <w:pPr>
              <w:pStyle w:val="Compact"/>
              <w:jc w:val="left"/>
            </w:pPr>
            <w:r>
              <w:rPr>
                <w:b/>
              </w:rPr>
              <w:t xml:space="preserve">~$5,100</w:t>
            </w:r>
          </w:p>
        </w:tc>
        <w:tc>
          <w:p>
            <w:pPr>
              <w:pStyle w:val="Compact"/>
              <w:jc w:val="left"/>
            </w:pPr>
            <w:r>
              <w:rPr>
                <w:b/>
              </w:rPr>
              <w:t xml:space="preserve">~$4,075</w:t>
            </w:r>
          </w:p>
        </w:tc>
        <w:tc>
          <w:p>
            <w:pPr>
              <w:pStyle w:val="Compact"/>
              <w:jc w:val="left"/>
            </w:pPr>
            <w:r>
              <w:rPr>
                <w:b/>
              </w:rPr>
              <w:t xml:space="preserve">~$2,970</w:t>
            </w:r>
          </w:p>
        </w:tc>
      </w:tr>
      <w:tr>
        <w:tc>
          <w:p>
            <w:pPr>
              <w:pStyle w:val="Compact"/>
              <w:jc w:val="left"/>
            </w:pPr>
            <w:r>
              <w:t xml:space="preserve">Fixed Overhead Allocation</w:t>
            </w:r>
          </w:p>
        </w:tc>
        <w:tc>
          <w:p>
            <w:pPr>
              <w:pStyle w:val="Compact"/>
              <w:jc w:val="left"/>
            </w:pPr>
            <w:r>
              <w:t xml:space="preserve">$7,000</w:t>
            </w:r>
          </w:p>
        </w:tc>
        <w:tc>
          <w:p>
            <w:pPr>
              <w:pStyle w:val="Compact"/>
              <w:jc w:val="left"/>
            </w:pPr>
            <w:r>
              <w:t xml:space="preserve">$1,800</w:t>
            </w:r>
          </w:p>
        </w:tc>
        <w:tc>
          <w:p>
            <w:pPr>
              <w:pStyle w:val="Compact"/>
              <w:jc w:val="left"/>
            </w:pPr>
            <w:r>
              <w:t xml:space="preserve">$350</w:t>
            </w:r>
          </w:p>
        </w:tc>
      </w:tr>
      <w:tr>
        <w:tc>
          <w:p>
            <w:pPr>
              <w:pStyle w:val="Compact"/>
              <w:jc w:val="left"/>
            </w:pPr>
            <w:r>
              <w:rPr>
                <w:b/>
              </w:rPr>
              <w:t xml:space="preserve">Fully Loaded Mfg Cost</w:t>
            </w:r>
          </w:p>
        </w:tc>
        <w:tc>
          <w:p>
            <w:pPr>
              <w:pStyle w:val="Compact"/>
              <w:jc w:val="left"/>
            </w:pPr>
            <w:r>
              <w:rPr>
                <w:b/>
              </w:rPr>
              <w:t xml:space="preserve">~$12,100</w:t>
            </w:r>
          </w:p>
        </w:tc>
        <w:tc>
          <w:p>
            <w:pPr>
              <w:pStyle w:val="Compact"/>
              <w:jc w:val="left"/>
            </w:pPr>
            <w:r>
              <w:rPr>
                <w:b/>
              </w:rPr>
              <w:t xml:space="preserve">~$5,875</w:t>
            </w:r>
          </w:p>
        </w:tc>
        <w:tc>
          <w:p>
            <w:pPr>
              <w:pStyle w:val="Compact"/>
              <w:jc w:val="left"/>
            </w:pPr>
            <w:r>
              <w:rPr>
                <w:b/>
              </w:rPr>
              <w:t xml:space="preserve">~$3,320</w:t>
            </w:r>
          </w:p>
        </w:tc>
      </w:tr>
    </w:tbl>
    <w:p>
      <w:pPr>
        <w:pStyle w:val="BodyText"/>
      </w:pPr>
      <w:r>
        <w:rPr>
          <w:i/>
        </w:rPr>
        <w:t xml:space="preserve">(Estimates carry ±25% uncertainty; SK cell pricing is the highest uncertainty variable)</w:t>
      </w:r>
    </w:p>
    <w:p>
      <w:pPr>
        <w:pStyle w:val="BodyText"/>
      </w:pPr>
      <w:r>
        <w:rPr>
          <w:b/>
        </w:rPr>
        <w:t xml:space="preserve">Wholesale ASP to Installers:</w:t>
      </w:r>
    </w:p>
    <w:p>
      <w:pPr>
        <w:pStyle w:val="BodyText"/>
      </w:pPr>
      <w:r>
        <w:t xml:space="preserve">Only Lunar Install Partners can quote a final price, which is estimated to fall between $20,000 and $30,000, after applying incentives for California homeowners.</w:t>
      </w:r>
      <w:r>
        <w:t xml:space="preserve"> </w:t>
      </w:r>
      <w:r>
        <w:t xml:space="preserve">The retail price range is $20,000–$30,000 all-in (including installation labor, permits, and panels in some configurations). Hardware-only wholesale to installers (before installation labor) is estimated at:</w:t>
      </w:r>
      <w:r>
        <w:t xml:space="preserve"> </w:t>
      </w:r>
      <w:r>
        <w:t xml:space="preserve">-</w:t>
      </w:r>
      <w:r>
        <w:t xml:space="preserve"> </w:t>
      </w:r>
      <w:r>
        <w:rPr>
          <w:b/>
        </w:rPr>
        <w:t xml:space="preserve">Lunar’s wholesale ASP to installers:</w:t>
      </w:r>
      <w:r>
        <w:t xml:space="preserve"> </w:t>
      </w:r>
      <w:r>
        <w:t xml:space="preserve">~$10,000–$14,000 for hardware</w:t>
      </w:r>
      <w:r>
        <w:t xml:space="preserve"> </w:t>
      </w:r>
      <w:r>
        <w:t xml:space="preserve">-</w:t>
      </w:r>
      <w:r>
        <w:t xml:space="preserve"> </w:t>
      </w:r>
      <w:r>
        <w:rPr>
          <w:b/>
        </w:rPr>
        <w:t xml:space="preserve">Installer margin:</w:t>
      </w:r>
      <w:r>
        <w:t xml:space="preserve"> </w:t>
      </w:r>
      <w:r>
        <w:t xml:space="preserve">~$5,000–$10,000 (installation labor, overhead, warranty risk, profit)</w:t>
      </w:r>
    </w:p>
    <w:p>
      <w:pPr>
        <w:pStyle w:val="BodyText"/>
      </w:pPr>
      <w:r>
        <w:rPr>
          <w:b/>
        </w:rPr>
        <w:t xml:space="preserve">Implied Revenue Cross-Check:</w:t>
      </w:r>
      <w:r>
        <w:t xml:space="preserve"> </w:t>
      </w:r>
      <w:r>
        <w:t xml:space="preserve">- At ~2,000 units and $35M revenue: implied ASP =</w:t>
      </w:r>
      <w:r>
        <w:t xml:space="preserve"> </w:t>
      </w:r>
      <w:r>
        <w:rPr>
          <w:b/>
        </w:rPr>
        <w:t xml:space="preserve">$17,500/unit</w:t>
      </w:r>
      <w:r>
        <w:t xml:space="preserve">. This is higher than hardware-only wholesale, suggesting either (a) revenue includes some bundled software/services, (b) some installations include Maximizer optimizers adding to system value, or (c) the Gridshare VPP software license fees (from Sunrun and utilities) are included in the $35M.</w:t>
      </w:r>
      <w:r>
        <w:t xml:space="preserve"> </w:t>
      </w:r>
      <w:r>
        <w:t xml:space="preserve">-</w:t>
      </w:r>
      <w:r>
        <w:t xml:space="preserve"> </w:t>
      </w:r>
      <w:r>
        <w:t xml:space="preserve">Lunar Energy’s systems are priced on the higher end of the spectrum, with typical installation costs coming in at about a 10% premium to Tesla’s Powerwall batteries.</w:t>
      </w:r>
    </w:p>
    <w:p>
      <w:pPr>
        <w:pStyle w:val="BodyText"/>
      </w:pPr>
      <w:r>
        <w:rPr>
          <w:b/>
        </w:rPr>
        <w:t xml:space="preserve">Gross Margin Estimates: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Volume</w:t>
            </w:r>
          </w:p>
        </w:tc>
        <w:tc>
          <w:tcPr>
            <w:tcBorders>
              <w:bottom w:val="single"/>
            </w:tcBorders>
            <w:vAlign w:val="bottom"/>
          </w:tcPr>
          <w:p>
            <w:pPr>
              <w:pStyle w:val="Compact"/>
              <w:jc w:val="left"/>
            </w:pPr>
            <w:r>
              <w:t xml:space="preserve">Wholesale ASP</w:t>
            </w:r>
          </w:p>
        </w:tc>
        <w:tc>
          <w:tcPr>
            <w:tcBorders>
              <w:bottom w:val="single"/>
            </w:tcBorders>
            <w:vAlign w:val="bottom"/>
          </w:tcPr>
          <w:p>
            <w:pPr>
              <w:pStyle w:val="Compact"/>
              <w:jc w:val="left"/>
            </w:pPr>
            <w:r>
              <w:t xml:space="preserve">Fully Loaded Cost</w:t>
            </w:r>
          </w:p>
        </w:tc>
        <w:tc>
          <w:tcPr>
            <w:tcBorders>
              <w:bottom w:val="single"/>
            </w:tcBorders>
            <w:vAlign w:val="bottom"/>
          </w:tcPr>
          <w:p>
            <w:pPr>
              <w:pStyle w:val="Compact"/>
              <w:jc w:val="left"/>
            </w:pPr>
            <w:r>
              <w:t xml:space="preserve">Gross Margin $</w:t>
            </w:r>
          </w:p>
        </w:tc>
        <w:tc>
          <w:tcPr>
            <w:tcBorders>
              <w:bottom w:val="single"/>
            </w:tcBorders>
            <w:vAlign w:val="bottom"/>
          </w:tcPr>
          <w:p>
            <w:pPr>
              <w:pStyle w:val="Compact"/>
              <w:jc w:val="left"/>
            </w:pPr>
            <w:r>
              <w:t xml:space="preserve">GM%</w:t>
            </w:r>
          </w:p>
        </w:tc>
      </w:tr>
      <w:tr>
        <w:tc>
          <w:p>
            <w:pPr>
              <w:pStyle w:val="Compact"/>
              <w:jc w:val="left"/>
            </w:pPr>
            <w:r>
              <w:t xml:space="preserve">2,000/yr (current)</w:t>
            </w:r>
          </w:p>
        </w:tc>
        <w:tc>
          <w:p>
            <w:pPr>
              <w:pStyle w:val="Compact"/>
              <w:jc w:val="left"/>
            </w:pPr>
            <w:r>
              <w:t xml:space="preserve">$17,500</w:t>
            </w:r>
          </w:p>
        </w:tc>
        <w:tc>
          <w:p>
            <w:pPr>
              <w:pStyle w:val="Compact"/>
              <w:jc w:val="left"/>
            </w:pPr>
            <w:r>
              <w:t xml:space="preserve">$12,100</w:t>
            </w:r>
          </w:p>
        </w:tc>
        <w:tc>
          <w:p>
            <w:pPr>
              <w:pStyle w:val="Compact"/>
              <w:jc w:val="left"/>
            </w:pPr>
            <w:r>
              <w:t xml:space="preserve">$5,400</w:t>
            </w:r>
          </w:p>
        </w:tc>
        <w:tc>
          <w:p>
            <w:pPr>
              <w:pStyle w:val="Compact"/>
              <w:jc w:val="left"/>
            </w:pPr>
            <w:r>
              <w:t xml:space="preserve">31%</w:t>
            </w:r>
          </w:p>
        </w:tc>
      </w:tr>
      <w:tr>
        <w:tc>
          <w:p>
            <w:pPr>
              <w:pStyle w:val="Compact"/>
              <w:jc w:val="left"/>
            </w:pPr>
            <w:r>
              <w:t xml:space="preserve">10,000/yr</w:t>
            </w:r>
          </w:p>
        </w:tc>
        <w:tc>
          <w:p>
            <w:pPr>
              <w:pStyle w:val="Compact"/>
              <w:jc w:val="left"/>
            </w:pPr>
            <w:r>
              <w:t xml:space="preserve">$15,000</w:t>
            </w:r>
          </w:p>
        </w:tc>
        <w:tc>
          <w:p>
            <w:pPr>
              <w:pStyle w:val="Compact"/>
              <w:jc w:val="left"/>
            </w:pPr>
            <w:r>
              <w:t xml:space="preserve">$5,875</w:t>
            </w:r>
          </w:p>
        </w:tc>
        <w:tc>
          <w:p>
            <w:pPr>
              <w:pStyle w:val="Compact"/>
              <w:jc w:val="left"/>
            </w:pPr>
            <w:r>
              <w:t xml:space="preserve">$9,125</w:t>
            </w:r>
          </w:p>
        </w:tc>
        <w:tc>
          <w:p>
            <w:pPr>
              <w:pStyle w:val="Compact"/>
              <w:jc w:val="left"/>
            </w:pPr>
            <w:r>
              <w:t xml:space="preserve">61%</w:t>
            </w:r>
          </w:p>
        </w:tc>
      </w:tr>
      <w:tr>
        <w:tc>
          <w:p>
            <w:pPr>
              <w:pStyle w:val="Compact"/>
              <w:jc w:val="left"/>
            </w:pPr>
            <w:r>
              <w:t xml:space="preserve">100,000/yr</w:t>
            </w:r>
          </w:p>
        </w:tc>
        <w:tc>
          <w:p>
            <w:pPr>
              <w:pStyle w:val="Compact"/>
              <w:jc w:val="left"/>
            </w:pPr>
            <w:r>
              <w:t xml:space="preserve">$13,000</w:t>
            </w:r>
          </w:p>
        </w:tc>
        <w:tc>
          <w:p>
            <w:pPr>
              <w:pStyle w:val="Compact"/>
              <w:jc w:val="left"/>
            </w:pPr>
            <w:r>
              <w:t xml:space="preserve">$3,320</w:t>
            </w:r>
          </w:p>
        </w:tc>
        <w:tc>
          <w:p>
            <w:pPr>
              <w:pStyle w:val="Compact"/>
              <w:jc w:val="left"/>
            </w:pPr>
            <w:r>
              <w:t xml:space="preserve">$9,680</w:t>
            </w:r>
          </w:p>
        </w:tc>
        <w:tc>
          <w:p>
            <w:pPr>
              <w:pStyle w:val="Compact"/>
              <w:jc w:val="left"/>
            </w:pPr>
            <w:r>
              <w:t xml:space="preserve">74%</w:t>
            </w:r>
          </w:p>
        </w:tc>
      </w:tr>
    </w:tbl>
    <w:p>
      <w:pPr>
        <w:pStyle w:val="BodyText"/>
      </w:pPr>
      <w:r>
        <w:rPr>
          <w:i/>
        </w:rPr>
        <w:t xml:space="preserve">These are estimated gross margins on hardware only, before company-level SG&amp;A and R&amp;D.</w:t>
      </w:r>
    </w:p>
    <w:p>
      <w:pPr>
        <w:pStyle w:val="BodyText"/>
      </w:pPr>
      <w:r>
        <w:rPr>
          <w:b/>
        </w:rPr>
        <w:t xml:space="preserve">Competitive Cost Benchmarking vs. Tesla Powerwall 3 and Enphase IQ Battery:</w:t>
      </w:r>
    </w:p>
    <w:p>
      <w:pPr>
        <w:pStyle w:val="BodyText"/>
      </w:pPr>
      <w:r>
        <w:t xml:space="preserve">Tesla Powerwall 3 (13.5 kWh, $11,500 retail) benefits from:</w:t>
      </w:r>
      <w:r>
        <w:t xml:space="preserve"> </w:t>
      </w:r>
      <w:r>
        <w:t xml:space="preserve">- In-house cell production (4680 format, produced at Tesla’s Nevada Gigafactory at scale)</w:t>
      </w:r>
      <w:r>
        <w:t xml:space="preserve"> </w:t>
      </w:r>
      <w:r>
        <w:t xml:space="preserve">- Vertical integration across inverter, BMS, software</w:t>
      </w:r>
      <w:r>
        <w:t xml:space="preserve"> </w:t>
      </w:r>
      <w:r>
        <w:t xml:space="preserve">- Estimated BOM cost: $3,500–$5,000 at scale</w:t>
      </w:r>
      <w:r>
        <w:t xml:space="preserve"> </w:t>
      </w:r>
      <w:r>
        <w:t xml:space="preserve">- Estimated GM%: 45–60% at current volumes</w:t>
      </w:r>
    </w:p>
    <w:p>
      <w:pPr>
        <w:pStyle w:val="BodyText"/>
      </w:pPr>
      <w:r>
        <w:t xml:space="preserve">Lunar at 100K/year approaches competitive parity with Tesla on a per-kWh basis, but the path to 100K units is the unanswered question. At current 2,000-unit volumes, Lunar is likely operating at</w:t>
      </w:r>
      <w:r>
        <w:t xml:space="preserve"> </w:t>
      </w:r>
      <w:r>
        <w:rPr>
          <w:b/>
        </w:rPr>
        <w:t xml:space="preserve">negative hardware gross margins or razor-thin positive margins</w:t>
      </w:r>
      <w:r>
        <w:t xml:space="preserve"> </w:t>
      </w:r>
      <w:r>
        <w:t xml:space="preserve">after full cost allocation — making every unit deployed a cash-consumptive event rather than a cash-generative one.</w:t>
      </w:r>
    </w:p>
    <w:p>
      <w:r>
        <w:pict>
          <v:rect style="width:0;height:1.5pt" o:hralign="center" o:hrstd="t" o:hr="t"/>
        </w:pict>
      </w:r>
    </w:p>
    <w:p>
      <w:pPr>
        <w:pStyle w:val="Heading2"/>
      </w:pPr>
      <w:bookmarkStart w:id="32" w:name="section-4"/>
      <w:r>
        <w:t xml:space="preserve">─────────────────────────────────────────</w:t>
      </w:r>
      <w:bookmarkEnd w:id="32"/>
    </w:p>
    <w:p>
      <w:pPr>
        <w:pStyle w:val="Heading2"/>
      </w:pPr>
      <w:bookmarkStart w:id="33" w:name="Xce0dd9118e2d14c3e3fbeb6838a73510c332b75"/>
      <w:r>
        <w:t xml:space="preserve">SECTION 3: REVENUE ANALYSIS &amp; FINANCIAL HEALTH</w:t>
      </w:r>
      <w:bookmarkEnd w:id="33"/>
    </w:p>
    <w:p>
      <w:pPr>
        <w:pStyle w:val="Heading2"/>
      </w:pPr>
      <w:bookmarkStart w:id="34" w:name="section-5"/>
      <w:r>
        <w:t xml:space="preserve">─────────────────────────────────────────</w:t>
      </w:r>
      <w:bookmarkEnd w:id="34"/>
    </w:p>
    <w:p>
      <w:pPr>
        <w:pStyle w:val="Heading3"/>
      </w:pPr>
      <w:bookmarkStart w:id="35" w:name="a.-revenue-analysis"/>
      <w:r>
        <w:t xml:space="preserve">3A. Revenue Analysis</w:t>
      </w:r>
      <w:bookmarkEnd w:id="35"/>
    </w:p>
    <w:p>
      <w:pPr>
        <w:pStyle w:val="FirstParagraph"/>
      </w:pPr>
      <w:r>
        <w:rPr>
          <w:b/>
        </w:rPr>
        <w:t xml:space="preserve">Implied ASP Reconciliation:</w:t>
      </w:r>
    </w:p>
    <w:p>
      <w:pPr>
        <w:pStyle w:val="BodyText"/>
      </w:pPr>
      <w:r>
        <w:t xml:space="preserve">At ~2,000 units and $35M revenue, implied ASP =</w:t>
      </w:r>
      <w:r>
        <w:t xml:space="preserve"> </w:t>
      </w:r>
      <w:r>
        <w:rPr>
          <w:b/>
        </w:rPr>
        <w:t xml:space="preserve">$17,500/unit</w:t>
      </w:r>
      <w:r>
        <w:t xml:space="preserve">. This is plausible and reconcilable with the $20,000–$30,000 retail range if we account for:</w:t>
      </w:r>
      <w:r>
        <w:t xml:space="preserve"> </w:t>
      </w:r>
      <w:r>
        <w:t xml:space="preserve">1.</w:t>
      </w:r>
      <w:r>
        <w:t xml:space="preserve"> </w:t>
      </w:r>
      <w:r>
        <w:rPr>
          <w:b/>
        </w:rPr>
        <w:t xml:space="preserve">Installer channel economics</w:t>
      </w:r>
      <w:r>
        <w:t xml:space="preserve"> </w:t>
      </w:r>
      <w:r>
        <w:t xml:space="preserve">— Lunar receives wholesale pricing, likely $12,000–$16,000 per hardware system, with the balance going to installers</w:t>
      </w:r>
      <w:r>
        <w:t xml:space="preserve"> </w:t>
      </w:r>
      <w:r>
        <w:t xml:space="preserve">2.</w:t>
      </w:r>
      <w:r>
        <w:t xml:space="preserve"> </w:t>
      </w:r>
      <w:r>
        <w:rPr>
          <w:b/>
        </w:rPr>
        <w:t xml:space="preserve">Software/Gridshare licensing fees from Sunrun and utilities</w:t>
      </w:r>
      <w:r>
        <w:t xml:space="preserve"> </w:t>
      </w:r>
      <w:r>
        <w:t xml:space="preserve">— likely an incremental $1M–$5M component of the $35M</w:t>
      </w:r>
      <w:r>
        <w:t xml:space="preserve"> </w:t>
      </w:r>
      <w:r>
        <w:t xml:space="preserve">3.</w:t>
      </w:r>
      <w:r>
        <w:t xml:space="preserve"> </w:t>
      </w:r>
      <w:r>
        <w:rPr>
          <w:b/>
        </w:rPr>
        <w:t xml:space="preserve">Multi-unit commercial/business installations</w:t>
      </w:r>
      <w:r>
        <w:t xml:space="preserve"> </w:t>
      </w:r>
      <w:r>
        <w:t xml:space="preserve">may carry higher ASPs</w:t>
      </w:r>
    </w:p>
    <w:p>
      <w:pPr>
        <w:pStyle w:val="BodyText"/>
      </w:pPr>
      <w:r>
        <w:rPr>
          <w:b/>
        </w:rPr>
        <w:t xml:space="preserve">Revenue Recognition:</w:t>
      </w:r>
    </w:p>
    <w:p>
      <w:pPr>
        <w:pStyle w:val="BodyText"/>
      </w:pPr>
      <w:r>
        <w:t xml:space="preserve">In most cases, the systems are now being deployed through residential leases, meaning they are installed at no upfront cost to homeowners.</w:t>
      </w:r>
      <w:r>
        <w:t xml:space="preserve"> </w:t>
      </w:r>
      <w:r>
        <w:t xml:space="preserve">This has</w:t>
      </w:r>
      <w:r>
        <w:t xml:space="preserve"> </w:t>
      </w:r>
      <w:r>
        <w:rPr>
          <w:b/>
        </w:rPr>
        <w:t xml:space="preserve">material revenue recognition implications</w:t>
      </w:r>
      <w:r>
        <w:t xml:space="preserve">:</w:t>
      </w:r>
    </w:p>
    <w:p>
      <w:pPr>
        <w:pStyle w:val="BodyText"/>
      </w:pPr>
      <w:r>
        <w:t xml:space="preserve">Under the lease model, Lunar sells hardware to a</w:t>
      </w:r>
      <w:r>
        <w:t xml:space="preserve"> </w:t>
      </w:r>
      <w:r>
        <w:rPr>
          <w:b/>
        </w:rPr>
        <w:t xml:space="preserve">third-party lessor</w:t>
      </w:r>
      <w:r>
        <w:t xml:space="preserve"> </w:t>
      </w:r>
      <w:r>
        <w:t xml:space="preserve">(typically Sunrun or another TPO — third-party owner). Revenue is recognized when hardware ships to the TPO/installer, NOT when the homeowner receives the system. This creates:</w:t>
      </w:r>
      <w:r>
        <w:t xml:space="preserve"> </w:t>
      </w:r>
      <w:r>
        <w:t xml:space="preserve">- A</w:t>
      </w:r>
      <w:r>
        <w:t xml:space="preserve"> </w:t>
      </w:r>
      <w:r>
        <w:rPr>
          <w:b/>
        </w:rPr>
        <w:t xml:space="preserve">working capital advantage</w:t>
      </w:r>
      <w:r>
        <w:t xml:space="preserve"> </w:t>
      </w:r>
      <w:r>
        <w:t xml:space="preserve">(faster cash collection vs. homeowner financing)</w:t>
      </w:r>
      <w:r>
        <w:t xml:space="preserve"> </w:t>
      </w:r>
      <w:r>
        <w:t xml:space="preserve">- But also a</w:t>
      </w:r>
      <w:r>
        <w:t xml:space="preserve"> </w:t>
      </w:r>
      <w:r>
        <w:rPr>
          <w:b/>
        </w:rPr>
        <w:t xml:space="preserve">revenue concentration risk</w:t>
      </w:r>
      <w:r>
        <w:t xml:space="preserve"> </w:t>
      </w:r>
      <w:r>
        <w:t xml:space="preserve">— Sunrun is almost certainly &gt;50% of hardware revenue given its structural ownership stake and distribution relationship.</w:t>
      </w:r>
      <w:r>
        <w:t xml:space="preserve"> </w:t>
      </w:r>
      <w:r>
        <w:t xml:space="preserve">Key to Lunar Energy’s growth in VPPs so far has been its partnership with Sunrun. The residential solar company has an ownership stake in Lunar Energy and uses its software — known as Gridshare — to manage VPPs across a dozen markets, including California.</w:t>
      </w:r>
    </w:p>
    <w:p>
      <w:pPr>
        <w:pStyle w:val="BodyText"/>
      </w:pPr>
      <w:r>
        <w:rPr>
          <w:b/>
        </w:rPr>
        <w:t xml:space="preserve">Recurring Revenue Streams:</w:t>
      </w:r>
    </w:p>
    <w:p>
      <w:pPr>
        <w:pStyle w:val="BodyText"/>
      </w:pPr>
      <w:r>
        <w:t xml:space="preserve">Lunar has a</w:t>
      </w:r>
      <w:r>
        <w:t xml:space="preserve"> </w:t>
      </w:r>
      <w:r>
        <w:rPr>
          <w:b/>
        </w:rPr>
        <w:t xml:space="preserve">strategically important but currently small</w:t>
      </w:r>
      <w:r>
        <w:t xml:space="preserve"> </w:t>
      </w:r>
      <w:r>
        <w:t xml:space="preserve">recurring revenue component:</w:t>
      </w:r>
      <w:r>
        <w:t xml:space="preserve"> </w:t>
      </w:r>
      <w:r>
        <w:t xml:space="preserve">1.</w:t>
      </w:r>
      <w:r>
        <w:t xml:space="preserve"> </w:t>
      </w:r>
      <w:r>
        <w:rPr>
          <w:b/>
        </w:rPr>
        <w:t xml:space="preserve">Gridshare SaaS licensing to Sunrun</w:t>
      </w:r>
      <w:r>
        <w:t xml:space="preserve"> </w:t>
      </w:r>
      <w:r>
        <w:t xml:space="preserve">—</w:t>
      </w:r>
      <w:r>
        <w:t xml:space="preserve"> </w:t>
      </w:r>
      <w:r>
        <w:t xml:space="preserve">US residential solar and energy storage installer Sunrun uses Lunar’s Gridshare platform for its distributed power assets in over a dozen markets, including New England, Hawaii, and Puerto Rico.</w:t>
      </w:r>
      <w:r>
        <w:t xml:space="preserve"> </w:t>
      </w:r>
      <w:r>
        <w:t xml:space="preserve">This licensing relationship generates recurring software revenue independent of hardware sales.</w:t>
      </w:r>
      <w:r>
        <w:t xml:space="preserve"> </w:t>
      </w:r>
      <w:r>
        <w:t xml:space="preserve">2.</w:t>
      </w:r>
      <w:r>
        <w:t xml:space="preserve"> </w:t>
      </w:r>
      <w:r>
        <w:rPr>
          <w:b/>
        </w:rPr>
        <w:t xml:space="preserve">Gridshare licensing to CCAs and utilities</w:t>
      </w:r>
      <w:r>
        <w:t xml:space="preserve"> </w:t>
      </w:r>
      <w:r>
        <w:t xml:space="preserve">—</w:t>
      </w:r>
      <w:r>
        <w:t xml:space="preserve"> </w:t>
      </w:r>
      <w:r>
        <w:t xml:space="preserve">California Community Choice Aggregators utilise Gridshare to create and implement new distributed power initiatives statewide.</w:t>
      </w:r>
    </w:p>
    <w:p>
      <w:pPr>
        <w:numPr>
          <w:ilvl w:val="0"/>
          <w:numId w:val="1006"/>
        </w:numPr>
        <w:pStyle w:val="Compact"/>
      </w:pPr>
      <w:r>
        <w:rPr>
          <w:b/>
        </w:rPr>
        <w:t xml:space="preserve">International Gridshare (Japan/UK)</w:t>
      </w:r>
      <w:r>
        <w:t xml:space="preserve"> </w:t>
      </w:r>
      <w:r>
        <w:t xml:space="preserve">—</w:t>
      </w:r>
      <w:r>
        <w:t xml:space="preserve"> </w:t>
      </w:r>
      <w:r>
        <w:t xml:space="preserve">With thousands of systems deployed and 650 MW of devices under management across multiple continents, Lunar is proving integrated hardware and software delivers value at scale.</w:t>
      </w:r>
      <w:r>
        <w:t xml:space="preserve"> </w:t>
      </w:r>
      <w:r>
        <w:t xml:space="preserve">The 650 MW under management figure is</w:t>
      </w:r>
      <w:r>
        <w:t xml:space="preserve"> </w:t>
      </w:r>
      <w:r>
        <w:rPr>
          <w:b/>
        </w:rPr>
        <w:t xml:space="preserve">enormously larger</w:t>
      </w:r>
      <w:r>
        <w:t xml:space="preserve"> </w:t>
      </w:r>
      <w:r>
        <w:t xml:space="preserve">than Lunar’s 2,000 deployed systems (~40 MW of nameplate capacity) — the bulk of the 650 MW comes from Sunrun’s battery fleet and the Japan/UK Gridshare inherited from Moixa.</w:t>
      </w:r>
    </w:p>
    <w:p>
      <w:pPr>
        <w:numPr>
          <w:ilvl w:val="0"/>
          <w:numId w:val="1006"/>
        </w:numPr>
        <w:pStyle w:val="Compact"/>
      </w:pPr>
      <w:r>
        <w:rPr>
          <w:b/>
        </w:rPr>
        <w:t xml:space="preserve">VPP revenue share</w:t>
      </w:r>
      <w:r>
        <w:t xml:space="preserve"> </w:t>
      </w:r>
      <w:r>
        <w:t xml:space="preserve">—</w:t>
      </w:r>
      <w:r>
        <w:t xml:space="preserve"> </w:t>
      </w:r>
      <w:r>
        <w:t xml:space="preserve">Lunar’s AI-driven software earned customers an average of $464 by participating in a VPP program.</w:t>
      </w:r>
      <w:r>
        <w:t xml:space="preserve"> </w:t>
      </w:r>
      <w:r>
        <w:t xml:space="preserve">Whether Lunar takes a cut of this $464/customer or passes it through entirely is unclear from public data.</w:t>
      </w:r>
    </w:p>
    <w:p>
      <w:pPr>
        <w:pStyle w:val="FirstParagraph"/>
      </w:pPr>
      <w:r>
        <w:rPr>
          <w:b/>
        </w:rPr>
        <w:t xml:space="preserve">The $67.9M Revenue Figure — Reconciliation:</w:t>
      </w:r>
    </w:p>
    <w:p>
      <w:pPr>
        <w:pStyle w:val="BodyText"/>
      </w:pPr>
      <w:r>
        <w:t xml:space="preserve">The Lunar Energy annual revenue was $67.9 million in 2026 according to one data source.</w:t>
      </w:r>
      <w:r>
        <w:t xml:space="preserve"> </w:t>
      </w:r>
      <w:r>
        <w:t xml:space="preserve">This figure, reported by RocketReach for 2026, likely represents one or more of:</w:t>
      </w:r>
      <w:r>
        <w:t xml:space="preserve"> </w:t>
      </w:r>
      <w:r>
        <w:t xml:space="preserve">1.</w:t>
      </w:r>
      <w:r>
        <w:t xml:space="preserve"> </w:t>
      </w:r>
      <w:r>
        <w:rPr>
          <w:b/>
        </w:rPr>
        <w:t xml:space="preserve">Projected/forward-looking revenue</w:t>
      </w:r>
      <w:r>
        <w:t xml:space="preserve"> </w:t>
      </w:r>
      <w:r>
        <w:t xml:space="preserve">for FY2026, reflecting the company’s plan to reach 20,000 units by end of 2026 (which, at $12K–$15K ASP, would imply $240M+ — so this still doesn’t fully reconcile)</w:t>
      </w:r>
      <w:r>
        <w:t xml:space="preserve"> </w:t>
      </w:r>
      <w:r>
        <w:t xml:space="preserve">2.</w:t>
      </w:r>
      <w:r>
        <w:t xml:space="preserve"> </w:t>
      </w:r>
      <w:r>
        <w:rPr>
          <w:b/>
        </w:rPr>
        <w:t xml:space="preserve">Algorithmic/estimated revenue</w:t>
      </w:r>
      <w:r>
        <w:t xml:space="preserve"> </w:t>
      </w:r>
      <w:r>
        <w:t xml:space="preserve">— RocketReach and similar platforms use employee count, geography, and industry benchmarks to estimate revenue algorithmically, without access to actual financials. The estimate may reflect a model output, not actual reported revenue</w:t>
      </w:r>
      <w:r>
        <w:t xml:space="preserve"> </w:t>
      </w:r>
      <w:r>
        <w:t xml:space="preserve">3.</w:t>
      </w:r>
      <w:r>
        <w:t xml:space="preserve"> </w:t>
      </w:r>
      <w:r>
        <w:rPr>
          <w:b/>
        </w:rPr>
        <w:t xml:space="preserve">Inclusive of Gridshare global software revenue</w:t>
      </w:r>
      <w:r>
        <w:t xml:space="preserve"> </w:t>
      </w:r>
      <w:r>
        <w:t xml:space="preserve">— if Gridshare is managing 650 MW of assets for Sunrun/utilities globally, even a modest $5–$10/kW/year licensing fee would generate $3M–$6.5M in software revenue. Combined with hardware, consolidated revenue could approach $40M–$50M if some Gridshare contracts are larger than estimated</w:t>
      </w:r>
      <w:r>
        <w:t xml:space="preserve"> </w:t>
      </w:r>
      <w:r>
        <w:t xml:space="preserve">4.</w:t>
      </w:r>
      <w:r>
        <w:t xml:space="preserve"> </w:t>
      </w:r>
      <w:r>
        <w:rPr>
          <w:b/>
        </w:rPr>
        <w:t xml:space="preserve">Timing difference</w:t>
      </w:r>
      <w:r>
        <w:t xml:space="preserve"> </w:t>
      </w:r>
      <w:r>
        <w:t xml:space="preserve">— The $35M figure may be trailing 12 months as of June 2025, while $67.9M may be a projected full-year 2025 or annualized run-rate figure based on the most recent quarter</w:t>
      </w:r>
    </w:p>
    <w:p>
      <w:pPr>
        <w:pStyle w:val="BodyText"/>
      </w:pPr>
      <w:r>
        <w:rPr>
          <w:b/>
        </w:rPr>
        <w:t xml:space="preserve">Assessment:</w:t>
      </w:r>
      <w:r>
        <w:t xml:space="preserve"> </w:t>
      </w:r>
      <w:r>
        <w:t xml:space="preserve">The $67.9M figure is almost certainly not verified audited revenue. The $35M figure from Canary Media (citing market traction data in the Series D context) is more credible. This discrepancy is a RED FLAG for any data source that relies on RocketReach for private company financials.</w:t>
      </w:r>
    </w:p>
    <w:p>
      <w:pPr>
        <w:pStyle w:val="Heading3"/>
      </w:pPr>
      <w:bookmarkStart w:id="36" w:name="b.-cash-flow-and-runway-analysis"/>
      <w:r>
        <w:t xml:space="preserve">3B. Cash Flow and Runway Analysis</w:t>
      </w:r>
      <w:bookmarkEnd w:id="36"/>
    </w:p>
    <w:p>
      <w:pPr>
        <w:pStyle w:val="FirstParagraph"/>
      </w:pPr>
      <w:r>
        <w:rPr>
          <w:b/>
        </w:rPr>
        <w:t xml:space="preserve">Payroll Burden Estimate:</w:t>
      </w:r>
    </w:p>
    <w:p>
      <w:pPr>
        <w:pStyle w:val="BodyText"/>
      </w:pPr>
      <w:r>
        <w:t xml:space="preserve">226 employees, split across:</w:t>
      </w:r>
      <w:r>
        <w:t xml:space="preserve"> </w:t>
      </w:r>
      <w:r>
        <w:t xml:space="preserve">- Mountain View (est. 140): Average total compensation (hardware/firmware/software engineers, Bay Area) = $200,000–$280,000/year loaded (salary + equity amortization + benefits + payroll taxes)</w:t>
      </w:r>
      <w:r>
        <w:t xml:space="preserve"> </w:t>
      </w:r>
      <w:r>
        <w:t xml:space="preserve">- London (est. 50): Average total compensation (UK software engineers) = £80,000–£120,000 GBP = ~$100,000–$150,000 USD loaded</w:t>
      </w:r>
      <w:r>
        <w:t xml:space="preserve"> </w:t>
      </w:r>
      <w:r>
        <w:t xml:space="preserve">- Georgia/Washington (est. 36): Assembly technicians, operations = $70,000–$100,000 loaded</w:t>
      </w:r>
    </w:p>
    <w:p>
      <w:pPr>
        <w:pStyle w:val="BodyText"/>
      </w:pPr>
      <w:r>
        <w:rPr>
          <w:b/>
        </w:rPr>
        <w:t xml:space="preserve">Estimated Annual Payroll Burden:</w:t>
      </w:r>
      <w:r>
        <w:t xml:space="preserve"> </w:t>
      </w:r>
      <w:r>
        <w:t xml:space="preserve">- Mountain View (140 × $235K avg.): ~$32.9M</w:t>
      </w:r>
      <w:r>
        <w:t xml:space="preserve"> </w:t>
      </w:r>
      <w:r>
        <w:t xml:space="preserve">- London (50 × $125K avg.): ~$6.3M</w:t>
      </w:r>
      <w:r>
        <w:t xml:space="preserve"> </w:t>
      </w:r>
      <w:r>
        <w:t xml:space="preserve">- GA/WA (36 × $85K avg.): ~$3.1M</w:t>
      </w:r>
      <w:r>
        <w:t xml:space="preserve"> </w:t>
      </w:r>
      <w:r>
        <w:t xml:space="preserve">-</w:t>
      </w:r>
      <w:r>
        <w:t xml:space="preserve"> </w:t>
      </w:r>
      <w:r>
        <w:rPr>
          <w:b/>
        </w:rPr>
        <w:t xml:space="preserve">Total payroll burden: ~$42M–$48M/year</w:t>
      </w:r>
    </w:p>
    <w:p>
      <w:pPr>
        <w:pStyle w:val="BodyText"/>
      </w:pPr>
      <w:r>
        <w:rPr>
          <w:b/>
        </w:rPr>
        <w:t xml:space="preserve">Total Operating Expense Estimate (Annual):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Estimated Annual Spend</w:t>
            </w:r>
          </w:p>
        </w:tc>
      </w:tr>
      <w:tr>
        <w:tc>
          <w:p>
            <w:pPr>
              <w:pStyle w:val="Compact"/>
              <w:jc w:val="left"/>
            </w:pPr>
            <w:r>
              <w:t xml:space="preserve">Payroll (fully loaded, 226 employees)</w:t>
            </w:r>
          </w:p>
        </w:tc>
        <w:tc>
          <w:p>
            <w:pPr>
              <w:pStyle w:val="Compact"/>
              <w:jc w:val="left"/>
            </w:pPr>
            <w:r>
              <w:t xml:space="preserve">$42M–$48M</w:t>
            </w:r>
          </w:p>
        </w:tc>
      </w:tr>
      <w:tr>
        <w:tc>
          <w:p>
            <w:pPr>
              <w:pStyle w:val="Compact"/>
              <w:jc w:val="left"/>
            </w:pPr>
            <w:r>
              <w:t xml:space="preserve">Facilities (Mountain View, GA, WA, London)</w:t>
            </w:r>
          </w:p>
        </w:tc>
        <w:tc>
          <w:p>
            <w:pPr>
              <w:pStyle w:val="Compact"/>
              <w:jc w:val="left"/>
            </w:pPr>
            <w:r>
              <w:t xml:space="preserve">$4M–$6M</w:t>
            </w:r>
          </w:p>
        </w:tc>
      </w:tr>
      <w:tr>
        <w:tc>
          <w:p>
            <w:pPr>
              <w:pStyle w:val="Compact"/>
              <w:jc w:val="left"/>
            </w:pPr>
            <w:r>
              <w:t xml:space="preserve">Battery cell/component procurement (COGS)</w:t>
            </w:r>
          </w:p>
        </w:tc>
        <w:tc>
          <w:p>
            <w:pPr>
              <w:pStyle w:val="Compact"/>
              <w:jc w:val="left"/>
            </w:pPr>
            <w:r>
              <w:t xml:space="preserve">$10M–$15M</w:t>
            </w:r>
          </w:p>
        </w:tc>
      </w:tr>
      <w:tr>
        <w:tc>
          <w:p>
            <w:pPr>
              <w:pStyle w:val="Compact"/>
              <w:jc w:val="left"/>
            </w:pPr>
            <w:r>
              <w:t xml:space="preserve">R&amp;D materials, prototyping, testing</w:t>
            </w:r>
          </w:p>
        </w:tc>
        <w:tc>
          <w:p>
            <w:pPr>
              <w:pStyle w:val="Compact"/>
              <w:jc w:val="left"/>
            </w:pPr>
            <w:r>
              <w:t xml:space="preserve">$3M–$5M</w:t>
            </w:r>
          </w:p>
        </w:tc>
      </w:tr>
      <w:tr>
        <w:tc>
          <w:p>
            <w:pPr>
              <w:pStyle w:val="Compact"/>
              <w:jc w:val="left"/>
            </w:pPr>
            <w:r>
              <w:t xml:space="preserve">Marketing, sales, channel programs</w:t>
            </w:r>
          </w:p>
        </w:tc>
        <w:tc>
          <w:p>
            <w:pPr>
              <w:pStyle w:val="Compact"/>
              <w:jc w:val="left"/>
            </w:pPr>
            <w:r>
              <w:t xml:space="preserve">$2M–$4M</w:t>
            </w:r>
          </w:p>
        </w:tc>
      </w:tr>
      <w:tr>
        <w:tc>
          <w:p>
            <w:pPr>
              <w:pStyle w:val="Compact"/>
              <w:jc w:val="left"/>
            </w:pPr>
            <w:r>
              <w:t xml:space="preserve">Professional services (legal, audit, IP)</w:t>
            </w:r>
          </w:p>
        </w:tc>
        <w:tc>
          <w:p>
            <w:pPr>
              <w:pStyle w:val="Compact"/>
              <w:jc w:val="left"/>
            </w:pPr>
            <w:r>
              <w:t xml:space="preserve">$2M–$3M</w:t>
            </w:r>
          </w:p>
        </w:tc>
      </w:tr>
      <w:tr>
        <w:tc>
          <w:p>
            <w:pPr>
              <w:pStyle w:val="Compact"/>
              <w:jc w:val="left"/>
            </w:pPr>
            <w:r>
              <w:t xml:space="preserve">Insurance, IT, travel, admin</w:t>
            </w:r>
          </w:p>
        </w:tc>
        <w:tc>
          <w:p>
            <w:pPr>
              <w:pStyle w:val="Compact"/>
              <w:jc w:val="left"/>
            </w:pPr>
            <w:r>
              <w:t xml:space="preserve">$2M–$3M</w:t>
            </w:r>
          </w:p>
        </w:tc>
      </w:tr>
      <w:tr>
        <w:tc>
          <w:p>
            <w:pPr>
              <w:pStyle w:val="Compact"/>
              <w:jc w:val="left"/>
            </w:pPr>
            <w:r>
              <w:t xml:space="preserve">Capital expenditure (tooling, equipment)</w:t>
            </w:r>
          </w:p>
        </w:tc>
        <w:tc>
          <w:p>
            <w:pPr>
              <w:pStyle w:val="Compact"/>
              <w:jc w:val="left"/>
            </w:pPr>
            <w:r>
              <w:t xml:space="preserve">$5M–$10M</w:t>
            </w:r>
          </w:p>
        </w:tc>
      </w:tr>
      <w:tr>
        <w:tc>
          <w:p>
            <w:pPr>
              <w:pStyle w:val="Compact"/>
              <w:jc w:val="left"/>
            </w:pPr>
            <w:r>
              <w:rPr>
                <w:b/>
              </w:rPr>
              <w:t xml:space="preserve">Total Operating + CapEx</w:t>
            </w:r>
          </w:p>
        </w:tc>
        <w:tc>
          <w:p>
            <w:pPr>
              <w:pStyle w:val="Compact"/>
              <w:jc w:val="left"/>
            </w:pPr>
            <w:r>
              <w:rPr>
                <w:b/>
              </w:rPr>
              <w:t xml:space="preserve">~$70M–$94M/year</w:t>
            </w:r>
          </w:p>
        </w:tc>
      </w:tr>
    </w:tbl>
    <w:p>
      <w:pPr>
        <w:pStyle w:val="BodyText"/>
      </w:pPr>
      <w:r>
        <w:rPr>
          <w:b/>
        </w:rPr>
        <w:t xml:space="preserve">Revenue:</w:t>
      </w:r>
      <w:r>
        <w:t xml:space="preserve"> </w:t>
      </w:r>
      <w:r>
        <w:t xml:space="preserve">~$35M (FY2025 est.)</w:t>
      </w:r>
    </w:p>
    <w:p>
      <w:pPr>
        <w:pStyle w:val="BodyText"/>
      </w:pPr>
      <w:r>
        <w:rPr>
          <w:b/>
        </w:rPr>
        <w:t xml:space="preserve">Implied Net Cash Burn:</w:t>
      </w:r>
      <w:r>
        <w:t xml:space="preserve"> </w:t>
      </w:r>
      <w:r>
        <w:rPr>
          <w:b/>
        </w:rPr>
        <w:t xml:space="preserve">$35M–$59M/year</w:t>
      </w:r>
    </w:p>
    <w:p>
      <w:pPr>
        <w:pStyle w:val="BodyText"/>
      </w:pPr>
      <w:r>
        <w:rPr>
          <w:b/>
        </w:rPr>
        <w:t xml:space="preserve">Post-Series D Runway:</w:t>
      </w:r>
    </w:p>
    <w:p>
      <w:pPr>
        <w:pStyle w:val="BodyText"/>
      </w:pPr>
      <w:r>
        <w:t xml:space="preserve">The Series D ($102M) closed in early 2026, with the Series C ($130M) already deployed (raised ~2024). Pre-Series D, the company had consumed most of the original $300M since 2020–2022, and the Series C/D represent fresh capital. Assuming $232M raised in the Series C+D, with the Series C largely deployed through 2024–2025:</w:t>
      </w:r>
    </w:p>
    <w:p>
      <w:pPr>
        <w:pStyle w:val="BodyText"/>
      </w:pPr>
      <w:r>
        <w:t xml:space="preserve">Available cash at Series D close: approximately</w:t>
      </w:r>
      <w:r>
        <w:t xml:space="preserve"> </w:t>
      </w:r>
      <w:r>
        <w:rPr>
          <w:b/>
        </w:rPr>
        <w:t xml:space="preserve">$120M–$150M</w:t>
      </w:r>
      <w:r>
        <w:t xml:space="preserve"> </w:t>
      </w:r>
      <w:r>
        <w:t xml:space="preserve">(Series D proceeds + residual Series C)</w:t>
      </w:r>
    </w:p>
    <w:p>
      <w:pPr>
        <w:pStyle w:val="BodyText"/>
      </w:pPr>
      <w:r>
        <w:t xml:space="preserve">At a burn rate of $35M–$59M/year:</w:t>
      </w:r>
      <w:r>
        <w:t xml:space="preserve"> </w:t>
      </w:r>
      <w:r>
        <w:rPr>
          <w:b/>
        </w:rPr>
        <w:t xml:space="preserve">Runway = 2.0–4.3 years</w:t>
      </w:r>
      <w:r>
        <w:t xml:space="preserve"> </w:t>
      </w:r>
      <w:r>
        <w:t xml:space="preserve">(i.e., mid-2028 to early-2030 under base/bull scenarios)</w:t>
      </w:r>
    </w:p>
    <w:p>
      <w:pPr>
        <w:pStyle w:val="BodyText"/>
      </w:pPr>
      <w:r>
        <w:rPr>
          <w:b/>
        </w:rPr>
        <w:t xml:space="preserve">The CEO’s</w:t>
      </w:r>
      <w:r>
        <w:rPr>
          <w:b/>
        </w:rPr>
        <w:t xml:space="preserve"> </w:t>
      </w:r>
      <w:r>
        <w:rPr>
          <w:b/>
        </w:rPr>
        <w:t xml:space="preserve">“</w:t>
      </w:r>
      <w:r>
        <w:rPr>
          <w:b/>
        </w:rPr>
        <w:t xml:space="preserve">Never Raise Again</w:t>
      </w:r>
      <w:r>
        <w:rPr>
          <w:b/>
        </w:rPr>
        <w:t xml:space="preserve">”</w:t>
      </w:r>
      <w:r>
        <w:rPr>
          <w:b/>
        </w:rPr>
        <w:t xml:space="preserve"> </w:t>
      </w:r>
      <w:r>
        <w:rPr>
          <w:b/>
        </w:rPr>
        <w:t xml:space="preserve">Claim:</w:t>
      </w:r>
    </w:p>
    <w:p>
      <w:pPr>
        <w:pStyle w:val="BodyText"/>
      </w:pPr>
      <w:r>
        <w:t xml:space="preserve">Lunar Energy CEO Kunal Girotra declined to share the startup’s revenues or expectations for profitability. But he did say,</w:t>
      </w:r>
      <w:r>
        <w:t xml:space="preserve"> </w:t>
      </w:r>
      <w:r>
        <w:t xml:space="preserve">“</w:t>
      </w:r>
      <w:r>
        <w:t xml:space="preserve">This capital helps us, in a big way, in achieving our goals of not having to raise ever again.</w:t>
      </w:r>
      <w:r>
        <w:t xml:space="preserve">”</w:t>
      </w:r>
    </w:p>
    <w:p>
      <w:pPr>
        <w:pStyle w:val="BodyText"/>
      </w:pPr>
      <w:r>
        <w:rPr>
          <w:b/>
        </w:rPr>
        <w:t xml:space="preserve">Assessment: This claim is highly conditional and almost certainly aspirational rather than definitively achievable.</w:t>
      </w:r>
      <w:r>
        <w:t xml:space="preserve"> </w:t>
      </w:r>
      <w:r>
        <w:t xml:space="preserve">For it to be true, Lunar would need to:</w:t>
      </w:r>
      <w:r>
        <w:t xml:space="preserve"> </w:t>
      </w:r>
      <w:r>
        <w:t xml:space="preserve">1. Reach 20,000 units/year by end of 2026 (generating ~$300M–$350M revenue)</w:t>
      </w:r>
      <w:r>
        <w:t xml:space="preserve"> </w:t>
      </w:r>
      <w:r>
        <w:t xml:space="preserve">2. Achieve gross margins of 40%+ at that volume ($120M–$140M gross profit)</w:t>
      </w:r>
      <w:r>
        <w:t xml:space="preserve"> </w:t>
      </w:r>
      <w:r>
        <w:t xml:space="preserve">3. Simultaneously control operating expense growth such that EBITDA breakeven is achievable by 2027–2028</w:t>
      </w:r>
      <w:r>
        <w:t xml:space="preserve"> </w:t>
      </w:r>
      <w:r>
        <w:t xml:space="preserve">4. Avoid significant capital expenditure for the 100K/year capacity build (which likely requires $200M–$500M in manufacturing investment alone — see Section 4)</w:t>
      </w:r>
    </w:p>
    <w:p>
      <w:pPr>
        <w:pStyle w:val="BodyText"/>
      </w:pPr>
      <w:r>
        <w:t xml:space="preserve">The math does not close easily. The 10K → 100K capacity jump (Section 4) almost certainly requires additional capital beyond what is available from the Series D. Unless Lunar accesses debt financing (project finance, equipment financing, DOE Loan Programs Office), a Series E is probable by 2027–2028.</w:t>
      </w:r>
    </w:p>
    <w:p>
      <w:pPr>
        <w:pStyle w:val="BodyText"/>
      </w:pPr>
      <w:r>
        <w:rPr>
          <w:b/>
        </w:rPr>
        <w:t xml:space="preserve">Breakeven Analysis:</w:t>
      </w:r>
    </w:p>
    <w:p>
      <w:pPr>
        <w:pStyle w:val="BodyText"/>
      </w:pPr>
      <w:r>
        <w:t xml:space="preserve">To reach cash flow breakeven at ~$45M burn rate:</w:t>
      </w:r>
      <w:r>
        <w:t xml:space="preserve"> </w:t>
      </w:r>
      <w:r>
        <w:t xml:space="preserve">- Need $45M in gross profit</w:t>
      </w:r>
      <w:r>
        <w:t xml:space="preserve"> </w:t>
      </w:r>
      <w:r>
        <w:t xml:space="preserve">- At 40% GM: need $112M in revenue</w:t>
      </w:r>
      <w:r>
        <w:t xml:space="preserve"> </w:t>
      </w:r>
      <w:r>
        <w:t xml:space="preserve">- At $15,000 ASP: need ~7,500 units/year</w:t>
      </w:r>
      <w:r>
        <w:t xml:space="preserve"> </w:t>
      </w:r>
      <w:r>
        <w:t xml:space="preserve">- At 50% GM: need $90M in revenue → ~6,000 units/year</w:t>
      </w:r>
    </w:p>
    <w:p>
      <w:pPr>
        <w:pStyle w:val="BodyText"/>
      </w:pPr>
      <w:r>
        <w:t xml:space="preserve">The company’s stated path to 20,000 units/year by end of 2026 would, if achieved, provide</w:t>
      </w:r>
      <w:r>
        <w:t xml:space="preserve"> </w:t>
      </w:r>
      <w:r>
        <w:rPr>
          <w:b/>
        </w:rPr>
        <w:t xml:space="preserve">substantial margin to reach cash flow positivity</w:t>
      </w:r>
      <w:r>
        <w:t xml:space="preserve"> </w:t>
      </w:r>
      <w:r>
        <w:t xml:space="preserve">— but the execution risk of a 10x volume increase in a single year is extreme.</w:t>
      </w:r>
    </w:p>
    <w:p>
      <w:r>
        <w:pict>
          <v:rect style="width:0;height:1.5pt" o:hralign="center" o:hrstd="t" o:hr="t"/>
        </w:pict>
      </w:r>
    </w:p>
    <w:p>
      <w:pPr>
        <w:pStyle w:val="Heading2"/>
      </w:pPr>
      <w:bookmarkStart w:id="37" w:name="section-6"/>
      <w:r>
        <w:t xml:space="preserve">─────────────────────────────────────────</w:t>
      </w:r>
      <w:bookmarkEnd w:id="37"/>
    </w:p>
    <w:p>
      <w:pPr>
        <w:pStyle w:val="Heading2"/>
      </w:pPr>
      <w:bookmarkStart w:id="38" w:name="section-4-capacity-scale-up-feasibility"/>
      <w:r>
        <w:t xml:space="preserve">SECTION 4: CAPACITY SCALE-UP FEASIBILITY</w:t>
      </w:r>
      <w:bookmarkEnd w:id="38"/>
    </w:p>
    <w:p>
      <w:pPr>
        <w:pStyle w:val="Heading2"/>
      </w:pPr>
      <w:bookmarkStart w:id="39" w:name="section-7"/>
      <w:r>
        <w:t xml:space="preserve">─────────────────────────────────────────</w:t>
      </w:r>
      <w:bookmarkEnd w:id="39"/>
    </w:p>
    <w:p>
      <w:pPr>
        <w:pStyle w:val="Heading3"/>
      </w:pPr>
      <w:bookmarkStart w:id="40" w:name="X59dea75b6d7b586430641377f16749f48b1e47c"/>
      <w:r>
        <w:t xml:space="preserve">4A. Manufacturing Floor Space Requirements</w:t>
      </w:r>
      <w:bookmarkEnd w:id="40"/>
    </w:p>
    <w:p>
      <w:pPr>
        <w:pStyle w:val="FirstParagraph"/>
      </w:pPr>
      <w:r>
        <w:t xml:space="preserve">The firm plans to increase its manufacturing capacity from about 10,000 battery systems per year today to 20,000 per year by the end of 2026 and to 100,000 per year by the end of 2028.</w:t>
      </w:r>
    </w:p>
    <w:p>
      <w:pPr>
        <w:pStyle w:val="BodyText"/>
      </w:pPr>
      <w:r>
        <w:t xml:space="preserve">For 100,000 × 20 kWh =</w:t>
      </w:r>
      <w:r>
        <w:t xml:space="preserve"> </w:t>
      </w:r>
      <w:r>
        <w:rPr>
          <w:b/>
        </w:rPr>
        <w:t xml:space="preserve">2 GWh/year</w:t>
      </w:r>
      <w:r>
        <w:t xml:space="preserve"> </w:t>
      </w:r>
      <w:r>
        <w:t xml:space="preserve">of residential battery assembly:</w:t>
      </w:r>
    </w:p>
    <w:p>
      <w:pPr>
        <w:pStyle w:val="BodyText"/>
      </w:pPr>
      <w:r>
        <w:t xml:space="preserve">Benchmarking against comparable assembly operations (not cell manufacturing):</w:t>
      </w:r>
      <w:r>
        <w:t xml:space="preserve"> </w:t>
      </w:r>
      <w:r>
        <w:t xml:space="preserve">- At 100K units/year, a residential battery assembly line requires approximately</w:t>
      </w:r>
      <w:r>
        <w:t xml:space="preserve"> </w:t>
      </w:r>
      <w:r>
        <w:rPr>
          <w:b/>
        </w:rPr>
        <w:t xml:space="preserve">200,000–400,000 sq ft</w:t>
      </w:r>
      <w:r>
        <w:t xml:space="preserve"> </w:t>
      </w:r>
      <w:r>
        <w:t xml:space="preserve">of dedicated space, assuming semi-automated lines with significant automated testing infrastructure</w:t>
      </w:r>
      <w:r>
        <w:t xml:space="preserve"> </w:t>
      </w:r>
      <w:r>
        <w:t xml:space="preserve">- For comparison, Base Power is building its factory</w:t>
      </w:r>
      <w:r>
        <w:t xml:space="preserve"> </w:t>
      </w:r>
      <w:r>
        <w:t xml:space="preserve">at the site of the former Austin American-Statesman printing press in downtown Austin,</w:t>
      </w:r>
      <w:r>
        <w:t xml:space="preserve"> </w:t>
      </w:r>
      <w:r>
        <w:t xml:space="preserve">which suggests a facility of similar scale</w:t>
      </w:r>
    </w:p>
    <w:p>
      <w:pPr>
        <w:pStyle w:val="BodyText"/>
      </w:pPr>
      <w:r>
        <w:t xml:space="preserve">The current three-facility footprint (35K sq ft Mountain View + estimated 50K–100K sq ft GA + unknown WA) totaling perhaps</w:t>
      </w:r>
      <w:r>
        <w:t xml:space="preserve"> </w:t>
      </w:r>
      <w:r>
        <w:rPr>
          <w:b/>
        </w:rPr>
        <w:t xml:space="preserve">120,000–200,000 sq ft</w:t>
      </w:r>
      <w:r>
        <w:t xml:space="preserve"> </w:t>
      </w:r>
      <w:r>
        <w:t xml:space="preserve">is adequate for 10,000–20,000 units/year. Reaching 100K/year requires</w:t>
      </w:r>
      <w:r>
        <w:t xml:space="preserve"> </w:t>
      </w:r>
      <w:r>
        <w:rPr>
          <w:b/>
        </w:rPr>
        <w:t xml:space="preserve">a new, purpose-built facility of 300,000+ sq ft.</w:t>
      </w:r>
    </w:p>
    <w:p>
      <w:pPr>
        <w:pStyle w:val="Heading3"/>
      </w:pPr>
      <w:bookmarkStart w:id="41" w:name="b.-capital-investment-for-100k-unitsyear"/>
      <w:r>
        <w:t xml:space="preserve">4B. Capital Investment for 100K Units/Year</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Investment Category</w:t>
            </w:r>
          </w:p>
        </w:tc>
        <w:tc>
          <w:tcPr>
            <w:tcBorders>
              <w:bottom w:val="single"/>
            </w:tcBorders>
            <w:vAlign w:val="bottom"/>
          </w:tcPr>
          <w:p>
            <w:pPr>
              <w:pStyle w:val="Compact"/>
              <w:jc w:val="left"/>
            </w:pPr>
            <w:r>
              <w:t xml:space="preserve">Estimated Cost</w:t>
            </w:r>
          </w:p>
        </w:tc>
      </w:tr>
      <w:tr>
        <w:tc>
          <w:p>
            <w:pPr>
              <w:pStyle w:val="Compact"/>
              <w:jc w:val="left"/>
            </w:pPr>
            <w:r>
              <w:t xml:space="preserve">New facility (acquisition or long-term lease buildout)</w:t>
            </w:r>
          </w:p>
        </w:tc>
        <w:tc>
          <w:p>
            <w:pPr>
              <w:pStyle w:val="Compact"/>
              <w:jc w:val="left"/>
            </w:pPr>
            <w:r>
              <w:t xml:space="preserve">$50M–$100M</w:t>
            </w:r>
          </w:p>
        </w:tc>
      </w:tr>
      <w:tr>
        <w:tc>
          <w:p>
            <w:pPr>
              <w:pStyle w:val="Compact"/>
              <w:jc w:val="left"/>
            </w:pPr>
            <w:r>
              <w:t xml:space="preserve">Automated assembly and testing equipment</w:t>
            </w:r>
          </w:p>
        </w:tc>
        <w:tc>
          <w:p>
            <w:pPr>
              <w:pStyle w:val="Compact"/>
              <w:jc w:val="left"/>
            </w:pPr>
            <w:r>
              <w:t xml:space="preserve">$80M–$150M</w:t>
            </w:r>
          </w:p>
        </w:tc>
      </w:tr>
      <w:tr>
        <w:tc>
          <w:p>
            <w:pPr>
              <w:pStyle w:val="Compact"/>
              <w:jc w:val="left"/>
            </w:pPr>
            <w:r>
              <w:t xml:space="preserve">Battery formation cycling equipment</w:t>
            </w:r>
          </w:p>
        </w:tc>
        <w:tc>
          <w:p>
            <w:pPr>
              <w:pStyle w:val="Compact"/>
              <w:jc w:val="left"/>
            </w:pPr>
            <w:r>
              <w:t xml:space="preserve">$30M–$60M</w:t>
            </w:r>
          </w:p>
        </w:tc>
      </w:tr>
      <w:tr>
        <w:tc>
          <w:p>
            <w:pPr>
              <w:pStyle w:val="Compact"/>
              <w:jc w:val="left"/>
            </w:pPr>
            <w:r>
              <w:t xml:space="preserve">Quality systems, software, tooling</w:t>
            </w:r>
          </w:p>
        </w:tc>
        <w:tc>
          <w:p>
            <w:pPr>
              <w:pStyle w:val="Compact"/>
              <w:jc w:val="left"/>
            </w:pPr>
            <w:r>
              <w:t xml:space="preserve">$20M–$40M</w:t>
            </w:r>
          </w:p>
        </w:tc>
      </w:tr>
      <w:tr>
        <w:tc>
          <w:p>
            <w:pPr>
              <w:pStyle w:val="Compact"/>
              <w:jc w:val="left"/>
            </w:pPr>
            <w:r>
              <w:t xml:space="preserve">Working capital (inventory build-ahead)</w:t>
            </w:r>
          </w:p>
        </w:tc>
        <w:tc>
          <w:p>
            <w:pPr>
              <w:pStyle w:val="Compact"/>
              <w:jc w:val="left"/>
            </w:pPr>
            <w:r>
              <w:t xml:space="preserve">$50M–$100M</w:t>
            </w:r>
          </w:p>
        </w:tc>
      </w:tr>
      <w:tr>
        <w:tc>
          <w:p>
            <w:pPr>
              <w:pStyle w:val="Compact"/>
              <w:jc w:val="left"/>
            </w:pPr>
            <w:r>
              <w:rPr>
                <w:b/>
              </w:rPr>
              <w:t xml:space="preserve">Total Estimated CapEx + Working Capital</w:t>
            </w:r>
          </w:p>
        </w:tc>
        <w:tc>
          <w:p>
            <w:pPr>
              <w:pStyle w:val="Compact"/>
              <w:jc w:val="left"/>
            </w:pPr>
            <w:r>
              <w:rPr>
                <w:b/>
              </w:rPr>
              <w:t xml:space="preserve">$230M–$450M</w:t>
            </w:r>
          </w:p>
        </w:tc>
      </w:tr>
    </w:tbl>
    <w:p>
      <w:pPr>
        <w:pStyle w:val="BodyText"/>
      </w:pPr>
      <w:r>
        <w:t xml:space="preserve">This analysis immediately reveals the tension in the CEO’s</w:t>
      </w:r>
      <w:r>
        <w:t xml:space="preserve"> </w:t>
      </w:r>
      <w:r>
        <w:t xml:space="preserve">“</w:t>
      </w:r>
      <w:r>
        <w:t xml:space="preserve">never raise again</w:t>
      </w:r>
      <w:r>
        <w:t xml:space="preserve">”</w:t>
      </w:r>
      <w:r>
        <w:t xml:space="preserve"> </w:t>
      </w:r>
      <w:r>
        <w:t xml:space="preserve">statement. The Series D provides ~$102M of fresh capital.</w:t>
      </w:r>
      <w:r>
        <w:t xml:space="preserve"> </w:t>
      </w:r>
      <w:r>
        <w:rPr>
          <w:b/>
        </w:rPr>
        <w:t xml:space="preserve">Manufacturing scale-up to 100K units alone would consume 2–4x the Series D amount</w:t>
      </w:r>
      <w:r>
        <w:t xml:space="preserve">, unless structured through debt (equipment financing, DOE LPO, private credit).</w:t>
      </w:r>
    </w:p>
    <w:p>
      <w:pPr>
        <w:pStyle w:val="Heading3"/>
      </w:pPr>
      <w:bookmarkStart w:id="42" w:name="c.-battery-cell-supply-at-2-gwhyear"/>
      <w:r>
        <w:t xml:space="preserve">4C. Battery Cell Supply at 2 GWh/Year</w:t>
      </w:r>
      <w:bookmarkEnd w:id="42"/>
    </w:p>
    <w:p>
      <w:pPr>
        <w:pStyle w:val="FirstParagraph"/>
      </w:pPr>
      <w:r>
        <w:t xml:space="preserve">Lunar VP of Revenue Ed Gunn noted that the company is</w:t>
      </w:r>
      <w:r>
        <w:t xml:space="preserve"> </w:t>
      </w:r>
      <w:r>
        <w:t xml:space="preserve">“</w:t>
      </w:r>
      <w:r>
        <w:t xml:space="preserve">proudly domestic content.</w:t>
      </w:r>
      <w:r>
        <w:t xml:space="preserve">”</w:t>
      </w:r>
      <w:r>
        <w:t xml:space="preserve"> </w:t>
      </w:r>
      <w:r>
        <w:t xml:space="preserve">Girotra says this means the company’s products qualify as non-FEOC and can secure the ITC and domestic content incentives for third-party owners.</w:t>
      </w:r>
    </w:p>
    <w:p>
      <w:pPr>
        <w:pStyle w:val="BodyText"/>
      </w:pPr>
      <w:r>
        <w:t xml:space="preserve">At 2 GWh/year of FEOC-compliant LFP cell demand:</w:t>
      </w:r>
      <w:r>
        <w:t xml:space="preserve"> </w:t>
      </w:r>
      <w:r>
        <w:t xml:space="preserve">- SK On’s Commerce, Georgia facility has a stated capacity approaching</w:t>
      </w:r>
      <w:r>
        <w:t xml:space="preserve"> </w:t>
      </w:r>
      <w:r>
        <w:t xml:space="preserve">9.8 GWh by 2022</w:t>
      </w:r>
      <w:r>
        <w:t xml:space="preserve"> </w:t>
      </w:r>
      <w:r>
        <w:t xml:space="preserve">— but this is</w:t>
      </w:r>
      <w:r>
        <w:t xml:space="preserve"> </w:t>
      </w:r>
      <w:r>
        <w:rPr>
          <w:b/>
        </w:rPr>
        <w:t xml:space="preserve">EV-format pouch cells for Ford/VW</w:t>
      </w:r>
      <w:r>
        <w:t xml:space="preserve">, not LFP prismatic cells for stationary storage</w:t>
      </w:r>
      <w:r>
        <w:t xml:space="preserve"> </w:t>
      </w:r>
      <w:r>
        <w:t xml:space="preserve">- Supplying 2 GWh/year of FEOC-compliant LFP cells is a</w:t>
      </w:r>
      <w:r>
        <w:t xml:space="preserve"> </w:t>
      </w:r>
      <w:r>
        <w:rPr>
          <w:b/>
        </w:rPr>
        <w:t xml:space="preserve">realistic but non-trivial</w:t>
      </w:r>
      <w:r>
        <w:t xml:space="preserve"> </w:t>
      </w:r>
      <w:r>
        <w:t xml:space="preserve">supply chain challenge. SK’s Korean LFP capacity could supply this, but geopolitical disruption risk and tariff risk (South Korean products face less tariff pressure than Chinese, but are not tariff-free) must be modeled</w:t>
      </w:r>
    </w:p>
    <w:p>
      <w:pPr>
        <w:pStyle w:val="BodyText"/>
      </w:pPr>
      <w:r>
        <w:t xml:space="preserve">At $120–$160/kWh (Korean-sourced LFP, estimated small-volume pricing), a 2 GWh supply contract represents</w:t>
      </w:r>
      <w:r>
        <w:t xml:space="preserve"> </w:t>
      </w:r>
      <w:r>
        <w:rPr>
          <w:b/>
        </w:rPr>
        <w:t xml:space="preserve">$240M–$320M in annual cell procurement</w:t>
      </w:r>
      <w:r>
        <w:t xml:space="preserve"> </w:t>
      </w:r>
      <w:r>
        <w:t xml:space="preserve">— a sum that demands multi-year offtake agreements with robust credit support.</w:t>
      </w:r>
    </w:p>
    <w:p>
      <w:pPr>
        <w:pStyle w:val="Heading3"/>
      </w:pPr>
      <w:bookmarkStart w:id="43" w:name="Xf96a60ef22a2d0e5d32fcfe406ee342379f7f97"/>
      <w:r>
        <w:t xml:space="preserve">4D. Workforce Requirements at 100K Units/Year</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Headcount</w:t>
            </w:r>
          </w:p>
        </w:tc>
      </w:tr>
      <w:tr>
        <w:tc>
          <w:p>
            <w:pPr>
              <w:pStyle w:val="Compact"/>
              <w:jc w:val="left"/>
            </w:pPr>
            <w:r>
              <w:t xml:space="preserve">Assembly technicians (direct labor)</w:t>
            </w:r>
          </w:p>
        </w:tc>
        <w:tc>
          <w:p>
            <w:pPr>
              <w:pStyle w:val="Compact"/>
              <w:jc w:val="left"/>
            </w:pPr>
            <w:r>
              <w:t xml:space="preserve">300–500</w:t>
            </w:r>
          </w:p>
        </w:tc>
      </w:tr>
      <w:tr>
        <w:tc>
          <w:p>
            <w:pPr>
              <w:pStyle w:val="Compact"/>
              <w:jc w:val="left"/>
            </w:pPr>
            <w:r>
              <w:t xml:space="preserve">Quality control / testing</w:t>
            </w:r>
          </w:p>
        </w:tc>
        <w:tc>
          <w:p>
            <w:pPr>
              <w:pStyle w:val="Compact"/>
              <w:jc w:val="left"/>
            </w:pPr>
            <w:r>
              <w:t xml:space="preserve">80–120</w:t>
            </w:r>
          </w:p>
        </w:tc>
      </w:tr>
      <w:tr>
        <w:tc>
          <w:p>
            <w:pPr>
              <w:pStyle w:val="Compact"/>
              <w:jc w:val="left"/>
            </w:pPr>
            <w:r>
              <w:t xml:space="preserve">Logistics / warehousing</w:t>
            </w:r>
          </w:p>
        </w:tc>
        <w:tc>
          <w:p>
            <w:pPr>
              <w:pStyle w:val="Compact"/>
              <w:jc w:val="left"/>
            </w:pPr>
            <w:r>
              <w:t xml:space="preserve">60–100</w:t>
            </w:r>
          </w:p>
        </w:tc>
      </w:tr>
      <w:tr>
        <w:tc>
          <w:p>
            <w:pPr>
              <w:pStyle w:val="Compact"/>
              <w:jc w:val="left"/>
            </w:pPr>
            <w:r>
              <w:t xml:space="preserve">Manufacturing engineering</w:t>
            </w:r>
          </w:p>
        </w:tc>
        <w:tc>
          <w:p>
            <w:pPr>
              <w:pStyle w:val="Compact"/>
              <w:jc w:val="left"/>
            </w:pPr>
            <w:r>
              <w:t xml:space="preserve">50–80</w:t>
            </w:r>
          </w:p>
        </w:tc>
      </w:tr>
      <w:tr>
        <w:tc>
          <w:p>
            <w:pPr>
              <w:pStyle w:val="Compact"/>
              <w:jc w:val="left"/>
            </w:pPr>
            <w:r>
              <w:t xml:space="preserve">G&amp;A / sales / software (relatively fixed)</w:t>
            </w:r>
          </w:p>
        </w:tc>
        <w:tc>
          <w:p>
            <w:pPr>
              <w:pStyle w:val="Compact"/>
              <w:jc w:val="left"/>
            </w:pPr>
            <w:r>
              <w:t xml:space="preserve">200–250</w:t>
            </w:r>
          </w:p>
        </w:tc>
      </w:tr>
      <w:tr>
        <w:tc>
          <w:p>
            <w:pPr>
              <w:pStyle w:val="Compact"/>
              <w:jc w:val="left"/>
            </w:pPr>
            <w:r>
              <w:rPr>
                <w:b/>
              </w:rPr>
              <w:t xml:space="preserve">Total</w:t>
            </w:r>
          </w:p>
        </w:tc>
        <w:tc>
          <w:p>
            <w:pPr>
              <w:pStyle w:val="Compact"/>
              <w:jc w:val="left"/>
            </w:pPr>
            <w:r>
              <w:rPr>
                <w:b/>
              </w:rPr>
              <w:t xml:space="preserve">~700–1,050</w:t>
            </w:r>
          </w:p>
        </w:tc>
      </w:tr>
    </w:tbl>
    <w:p>
      <w:pPr>
        <w:pStyle w:val="BodyText"/>
      </w:pPr>
      <w:r>
        <w:t xml:space="preserve">This represents a</w:t>
      </w:r>
      <w:r>
        <w:t xml:space="preserve"> </w:t>
      </w:r>
      <w:r>
        <w:rPr>
          <w:b/>
        </w:rPr>
        <w:t xml:space="preserve">3–5x headcount increase</w:t>
      </w:r>
      <w:r>
        <w:t xml:space="preserve"> </w:t>
      </w:r>
      <w:r>
        <w:t xml:space="preserve">from current levels, requiring significant recruitment and training investment — particularly challenging in a competitive labor market for skilled manufacturing technicians.</w:t>
      </w:r>
    </w:p>
    <w:p>
      <w:pPr>
        <w:pStyle w:val="Heading3"/>
      </w:pPr>
      <w:bookmarkStart w:id="44" w:name="X4f92972b4d90d68bf281758287593384dc0fb47"/>
      <w:r>
        <w:t xml:space="preserve">4E. Historical Precedent for 10K → 100K in 3 Years</w:t>
      </w:r>
      <w:bookmarkEnd w:id="44"/>
    </w:p>
    <w:p>
      <w:pPr>
        <w:pStyle w:val="FirstParagraph"/>
      </w:pPr>
      <w:r>
        <w:t xml:space="preserve">There is</w:t>
      </w:r>
      <w:r>
        <w:t xml:space="preserve"> </w:t>
      </w:r>
      <w:r>
        <w:rPr>
          <w:b/>
        </w:rPr>
        <w:t xml:space="preserve">essentially no historical precedent</w:t>
      </w:r>
      <w:r>
        <w:t xml:space="preserve"> </w:t>
      </w:r>
      <w:r>
        <w:t xml:space="preserve">for a residential battery manufacturer achieving this ramp rate without either (a) being vertically integrated with a major cell manufacturer, or (b) being backed by a sovereign wealth fund or major OEM. Relevant comparisons:</w:t>
      </w:r>
    </w:p>
    <w:p>
      <w:pPr>
        <w:numPr>
          <w:ilvl w:val="0"/>
          <w:numId w:val="1007"/>
        </w:numPr>
        <w:pStyle w:val="Compact"/>
      </w:pPr>
      <w:r>
        <w:rPr>
          <w:b/>
        </w:rPr>
        <w:t xml:space="preserve">Enphase Energy</w:t>
      </w:r>
      <w:r>
        <w:t xml:space="preserve"> </w:t>
      </w:r>
      <w:r>
        <w:t xml:space="preserve">(microinverters): Took from founding (2006) to $100M revenue (approximately 2012–2013) — roughly 7 years. The scaling pace was much slower.</w:t>
      </w:r>
      <w:r>
        <w:t xml:space="preserve"> </w:t>
      </w:r>
      <w:r>
        <w:t xml:space="preserve">Enphase Energy annual revenue for 2022 was $2.331B, a 68.65% increase from 2021</w:t>
      </w:r>
      <w:r>
        <w:t xml:space="preserve"> </w:t>
      </w:r>
      <w:r>
        <w:t xml:space="preserve">— but this came 16 years after founding.</w:t>
      </w:r>
    </w:p>
    <w:p>
      <w:pPr>
        <w:numPr>
          <w:ilvl w:val="0"/>
          <w:numId w:val="1007"/>
        </w:numPr>
        <w:pStyle w:val="Compact"/>
      </w:pPr>
      <w:r>
        <w:rPr>
          <w:b/>
        </w:rPr>
        <w:t xml:space="preserve">Tesla Energy (Powerwall)</w:t>
      </w:r>
      <w:r>
        <w:t xml:space="preserve">: Launched Powerwall in 2015, but still deploying only tens of thousands of units/year by 2018. Scale came after Gigafactory cell supply was established.</w:t>
      </w:r>
    </w:p>
    <w:p>
      <w:pPr>
        <w:numPr>
          <w:ilvl w:val="0"/>
          <w:numId w:val="1007"/>
        </w:numPr>
        <w:pStyle w:val="Compact"/>
      </w:pPr>
      <w:r>
        <w:rPr>
          <w:b/>
        </w:rPr>
        <w:t xml:space="preserve">Base Power</w:t>
      </w:r>
      <w:r>
        <w:t xml:space="preserve">:</w:t>
      </w:r>
      <w:r>
        <w:t xml:space="preserve"> </w:t>
      </w:r>
      <w:r>
        <w:t xml:space="preserve">In less than two years, Base has deployed more than 100 MWh of residential battery capacity.</w:t>
      </w:r>
      <w:r>
        <w:t xml:space="preserve"> </w:t>
      </w:r>
      <w:r>
        <w:t xml:space="preserve">But Base uses a fundamentally different model (utility-integrated, Texas ERCOT grid, own-and-operate) and has raised</w:t>
      </w:r>
      <w:r>
        <w:t xml:space="preserve"> </w:t>
      </w:r>
      <w:r>
        <w:t xml:space="preserve">$1.3 billion total</w:t>
      </w:r>
      <w:r>
        <w:t xml:space="preserve"> </w:t>
      </w:r>
      <w:r>
        <w:t xml:space="preserve">— 2.4x Lunar’s total raise.</w:t>
      </w:r>
    </w:p>
    <w:p>
      <w:pPr>
        <w:pStyle w:val="FirstParagraph"/>
      </w:pPr>
      <w:r>
        <w:t xml:space="preserve">The 10K → 100K in 36 months target is</w:t>
      </w:r>
      <w:r>
        <w:t xml:space="preserve"> </w:t>
      </w:r>
      <w:r>
        <w:rPr>
          <w:b/>
        </w:rPr>
        <w:t xml:space="preserve">operationally heroic</w:t>
      </w:r>
      <w:r>
        <w:t xml:space="preserve"> </w:t>
      </w:r>
      <w:r>
        <w:t xml:space="preserve">and should be stress-tested heavily by any investor. The most comparable hardware scale-up successes in cleantech required either: (1) unlimited Chinese manufacturing access (not available to Lunar given FEOC constraints), or (2) a strategic partnership with a major manufacturer willing to dedicate capacity.</w:t>
      </w:r>
    </w:p>
    <w:p>
      <w:r>
        <w:pict>
          <v:rect style="width:0;height:1.5pt" o:hralign="center" o:hrstd="t" o:hr="t"/>
        </w:pict>
      </w:r>
    </w:p>
    <w:p>
      <w:pPr>
        <w:pStyle w:val="Heading2"/>
      </w:pPr>
      <w:bookmarkStart w:id="45" w:name="section-8"/>
      <w:r>
        <w:t xml:space="preserve">─────────────────────────────────────────</w:t>
      </w:r>
      <w:bookmarkEnd w:id="45"/>
    </w:p>
    <w:p>
      <w:pPr>
        <w:pStyle w:val="Heading2"/>
      </w:pPr>
      <w:bookmarkStart w:id="46" w:name="X23789c755acade3b31247e78f64e28d7053e047"/>
      <w:r>
        <w:t xml:space="preserve">SECTION 5: UNDERUTILIZED ASSETS &amp; HIDDEN VALUE</w:t>
      </w:r>
      <w:bookmarkEnd w:id="46"/>
    </w:p>
    <w:p>
      <w:pPr>
        <w:pStyle w:val="Heading2"/>
      </w:pPr>
      <w:bookmarkStart w:id="47" w:name="section-9"/>
      <w:r>
        <w:t xml:space="preserve">─────────────────────────────────────────</w:t>
      </w:r>
      <w:bookmarkEnd w:id="47"/>
    </w:p>
    <w:p>
      <w:pPr>
        <w:pStyle w:val="Heading3"/>
      </w:pPr>
      <w:bookmarkStart w:id="48" w:name="Xb5c701d21318b4097c15053bf8ecfee108e4092"/>
      <w:r>
        <w:t xml:space="preserve">5A. Mountain View Facility — Excess Capacity</w:t>
      </w:r>
      <w:bookmarkEnd w:id="48"/>
    </w:p>
    <w:p>
      <w:pPr>
        <w:pStyle w:val="FirstParagraph"/>
      </w:pPr>
      <w:r>
        <w:t xml:space="preserve">The 35,000 sq ft Mountain View facility at an estimated</w:t>
      </w:r>
      <w:r>
        <w:t xml:space="preserve"> </w:t>
      </w:r>
      <w:r>
        <w:rPr>
          <w:b/>
        </w:rPr>
        <w:t xml:space="preserve">~20% production utilization</w:t>
      </w:r>
      <w:r>
        <w:t xml:space="preserve"> </w:t>
      </w:r>
      <w:r>
        <w:t xml:space="preserve">represents a costly underutilized asset. Options:</w:t>
      </w:r>
    </w:p>
    <w:p>
      <w:pPr>
        <w:numPr>
          <w:ilvl w:val="0"/>
          <w:numId w:val="1008"/>
        </w:numPr>
      </w:pPr>
      <w:r>
        <w:rPr>
          <w:b/>
        </w:rPr>
        <w:t xml:space="preserve">Sublease partial space:</w:t>
      </w:r>
      <w:r>
        <w:t xml:space="preserve"> </w:t>
      </w:r>
      <w:r>
        <w:t xml:space="preserve">Given Mountain View’s strong industrial demand (</w:t>
      </w:r>
      <w:r>
        <w:t xml:space="preserve"> </w:t>
      </w:r>
      <w:r>
        <w:t xml:space="preserve">average $33/sq ft</w:t>
      </w:r>
      <w:r>
        <w:t xml:space="preserve"> </w:t>
      </w:r>
      <w:r>
        <w:t xml:space="preserve">), subleasing 15,000–20,000 sq ft at market rates could generate $500K–$650K/year in sublease income — partially offsetting the $1.5M–$2M annual occupancy burden. However, laboratory buildout costs would need to be recovered, and tenant improvements complicate subleasing.</w:t>
      </w:r>
    </w:p>
    <w:p>
      <w:pPr>
        <w:numPr>
          <w:ilvl w:val="0"/>
          <w:numId w:val="1008"/>
        </w:numPr>
      </w:pPr>
      <w:r>
        <w:rPr>
          <w:b/>
        </w:rPr>
        <w:t xml:space="preserve">Environmental testing as a service:</w:t>
      </w:r>
      <w:r>
        <w:t xml:space="preserve"> </w:t>
      </w:r>
      <w:r>
        <w:t xml:space="preserve">Lunar almost certainly has climate/environmental chambers, vibration testing equipment, and electrical safety test infrastructure. Offering this as a service to other Bay Area battery, EV, and power electronics startups is viable. The Bay Area has a dense ecosystem of hardware startups that need UL-level testing infrastructure without owning it. This is a</w:t>
      </w:r>
      <w:r>
        <w:t xml:space="preserve"> </w:t>
      </w:r>
      <w:r>
        <w:rPr>
          <w:b/>
        </w:rPr>
        <w:t xml:space="preserve">$500K–$2M/year revenue opportunity</w:t>
      </w:r>
      <w:r>
        <w:t xml:space="preserve"> </w:t>
      </w:r>
      <w:r>
        <w:t xml:space="preserve">if structured as a testing services business — with the added benefit of generating intelligence on competing technologies.</w:t>
      </w:r>
    </w:p>
    <w:p>
      <w:pPr>
        <w:numPr>
          <w:ilvl w:val="0"/>
          <w:numId w:val="1008"/>
        </w:numPr>
      </w:pPr>
      <w:r>
        <w:rPr>
          <w:b/>
        </w:rPr>
        <w:t xml:space="preserve">Contract manufacturing (R&amp;D prototypes):</w:t>
      </w:r>
      <w:r>
        <w:t xml:space="preserve"> </w:t>
      </w:r>
      <w:r>
        <w:t xml:space="preserve">The engineering team’s capability to take a hardware concept from schematic to working prototype is valuable. Offering engineering services or contract R&amp;D to adjacent sectors (EV charging, grid equipment) is theoretically possible but strategically risky (distraction, IP leakage).</w:t>
      </w:r>
    </w:p>
    <w:p>
      <w:pPr>
        <w:pStyle w:val="Heading3"/>
      </w:pPr>
      <w:bookmarkStart w:id="49" w:name="b.-engineering-ip-and-licensing-value"/>
      <w:r>
        <w:t xml:space="preserve">5B. Engineering IP and Licensing Value</w:t>
      </w:r>
      <w:bookmarkEnd w:id="49"/>
    </w:p>
    <w:p>
      <w:pPr>
        <w:pStyle w:val="FirstParagraph"/>
      </w:pPr>
      <w:r>
        <w:t xml:space="preserve">The Lunar engineering team — largely ex-Tesla Energy, Lyft, Princeton Power, SolarCity — has designed a fully integrated DC-coupled hybrid inverter + battery management system from scratch.</w:t>
      </w:r>
      <w:r>
        <w:t xml:space="preserve"> </w:t>
      </w:r>
      <w:r>
        <w:t xml:space="preserve">CTO Mark co-founded Princeton Power Systems, developing the first AC-coupled solar battery microgrid still powering Alcatraz today.</w:t>
      </w:r>
      <w:r>
        <w:t xml:space="preserve"> </w:t>
      </w:r>
      <w:r>
        <w:t xml:space="preserve">This represents:</w:t>
      </w:r>
      <w:r>
        <w:t xml:space="preserve"> </w:t>
      </w:r>
      <w:r>
        <w:t xml:space="preserve">- Deep inverter and power electronics IP</w:t>
      </w:r>
      <w:r>
        <w:t xml:space="preserve"> </w:t>
      </w:r>
      <w:r>
        <w:t xml:space="preserve">- Proprietary BMS firmware</w:t>
      </w:r>
      <w:r>
        <w:t xml:space="preserve"> </w:t>
      </w:r>
      <w:r>
        <w:t xml:space="preserve">- Gridshare DERMS/VPP software platform (inherited from Moixa, extensively developed since)</w:t>
      </w:r>
    </w:p>
    <w:p>
      <w:pPr>
        <w:pStyle w:val="BodyText"/>
      </w:pPr>
      <w:r>
        <w:t xml:space="preserve">The Gridshare platform is particularly underappreciated.</w:t>
      </w:r>
      <w:r>
        <w:t xml:space="preserve"> </w:t>
      </w:r>
      <w:r>
        <w:t xml:space="preserve">Lunar Gridshare is a cloud-based, device-agnostic software platform that aggregates distributed energy resources (DER) into optimized VPP fleets. With 59,000 DERs connected across Europe, Asia, and North America, Lunar Gridshare has a proven track record.</w:t>
      </w:r>
      <w:r>
        <w:t xml:space="preserve"> </w:t>
      </w:r>
      <w:r>
        <w:t xml:space="preserve">And at the Series D:</w:t>
      </w:r>
      <w:r>
        <w:t xml:space="preserve"> </w:t>
      </w:r>
      <w:r>
        <w:t xml:space="preserve">With thousands of systems deployed and 650 MW of devices under management across multiple continents, Lunar is proving integrated hardware and software delivers value at scale.</w:t>
      </w:r>
    </w:p>
    <w:p>
      <w:pPr>
        <w:pStyle w:val="BodyText"/>
      </w:pPr>
      <w:r>
        <w:rPr>
          <w:b/>
        </w:rPr>
        <w:t xml:space="preserve">The software platform, managed independently, could command a valuation of $100M–$500M</w:t>
      </w:r>
      <w:r>
        <w:t xml:space="preserve"> </w:t>
      </w:r>
      <w:r>
        <w:t xml:space="preserve">based on comparable DERMS/VPP software companies. Lunar has not separated this value. This is the most significant</w:t>
      </w:r>
      <w:r>
        <w:t xml:space="preserve"> </w:t>
      </w:r>
      <w:r>
        <w:t xml:space="preserve">“</w:t>
      </w:r>
      <w:r>
        <w:t xml:space="preserve">hidden value</w:t>
      </w:r>
      <w:r>
        <w:t xml:space="preserve">”</w:t>
      </w:r>
      <w:r>
        <w:t xml:space="preserve"> </w:t>
      </w:r>
      <w:r>
        <w:t xml:space="preserve">in the company’s portfolio — it is currently bundled with hardware but could be a standalone SaaS business.</w:t>
      </w:r>
    </w:p>
    <w:p>
      <w:pPr>
        <w:pStyle w:val="BodyText"/>
      </w:pPr>
      <w:r>
        <w:t xml:space="preserve">Girotra says what sets Lunar Energy apart is that it both makes its own batteries and its software can talk to devices that aren’t its own.</w:t>
      </w:r>
      <w:r>
        <w:t xml:space="preserve"> </w:t>
      </w:r>
      <w:r>
        <w:t xml:space="preserve">“</w:t>
      </w:r>
      <w:r>
        <w:t xml:space="preserve">What is unique is we’re the only company that makes our own hardware and has a software that also works with other people’s hardware,</w:t>
      </w:r>
      <w:r>
        <w:t xml:space="preserve">”</w:t>
      </w:r>
      <w:r>
        <w:t xml:space="preserve"> </w:t>
      </w:r>
      <w:r>
        <w:t xml:space="preserve">Girotra said.</w:t>
      </w:r>
      <w:r>
        <w:t xml:space="preserve"> </w:t>
      </w:r>
      <w:r>
        <w:t xml:space="preserve">“</w:t>
      </w:r>
      <w:r>
        <w:t xml:space="preserve">There are standalone software companies, standalone hardware companies, but none that exist that do this combination.</w:t>
      </w:r>
      <w:r>
        <w:t xml:space="preserve">”</w:t>
      </w:r>
    </w:p>
    <w:p>
      <w:pPr>
        <w:pStyle w:val="Heading3"/>
      </w:pPr>
      <w:bookmarkStart w:id="50" w:name="c.-warranty-returns-and-defective-units"/>
      <w:r>
        <w:t xml:space="preserve">5C. Warranty Returns and Defective Units</w:t>
      </w:r>
      <w:bookmarkEnd w:id="50"/>
    </w:p>
    <w:p>
      <w:pPr>
        <w:pStyle w:val="FirstParagraph"/>
      </w:pPr>
      <w:r>
        <w:t xml:space="preserve">No public data exists on Lunar’s warranty claim rate. The company promotes rigorous testing:</w:t>
      </w:r>
      <w:r>
        <w:t xml:space="preserve"> </w:t>
      </w:r>
      <w:r>
        <w:t xml:space="preserve">the Lunar System is built for the world as it is.</w:t>
      </w:r>
      <w:r>
        <w:t xml:space="preserve"> </w:t>
      </w:r>
      <w:r>
        <w:t xml:space="preserve">“</w:t>
      </w:r>
      <w:r>
        <w:t xml:space="preserve">We put every part of the system through a series of brutal tests — hot or cold or wet or dry. It’s the best-engineered response to the worst possible conditions.</w:t>
      </w:r>
      <w:r>
        <w:t xml:space="preserve">”</w:t>
      </w:r>
    </w:p>
    <w:p>
      <w:pPr>
        <w:pStyle w:val="BodyText"/>
      </w:pPr>
      <w:r>
        <w:t xml:space="preserve">At 2,000 deployed units with presumably &lt;2 years of field time, warranty events are likely minimal but growing as the fleet ages. Industry benchmarks for residential battery systems suggest a 2–5% first-year warranty rate, rising to 5–10% in years 3–5 for components. At $17,500 ASP, even a 3% warranty rate on 2,000 units implies</w:t>
      </w:r>
      <w:r>
        <w:t xml:space="preserve"> </w:t>
      </w:r>
      <w:r>
        <w:rPr>
          <w:b/>
        </w:rPr>
        <w:t xml:space="preserve">$1.05M in warranty exposure</w:t>
      </w:r>
      <w:r>
        <w:t xml:space="preserve"> </w:t>
      </w:r>
      <w:r>
        <w:t xml:space="preserve">— a manageable but growing liability.</w:t>
      </w:r>
    </w:p>
    <w:p>
      <w:pPr>
        <w:pStyle w:val="BodyText"/>
      </w:pPr>
      <w:r>
        <w:t xml:space="preserve">There is no evidence of a formal refurbishment or recycling operation for returned units. At current volumes, returned systems likely go to engineering for root-cause analysis and are then disposed of. This will become a regulatory and ESG issue as the fleet scales.</w:t>
      </w:r>
    </w:p>
    <w:p>
      <w:pPr>
        <w:pStyle w:val="Heading3"/>
      </w:pPr>
      <w:bookmarkStart w:id="51" w:name="d.-inventory-assessment"/>
      <w:r>
        <w:t xml:space="preserve">5D. Inventory Assessment</w:t>
      </w:r>
      <w:bookmarkEnd w:id="51"/>
    </w:p>
    <w:p>
      <w:pPr>
        <w:pStyle w:val="FirstParagraph"/>
      </w:pPr>
      <w:r>
        <w:t xml:space="preserve">At 10K/year capacity with ~2,000 units/year deployed, the company is operating at</w:t>
      </w:r>
      <w:r>
        <w:t xml:space="preserve"> </w:t>
      </w:r>
      <w:r>
        <w:rPr>
          <w:b/>
        </w:rPr>
        <w:t xml:space="preserve">~20% capacity utilization on the installed base side</w:t>
      </w:r>
      <w:r>
        <w:t xml:space="preserve">, but this does</w:t>
      </w:r>
      <w:r>
        <w:t xml:space="preserve"> </w:t>
      </w:r>
      <w:r>
        <w:rPr>
          <w:i/>
        </w:rPr>
        <w:t xml:space="preserve">not</w:t>
      </w:r>
      <w:r>
        <w:t xml:space="preserve"> </w:t>
      </w:r>
      <w:r>
        <w:t xml:space="preserve">necessarily imply 80% inventory buildup. The gap between 10K capacity and 2K deployments reflects an</w:t>
      </w:r>
      <w:r>
        <w:t xml:space="preserve"> </w:t>
      </w:r>
      <w:r>
        <w:rPr>
          <w:b/>
        </w:rPr>
        <w:t xml:space="preserve">installer channel constraint, not a production overrun</w:t>
      </w:r>
      <w:r>
        <w:t xml:space="preserve">. This is a critical distinction analyzed in detail in the Notable Anomalies section.</w:t>
      </w:r>
    </w:p>
    <w:p>
      <w:r>
        <w:pict>
          <v:rect style="width:0;height:1.5pt" o:hralign="center" o:hrstd="t" o:hr="t"/>
        </w:pict>
      </w:r>
    </w:p>
    <w:p>
      <w:pPr>
        <w:pStyle w:val="Heading2"/>
      </w:pPr>
      <w:bookmarkStart w:id="52" w:name="section-10"/>
      <w:r>
        <w:t xml:space="preserve">─────────────────────────────────────────</w:t>
      </w:r>
      <w:bookmarkEnd w:id="52"/>
    </w:p>
    <w:p>
      <w:pPr>
        <w:pStyle w:val="Heading2"/>
      </w:pPr>
      <w:bookmarkStart w:id="53" w:name="section-6-financial-benchmarking"/>
      <w:r>
        <w:t xml:space="preserve">SECTION 6: FINANCIAL BENCHMARKING</w:t>
      </w:r>
      <w:bookmarkEnd w:id="53"/>
    </w:p>
    <w:p>
      <w:pPr>
        <w:pStyle w:val="Heading2"/>
      </w:pPr>
      <w:bookmarkStart w:id="54" w:name="section-11"/>
      <w:r>
        <w:t xml:space="preserve">─────────────────────────────────────────</w:t>
      </w:r>
      <w:bookmarkEnd w:id="54"/>
    </w:p>
    <w:p>
      <w:pPr>
        <w:pStyle w:val="Heading3"/>
      </w:pPr>
      <w:bookmarkStart w:id="55" w:name="a.-tesla-energy-division"/>
      <w:r>
        <w:t xml:space="preserve">6A. Tesla Energy Division</w:t>
      </w:r>
      <w:bookmarkEnd w:id="55"/>
    </w:p>
    <w:p>
      <w:pPr>
        <w:pStyle w:val="FirstParagraph"/>
      </w:pPr>
      <w:r>
        <w:t xml:space="preserve">Tesla Energy (Powerwall + Megapack combined) has grown from a small business line to a</w:t>
      </w:r>
      <w:r>
        <w:t xml:space="preserve"> </w:t>
      </w:r>
      <w:r>
        <w:rPr>
          <w:b/>
        </w:rPr>
        <w:t xml:space="preserve">high-margin, fast-growing segment</w:t>
      </w:r>
      <w:r>
        <w:t xml:space="preserve">.</w:t>
      </w:r>
      <w:r>
        <w:t xml:space="preserve"> </w:t>
      </w:r>
      <w:r>
        <w:t xml:space="preserve">Tesla’s energy storage division has been growing faster than any other part of the company, posting dramatic quarter-over-quarter gains.</w:t>
      </w:r>
      <w:r>
        <w:t xml:space="preserve"> </w:t>
      </w:r>
      <w:r>
        <w:t xml:space="preserve">Tesla’s advantage: vertically integrated cell supply, massive volume leverage, brand recognition, and an installed base of millions of vehicles with integrated software ecosystems. Lunar cannot replicate this trajectory without either a similarly scaled cell manufacturing partnership or an acquisition by a major OEM/utility.</w:t>
      </w:r>
    </w:p>
    <w:p>
      <w:pPr>
        <w:pStyle w:val="BodyText"/>
      </w:pPr>
      <w:r>
        <w:t xml:space="preserve">Key structural difference: Tesla operates at gross margins of 20–30% on Powerwall (hardware-weighted); Lunar’s software (Gridshare) has the potential for much higher software-like margins — but at current scale, this is theoretical.</w:t>
      </w:r>
    </w:p>
    <w:p>
      <w:pPr>
        <w:pStyle w:val="Heading3"/>
      </w:pPr>
      <w:bookmarkStart w:id="56" w:name="b.-enphase-energy-at-35m-revenue-stage"/>
      <w:r>
        <w:t xml:space="preserve">6B. Enphase Energy at $35M Revenue Stage</w:t>
      </w:r>
      <w:bookmarkEnd w:id="56"/>
    </w:p>
    <w:p>
      <w:pPr>
        <w:pStyle w:val="FirstParagraph"/>
      </w:pPr>
      <w:r>
        <w:t xml:space="preserve">Enphase Energy reached approximately $35M in annual revenue around</w:t>
      </w:r>
      <w:r>
        <w:t xml:space="preserve"> </w:t>
      </w:r>
      <w:r>
        <w:rPr>
          <w:b/>
        </w:rPr>
        <w:t xml:space="preserve">2012–2013</w:t>
      </w:r>
      <w:r>
        <w:t xml:space="preserve">, roughly 6–7 years after its 2006 founding — compared to Lunar’s 2–3 years to the same revenue level. Enphase at the $35M stage:</w:t>
      </w:r>
      <w:r>
        <w:t xml:space="preserve"> </w:t>
      </w:r>
      <w:r>
        <w:t xml:space="preserve">- Had ~350 employees</w:t>
      </w:r>
      <w:r>
        <w:t xml:space="preserve"> </w:t>
      </w:r>
      <w:r>
        <w:t xml:space="preserve">- Was just reaching GAAP gross margin positivity (~20–25%)</w:t>
      </w:r>
      <w:r>
        <w:t xml:space="preserve"> </w:t>
      </w:r>
      <w:r>
        <w:t xml:space="preserve">- Was burning ~$15M–$25M/year</w:t>
      </w:r>
      <w:r>
        <w:t xml:space="preserve"> </w:t>
      </w:r>
      <w:r>
        <w:t xml:space="preserve">- Had not yet found its</w:t>
      </w:r>
      <w:r>
        <w:t xml:space="preserve"> </w:t>
      </w:r>
      <w:r>
        <w:t xml:space="preserve">“</w:t>
      </w:r>
      <w:r>
        <w:t xml:space="preserve">hockey stick</w:t>
      </w:r>
      <w:r>
        <w:t xml:space="preserve">”</w:t>
      </w:r>
      <w:r>
        <w:t xml:space="preserve"> </w:t>
      </w:r>
      <w:r>
        <w:t xml:space="preserve">— that came with NEM policy changes and the IQ microinverter platform in 2016–2019</w:t>
      </w:r>
    </w:p>
    <w:p>
      <w:pPr>
        <w:pStyle w:val="BodyText"/>
      </w:pPr>
      <w:r>
        <w:t xml:space="preserve">Enphase Energy annual revenue for 2022 was $2.331B, a 68.65% increase from 2021</w:t>
      </w:r>
      <w:r>
        <w:t xml:space="preserve"> </w:t>
      </w:r>
      <w:r>
        <w:t xml:space="preserve">— but this came over a decade after its $35M revenue inflection. The path from $35M to $100M took Enphase approximately 4–5 years. For Lunar, the Series D capital injection and the stated 20K/year capacity target could potentially compress this to</w:t>
      </w:r>
      <w:r>
        <w:t xml:space="preserve"> </w:t>
      </w:r>
      <w:r>
        <w:rPr>
          <w:b/>
        </w:rPr>
        <w:t xml:space="preserve">2–3 years</w:t>
      </w:r>
      <w:r>
        <w:t xml:space="preserve"> </w:t>
      </w:r>
      <w:r>
        <w:t xml:space="preserve">IF the installer channel executes and the lease model scales.</w:t>
      </w:r>
    </w:p>
    <w:p>
      <w:pPr>
        <w:pStyle w:val="Heading3"/>
      </w:pPr>
      <w:bookmarkStart w:id="57" w:name="c.-franklinwh"/>
      <w:r>
        <w:t xml:space="preserve">6C. FranklinWH</w:t>
      </w:r>
      <w:bookmarkEnd w:id="57"/>
    </w:p>
    <w:p>
      <w:pPr>
        <w:pStyle w:val="FirstParagraph"/>
      </w:pPr>
      <w:r>
        <w:t xml:space="preserve">FranklinWH (private, founded 2019) competes directly with Lunar. Key characteristics:</w:t>
      </w:r>
      <w:r>
        <w:t xml:space="preserve"> </w:t>
      </w:r>
      <w:r>
        <w:t xml:space="preserve">- Based on public reports, FranklinWH has deployed significantly more units than Lunar, benefiting from a simpler product architecture (compatible with multiple inverters) and aggressive installer channel development</w:t>
      </w:r>
      <w:r>
        <w:t xml:space="preserve"> </w:t>
      </w:r>
      <w:r>
        <w:t xml:space="preserve">- Revenue estimated at $50M–$100M range for 2024</w:t>
      </w:r>
      <w:r>
        <w:t xml:space="preserve"> </w:t>
      </w:r>
      <w:r>
        <w:t xml:space="preserve">- Gross margins estimated at 20–30% (hardware-only)</w:t>
      </w:r>
      <w:r>
        <w:t xml:space="preserve"> </w:t>
      </w:r>
      <w:r>
        <w:t xml:space="preserve">- FranklinWH took a</w:t>
      </w:r>
      <w:r>
        <w:t xml:space="preserve"> </w:t>
      </w:r>
      <w:r>
        <w:t xml:space="preserve">“</w:t>
      </w:r>
      <w:r>
        <w:t xml:space="preserve">software-light, hardware-fast</w:t>
      </w:r>
      <w:r>
        <w:t xml:space="preserve">”</w:t>
      </w:r>
      <w:r>
        <w:t xml:space="preserve"> </w:t>
      </w:r>
      <w:r>
        <w:t xml:space="preserve">approach — opposite of Lunar’s integrated strategy</w:t>
      </w:r>
      <w:r>
        <w:t xml:space="preserve"> </w:t>
      </w:r>
      <w:r>
        <w:t xml:space="preserve">- The comparison highlights that</w:t>
      </w:r>
      <w:r>
        <w:t xml:space="preserve"> </w:t>
      </w:r>
      <w:r>
        <w:rPr>
          <w:b/>
        </w:rPr>
        <w:t xml:space="preserve">installer channel penetration, not product sophistication, is the dominant driver of residential battery revenue at the $35M–$200M stage</w:t>
      </w:r>
    </w:p>
    <w:p>
      <w:pPr>
        <w:pStyle w:val="Heading3"/>
      </w:pPr>
      <w:bookmarkStart w:id="58" w:name="d.-base-power"/>
      <w:r>
        <w:t xml:space="preserve">6D. Base Power</w:t>
      </w:r>
      <w:bookmarkEnd w:id="58"/>
    </w:p>
    <w:p>
      <w:pPr>
        <w:pStyle w:val="FirstParagraph"/>
      </w:pPr>
      <w:r>
        <w:t xml:space="preserve">Base Power announced it has raised $1 billion in Series C financing.</w:t>
      </w:r>
    </w:p>
    <w:p>
      <w:pPr>
        <w:pStyle w:val="BodyText"/>
      </w:pPr>
      <w:r>
        <w:t xml:space="preserve">In October 2025, Base Power raised a $1 billion Series C at a $4 billion post-money valuation.</w:t>
      </w:r>
      <w:r>
        <w:t xml:space="preserve"> </w:t>
      </w:r>
      <w:r>
        <w:t xml:space="preserve">Base’s model is structurally different from Lunar — Base owns and operates the batteries (utility-as-a-service model in ERCOT), rather than selling hardware to TPOs.</w:t>
      </w:r>
      <w:r>
        <w:t xml:space="preserve"> </w:t>
      </w:r>
      <w:r>
        <w:t xml:space="preserve">In less than two years, Base has deployed more than 100 MWh of residential battery capacity.</w:t>
      </w:r>
    </w:p>
    <w:p>
      <w:pPr>
        <w:pStyle w:val="BodyText"/>
      </w:pPr>
      <w:r>
        <w:rPr>
          <w:b/>
        </w:rPr>
        <w:t xml:space="preserve">Lunar vs. Base comparison:</w:t>
      </w:r>
      <w:r>
        <w:t xml:space="preserve"> </w:t>
      </w:r>
      <w:r>
        <w:t xml:space="preserve">-</w:t>
      </w:r>
      <w:r>
        <w:t xml:space="preserve"> </w:t>
      </w:r>
      <w:r>
        <w:rPr>
          <w:b/>
        </w:rPr>
        <w:t xml:space="preserve">Lunar:</w:t>
      </w:r>
      <w:r>
        <w:t xml:space="preserve"> </w:t>
      </w:r>
      <w:r>
        <w:t xml:space="preserve">Hardware manufacturer + software licensor; sells to installers/TPOs; California-focused; FEOC-compliant SK supply chain; $532M raised; 2,000 units deployed</w:t>
      </w:r>
      <w:r>
        <w:t xml:space="preserve"> </w:t>
      </w:r>
      <w:r>
        <w:t xml:space="preserve">-</w:t>
      </w:r>
      <w:r>
        <w:t xml:space="preserve"> </w:t>
      </w:r>
      <w:r>
        <w:rPr>
          <w:b/>
        </w:rPr>
        <w:t xml:space="preserve">Base:</w:t>
      </w:r>
      <w:r>
        <w:t xml:space="preserve"> </w:t>
      </w:r>
      <w:r>
        <w:t xml:space="preserve">Owns assets, acts as electricity retailer; Texas/ERCOT-focused; $1.3B raised; 100 MWh deployed (equivalent to ~4,000–8,000 units depending on system size)</w:t>
      </w:r>
    </w:p>
    <w:p>
      <w:pPr>
        <w:pStyle w:val="BodyText"/>
      </w:pPr>
      <w:r>
        <w:t xml:space="preserve">Base is scaling faster by deployment count, but uses 2.4x more capital to do so. Lunar’s capital efficiency is better — but Lunar doesn’t capture the full lifetime economics of the battery (those go to the TPO/lessor).</w:t>
      </w:r>
    </w:p>
    <w:p>
      <w:pPr>
        <w:pStyle w:val="Heading3"/>
      </w:pPr>
      <w:bookmarkStart w:id="59" w:name="Xc60076800d361e13fe92f50691d724d68190a09"/>
      <w:r>
        <w:t xml:space="preserve">6E. Sonnen at Time of Shell Acquisition (2019)</w:t>
      </w:r>
      <w:bookmarkEnd w:id="59"/>
    </w:p>
    <w:p>
      <w:pPr>
        <w:pStyle w:val="FirstParagraph"/>
      </w:pPr>
      <w:r>
        <w:t xml:space="preserve">Sonnen was acquired by Shell in 2019 at a reported valuation of ~$500M–$700M (not publicly disclosed). At time of acquisition:</w:t>
      </w:r>
      <w:r>
        <w:t xml:space="preserve"> </w:t>
      </w:r>
      <w:r>
        <w:t xml:space="preserve">- Revenue: estimated €50M–€80M annually</w:t>
      </w:r>
      <w:r>
        <w:t xml:space="preserve"> </w:t>
      </w:r>
      <w:r>
        <w:t xml:space="preserve">- Units deployed: ~50,000+ globally (Germany, Australia, US)</w:t>
      </w:r>
      <w:r>
        <w:t xml:space="preserve"> </w:t>
      </w:r>
      <w:r>
        <w:t xml:space="preserve">- Business model: hardware + SaaS subscription (</w:t>
      </w:r>
      <w:r>
        <w:t xml:space="preserve">“</w:t>
      </w:r>
      <w:r>
        <w:t xml:space="preserve">sonnenFlat</w:t>
      </w:r>
      <w:r>
        <w:t xml:space="preserve">”</w:t>
      </w:r>
      <w:r>
        <w:t xml:space="preserve"> </w:t>
      </w:r>
      <w:r>
        <w:t xml:space="preserve">community model)</w:t>
      </w:r>
      <w:r>
        <w:t xml:space="preserve"> </w:t>
      </w:r>
      <w:r>
        <w:t xml:space="preserve">- The acquisition price implies a</w:t>
      </w:r>
      <w:r>
        <w:t xml:space="preserve"> </w:t>
      </w:r>
      <w:r>
        <w:rPr>
          <w:b/>
        </w:rPr>
        <w:t xml:space="preserve">6–14x revenue multiple</w:t>
      </w:r>
      <w:r>
        <w:t xml:space="preserve"> </w:t>
      </w:r>
      <w:r>
        <w:t xml:space="preserve">— driven by recurring software/energy trading revenue and the strategic value of the VPP fleet</w:t>
      </w:r>
    </w:p>
    <w:p>
      <w:pPr>
        <w:pStyle w:val="BodyText"/>
      </w:pPr>
      <w:r>
        <w:t xml:space="preserve">Lunar’s Gridshare platform, if scaled to 100K deployed units, would command a similar strategic premium. The Sonnen precedent is the most relevant M&amp;A comp for Lunar at the $100M–$500M revenue stage.</w:t>
      </w:r>
    </w:p>
    <w:p>
      <w:pPr>
        <w:pStyle w:val="BodyText"/>
      </w:pPr>
      <w:r>
        <w:rPr>
          <w:b/>
        </w:rPr>
        <w:t xml:space="preserve">Milestone Benchmarking:</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Revenue Stage</w:t>
            </w:r>
          </w:p>
        </w:tc>
        <w:tc>
          <w:tcPr>
            <w:tcBorders>
              <w:bottom w:val="single"/>
            </w:tcBorders>
            <w:vAlign w:val="bottom"/>
          </w:tcPr>
          <w:p>
            <w:pPr>
              <w:pStyle w:val="Compact"/>
              <w:jc w:val="left"/>
            </w:pPr>
            <w:r>
              <w:t xml:space="preserve">Key Milestones Achieved by Successful Companies</w:t>
            </w:r>
          </w:p>
        </w:tc>
      </w:tr>
      <w:tr>
        <w:tc>
          <w:p>
            <w:pPr>
              <w:pStyle w:val="Compact"/>
              <w:jc w:val="left"/>
            </w:pPr>
            <w:r>
              <w:t xml:space="preserve">$35M</w:t>
            </w:r>
          </w:p>
        </w:tc>
        <w:tc>
          <w:p>
            <w:pPr>
              <w:pStyle w:val="Compact"/>
              <w:jc w:val="left"/>
            </w:pPr>
            <w:r>
              <w:t xml:space="preserve">Product-market fit confirmed; installer channel established; first VPP programs live</w:t>
            </w:r>
          </w:p>
        </w:tc>
      </w:tr>
      <w:tr>
        <w:tc>
          <w:p>
            <w:pPr>
              <w:pStyle w:val="Compact"/>
              <w:jc w:val="left"/>
            </w:pPr>
            <w:r>
              <w:t xml:space="preserve">$100M</w:t>
            </w:r>
          </w:p>
        </w:tc>
        <w:tc>
          <w:p>
            <w:pPr>
              <w:pStyle w:val="Compact"/>
              <w:jc w:val="left"/>
            </w:pPr>
            <w:r>
              <w:t xml:space="preserve">10,000+ units deployed; 2–3 state markets; recurring software revenue &gt;10% of total; approaching hardware GM breakeven</w:t>
            </w:r>
          </w:p>
        </w:tc>
      </w:tr>
      <w:tr>
        <w:tc>
          <w:p>
            <w:pPr>
              <w:pStyle w:val="Compact"/>
              <w:jc w:val="left"/>
            </w:pPr>
            <w:r>
              <w:t xml:space="preserve">$500M</w:t>
            </w:r>
          </w:p>
        </w:tc>
        <w:tc>
          <w:p>
            <w:pPr>
              <w:pStyle w:val="Compact"/>
              <w:jc w:val="left"/>
            </w:pPr>
            <w:r>
              <w:t xml:space="preserve">50,000+ units; national distribution; software GM &gt;50%; strategic partnership with utility or energy major; Series E or pre-IPO round</w:t>
            </w:r>
          </w:p>
        </w:tc>
      </w:tr>
    </w:tbl>
    <w:p>
      <w:pPr>
        <w:pStyle w:val="BodyText"/>
      </w:pPr>
      <w:r>
        <w:t xml:space="preserve">Lunar’s current position: $35M revenue, 2,000 units, 1 state market, software platform scaling —</w:t>
      </w:r>
      <w:r>
        <w:t xml:space="preserve"> </w:t>
      </w:r>
      <w:r>
        <w:rPr>
          <w:b/>
        </w:rPr>
        <w:t xml:space="preserve">precisely at the $35M inflection point.</w:t>
      </w:r>
      <w:r>
        <w:t xml:space="preserve"> </w:t>
      </w:r>
      <w:r>
        <w:t xml:space="preserve">The trajectory to $100M is achievable in 2–3 years if the 20K unit target is reached; the trajectory to $500M requires either Gridshare monetization acceleration or a hardware volume breakthrough.</w:t>
      </w:r>
    </w:p>
    <w:p>
      <w:r>
        <w:pict>
          <v:rect style="width:0;height:1.5pt" o:hralign="center" o:hrstd="t" o:hr="t"/>
        </w:pict>
      </w:r>
    </w:p>
    <w:p>
      <w:pPr>
        <w:pStyle w:val="Heading2"/>
      </w:pPr>
      <w:bookmarkStart w:id="60" w:name="section-12"/>
      <w:r>
        <w:t xml:space="preserve">═══════════════════════════════════════</w:t>
      </w:r>
      <w:bookmarkEnd w:id="60"/>
    </w:p>
    <w:p>
      <w:pPr>
        <w:pStyle w:val="Heading2"/>
      </w:pPr>
      <w:bookmarkStart w:id="61" w:name="notable-anomalies"/>
      <w:r>
        <w:t xml:space="preserve">NOTABLE ANOMALIES</w:t>
      </w:r>
      <w:bookmarkEnd w:id="61"/>
    </w:p>
    <w:p>
      <w:pPr>
        <w:pStyle w:val="Heading2"/>
      </w:pPr>
      <w:bookmarkStart w:id="62" w:name="section-13"/>
      <w:r>
        <w:t xml:space="preserve">═══════════════════════════════════════</w:t>
      </w:r>
      <w:bookmarkEnd w:id="62"/>
    </w:p>
    <w:p>
      <w:pPr>
        <w:pStyle w:val="Heading3"/>
      </w:pPr>
      <w:bookmarkStart w:id="63" w:name="Xedc0805fd22cf391b7a97c675a2e12906fe7dc4"/>
      <w:r>
        <w:t xml:space="preserve">ANOMALY 1: The 10K Capacity vs. 2K Deployment Gap — Demand Problem, Supply Problem, or Channel Bottleneck?</w:t>
      </w:r>
      <w:bookmarkEnd w:id="63"/>
    </w:p>
    <w:p>
      <w:pPr>
        <w:pStyle w:val="FirstParagraph"/>
      </w:pPr>
      <w:r>
        <w:t xml:space="preserve">This is the single most important operational question about Lunar. The company has</w:t>
      </w:r>
      <w:r>
        <w:t xml:space="preserve"> </w:t>
      </w:r>
      <w:r>
        <w:rPr>
          <w:b/>
        </w:rPr>
        <w:t xml:space="preserve">stated capacity of 10,000 systems/year</w:t>
      </w:r>
      <w:r>
        <w:t xml:space="preserve"> </w:t>
      </w:r>
      <w:r>
        <w:t xml:space="preserve">but has deployed only</w:t>
      </w:r>
      <w:r>
        <w:t xml:space="preserve"> </w:t>
      </w:r>
      <w:r>
        <w:rPr>
          <w:b/>
        </w:rPr>
        <w:t xml:space="preserve">~2,000 systems</w:t>
      </w:r>
      <w:r>
        <w:t xml:space="preserve"> </w:t>
      </w:r>
      <w:r>
        <w:t xml:space="preserve">— a utilization rate of just ~20%. Three competing hypotheses:</w:t>
      </w:r>
    </w:p>
    <w:p>
      <w:pPr>
        <w:pStyle w:val="BodyText"/>
      </w:pPr>
      <w:r>
        <w:rPr>
          <w:b/>
        </w:rPr>
        <w:t xml:space="preserve">Hypothesis A — Installer Channel Bottleneck (Most Likely):</w:t>
      </w:r>
      <w:r>
        <w:t xml:space="preserve"> </w:t>
      </w:r>
      <w:r>
        <w:t xml:space="preserve">The residential solar+battery installer ecosystem is the constraining factor.</w:t>
      </w:r>
      <w:r>
        <w:t xml:space="preserve"> </w:t>
      </w:r>
      <w:r>
        <w:t xml:space="preserve">The company produces its equipment in California, Georgia, and Washington state and has installed it in about 2,000 homes and businesses in California.</w:t>
      </w:r>
      <w:r>
        <w:t xml:space="preserve"> </w:t>
      </w:r>
      <w:r>
        <w:t xml:space="preserve">With operations</w:t>
      </w:r>
      <w:r>
        <w:t xml:space="preserve"> </w:t>
      </w:r>
      <w:r>
        <w:rPr>
          <w:b/>
        </w:rPr>
        <w:t xml:space="preserve">exclusively in California</w:t>
      </w:r>
      <w:r>
        <w:t xml:space="preserve"> </w:t>
      </w:r>
      <w:r>
        <w:t xml:space="preserve">as of February 2026, the installer channel is limited to California-licensed solar+battery contractors. Building an installer network from 40+ partners to hundreds is a 12–24 month process requiring sales headcount, training programs, and quality assurance. This is the most likely explanation.</w:t>
      </w:r>
    </w:p>
    <w:p>
      <w:pPr>
        <w:pStyle w:val="BodyText"/>
      </w:pPr>
      <w:r>
        <w:rPr>
          <w:b/>
        </w:rPr>
        <w:t xml:space="preserve">Hypothesis B — The Lease Model Transition:</w:t>
      </w:r>
    </w:p>
    <w:p>
      <w:pPr>
        <w:pStyle w:val="BodyText"/>
      </w:pPr>
      <w:r>
        <w:t xml:space="preserve">In most cases, the systems are now being deployed through residential leases, meaning they are installed at no upfront cost to homeowners.</w:t>
      </w:r>
      <w:r>
        <w:t xml:space="preserve"> </w:t>
      </w:r>
      <w:r>
        <w:t xml:space="preserve">The transition from a cash-purchase to a lease model requires Sunrun and other TPOs to build out lease financing programs, which takes time to structure and deploy. This transition may have temporarily depressed unit volume in 2024–2025.</w:t>
      </w:r>
    </w:p>
    <w:p>
      <w:pPr>
        <w:pStyle w:val="BodyText"/>
      </w:pPr>
      <w:r>
        <w:rPr>
          <w:b/>
        </w:rPr>
        <w:t xml:space="preserve">Hypothesis C — Demand Shortfall:</w:t>
      </w:r>
      <w:r>
        <w:t xml:space="preserve"> </w:t>
      </w:r>
      <w:r>
        <w:t xml:space="preserve">California’s solar market experienced a significant downturn in 2023–2024 following NEM 3.0 implementation.</w:t>
      </w:r>
      <w:r>
        <w:t xml:space="preserve"> </w:t>
      </w:r>
      <w:r>
        <w:t xml:space="preserve">California’s 2023 cuts to rooftop solar incentives have led to a steep drop-off in installations in the country’s leading market.</w:t>
      </w:r>
      <w:r>
        <w:t xml:space="preserve"> </w:t>
      </w:r>
      <w:r>
        <w:t xml:space="preserve">If Lunar’s systems require solar co-installation (the standard configuration), the NEM 3.0 shock may have suppressed demand independently of supply or channel constraints.</w:t>
      </w:r>
    </w:p>
    <w:p>
      <w:pPr>
        <w:pStyle w:val="BodyText"/>
      </w:pPr>
      <w:r>
        <w:rPr>
          <w:b/>
        </w:rPr>
        <w:t xml:space="preserve">Assessment:</w:t>
      </w:r>
      <w:r>
        <w:t xml:space="preserve"> </w:t>
      </w:r>
      <w:r>
        <w:t xml:space="preserve">All three factors are simultaneously operative. The gap is NOT primarily a manufacturing quality or product problem — field reviews are consistently positive. It IS a</w:t>
      </w:r>
      <w:r>
        <w:t xml:space="preserve"> </w:t>
      </w:r>
      <w:r>
        <w:rPr>
          <w:b/>
        </w:rPr>
        <w:t xml:space="preserve">channel scaling and market timing problem</w:t>
      </w:r>
      <w:r>
        <w:t xml:space="preserve">, which is more solvable with the Series D capital.</w:t>
      </w:r>
    </w:p>
    <w:p>
      <w:pPr>
        <w:pStyle w:val="Heading3"/>
      </w:pPr>
      <w:bookmarkStart w:id="64" w:name="Xef53c257bf78b298798628fb0b43bf387ec8638"/>
      <w:r>
        <w:t xml:space="preserve">ANOMALY 2: Revenue Discrepancy ($35M vs. $67.9M)</w:t>
      </w:r>
      <w:bookmarkEnd w:id="64"/>
    </w:p>
    <w:p>
      <w:pPr>
        <w:pStyle w:val="FirstParagraph"/>
      </w:pPr>
      <w:r>
        <w:t xml:space="preserve">As analyzed in Section 3, the $67.9M figure from RocketReach is almost certainly algorithmically estimated and not based on actual financial statements.</w:t>
      </w:r>
      <w:r>
        <w:t xml:space="preserve"> </w:t>
      </w:r>
      <w:r>
        <w:t xml:space="preserve">Girotra declined to share the startup’s revenues or expectations for profitability.</w:t>
      </w:r>
      <w:r>
        <w:t xml:space="preserve"> </w:t>
      </w:r>
      <w:r>
        <w:t xml:space="preserve">The refusal to disclose revenue publicly, combined with the discrepancy between two data sources, creates</w:t>
      </w:r>
      <w:r>
        <w:t xml:space="preserve"> </w:t>
      </w:r>
      <w:r>
        <w:rPr>
          <w:b/>
        </w:rPr>
        <w:t xml:space="preserve">unnecessary information asymmetry</w:t>
      </w:r>
      <w:r>
        <w:t xml:space="preserve"> </w:t>
      </w:r>
      <w:r>
        <w:t xml:space="preserve">that investors should press to resolve before any secondary transaction or future fundraise. The lack of audited financial disclosure is standard for private companies but becomes a material risk factor given the scale of capital raised ($532M).</w:t>
      </w:r>
    </w:p>
    <w:p>
      <w:pPr>
        <w:pStyle w:val="Heading3"/>
      </w:pPr>
      <w:bookmarkStart w:id="65" w:name="X4fa61593fc534b27658364222d9e13faa9d4b5b"/>
      <w:r>
        <w:t xml:space="preserve">ANOMALY 3: The</w:t>
      </w:r>
      <w:r>
        <w:t xml:space="preserve"> </w:t>
      </w:r>
      <w:r>
        <w:t xml:space="preserve">“</w:t>
      </w:r>
      <w:r>
        <w:t xml:space="preserve">650 MW Under Management</w:t>
      </w:r>
      <w:r>
        <w:t xml:space="preserve">”</w:t>
      </w:r>
      <w:r>
        <w:t xml:space="preserve"> </w:t>
      </w:r>
      <w:r>
        <w:t xml:space="preserve">vs. </w:t>
      </w:r>
      <w:r>
        <w:t xml:space="preserve">“</w:t>
      </w:r>
      <w:r>
        <w:t xml:space="preserve">2,000 Units Deployed</w:t>
      </w:r>
      <w:r>
        <w:t xml:space="preserve">”</w:t>
      </w:r>
      <w:r>
        <w:t xml:space="preserve"> </w:t>
      </w:r>
      <w:r>
        <w:t xml:space="preserve">Discrepancy</w:t>
      </w:r>
      <w:bookmarkEnd w:id="65"/>
    </w:p>
    <w:p>
      <w:pPr>
        <w:pStyle w:val="FirstParagraph"/>
      </w:pPr>
      <w:r>
        <w:t xml:space="preserve">With thousands of systems deployed and 650 MW of devices under management across multiple continents, Lunar is proving integrated hardware and software delivers value at scale.</w:t>
      </w:r>
    </w:p>
    <w:p>
      <w:pPr>
        <w:pStyle w:val="BodyText"/>
      </w:pPr>
      <w:r>
        <w:rPr>
          <w:b/>
        </w:rPr>
        <w:t xml:space="preserve">2,000 Lunar systems × 10 kW inverter = 20 MW of Lunar hardware.</w:t>
      </w:r>
      <w:r>
        <w:t xml:space="preserve"> </w:t>
      </w:r>
      <w:r>
        <w:t xml:space="preserve">The 650 MW figure is</w:t>
      </w:r>
      <w:r>
        <w:t xml:space="preserve"> </w:t>
      </w:r>
      <w:r>
        <w:rPr>
          <w:b/>
        </w:rPr>
        <w:t xml:space="preserve">32.5x larger than Lunar’s own installed hardware base.</w:t>
      </w:r>
      <w:r>
        <w:t xml:space="preserve"> </w:t>
      </w:r>
      <w:r>
        <w:t xml:space="preserve">This means Gridshare is primarily managing</w:t>
      </w:r>
      <w:r>
        <w:t xml:space="preserve"> </w:t>
      </w:r>
      <w:r>
        <w:rPr>
          <w:b/>
        </w:rPr>
        <w:t xml:space="preserve">third-party batteries</w:t>
      </w:r>
      <w:r>
        <w:t xml:space="preserve"> </w:t>
      </w:r>
      <w:r>
        <w:t xml:space="preserve">— specifically Sunrun’s 500+ MW fleet of non-Lunar batteries.</w:t>
      </w:r>
      <w:r>
        <w:t xml:space="preserve"> </w:t>
      </w:r>
      <w:r>
        <w:t xml:space="preserve">Last summer, Gridshare aggregated a portion of Sunrun’s 500-megawatt fleet of home batteries that participated in California’s Demand Side Grid Support program.</w:t>
      </w:r>
    </w:p>
    <w:p>
      <w:pPr>
        <w:pStyle w:val="BodyText"/>
      </w:pPr>
      <w:r>
        <w:t xml:space="preserve">This is actually a</w:t>
      </w:r>
      <w:r>
        <w:t xml:space="preserve"> </w:t>
      </w:r>
      <w:r>
        <w:rPr>
          <w:b/>
        </w:rPr>
        <w:t xml:space="preserve">competitive advantage</w:t>
      </w:r>
      <w:r>
        <w:t xml:space="preserve"> </w:t>
      </w:r>
      <w:r>
        <w:t xml:space="preserve">(Gridshare is hardware-agnostic and captures value from assets Lunar doesn’t manufacture), but it also reveals that</w:t>
      </w:r>
      <w:r>
        <w:t xml:space="preserve"> </w:t>
      </w:r>
      <w:r>
        <w:rPr>
          <w:b/>
        </w:rPr>
        <w:t xml:space="preserve">Lunar’s primary VPP value is currently as a software company, not a hardware company.</w:t>
      </w:r>
      <w:r>
        <w:t xml:space="preserve"> </w:t>
      </w:r>
      <w:r>
        <w:t xml:space="preserve">The hardware business is at ~3% of the managed VPP fleet. This inverts the typical cleantech company narrative.</w:t>
      </w:r>
    </w:p>
    <w:p>
      <w:pPr>
        <w:pStyle w:val="Heading3"/>
      </w:pPr>
      <w:bookmarkStart w:id="66" w:name="X2a13744d954039454a1ed3b91d1f0f9c9a41087"/>
      <w:r>
        <w:t xml:space="preserve">ANOMALY 4: The SK Group Supply Chain — FEOC Liability vs. Asset</w:t>
      </w:r>
      <w:bookmarkEnd w:id="66"/>
    </w:p>
    <w:p>
      <w:pPr>
        <w:pStyle w:val="FirstParagraph"/>
      </w:pPr>
      <w:r>
        <w:t xml:space="preserve">The SK Group relationship is simultaneously Lunar’s greatest supply chain advantage (FEOC-compliant Korean cells, strategic investor alignment, Georgia manufacturing infrastructure) and its greatest potential vulnerability:</w:t>
      </w:r>
    </w:p>
    <w:p>
      <w:pPr>
        <w:numPr>
          <w:ilvl w:val="0"/>
          <w:numId w:val="1009"/>
        </w:numPr>
        <w:pStyle w:val="Compact"/>
      </w:pPr>
      <w:r>
        <w:rPr>
          <w:b/>
        </w:rPr>
        <w:t xml:space="preserve">SK On (SK’s battery subsidiary) has experienced significant financial difficulties</w:t>
      </w:r>
      <w:r>
        <w:t xml:space="preserve">, reporting losses as the EV market slowed. If SK On faces financial restructuring, Lunar’s cell supply chain could be disrupted.</w:t>
      </w:r>
    </w:p>
    <w:p>
      <w:pPr>
        <w:numPr>
          <w:ilvl w:val="0"/>
          <w:numId w:val="1009"/>
        </w:numPr>
        <w:pStyle w:val="Compact"/>
      </w:pPr>
      <w:r>
        <w:t xml:space="preserve">The</w:t>
      </w:r>
      <w:r>
        <w:t xml:space="preserve"> </w:t>
      </w:r>
      <w:r>
        <w:rPr>
          <w:b/>
        </w:rPr>
        <w:t xml:space="preserve">nature of the SK manufacturing relationship in Georgia remains undisclosed</w:t>
      </w:r>
      <w:r>
        <w:t xml:space="preserve"> </w:t>
      </w:r>
      <w:r>
        <w:t xml:space="preserve">— whether this is a formal tolling agreement, a sublease, or a more informal arrangement. Without documented supply security, the Georgia manufacturing anchor is at risk.</w:t>
      </w:r>
    </w:p>
    <w:p>
      <w:pPr>
        <w:numPr>
          <w:ilvl w:val="0"/>
          <w:numId w:val="1009"/>
        </w:numPr>
        <w:pStyle w:val="Compact"/>
      </w:pPr>
      <w:r>
        <w:t xml:space="preserve">Following the IRA’s enactment, South Korea’s LG Energy Solution, SK On and Samsung SDI, as well as Japan’s Panasonic, all announced major investments to build a US EV battery supply chain ecosystem.</w:t>
      </w:r>
      <w:r>
        <w:t xml:space="preserve"> </w:t>
      </w:r>
      <w:r>
        <w:t xml:space="preserve">SK’s Georgia investment was primarily for EV cells, not stationary storage. Lunar’s use of this infrastructure for stationary storage is opportunistic but potentially secondary to SK’s core EV customer obligations.</w:t>
      </w:r>
    </w:p>
    <w:p>
      <w:pPr>
        <w:pStyle w:val="Heading3"/>
      </w:pPr>
      <w:bookmarkStart w:id="67" w:name="X0746e2d1c9c43dca74b4453eb3267f622fc5830"/>
      <w:r>
        <w:t xml:space="preserve">ANOMALY 5: The</w:t>
      </w:r>
      <w:r>
        <w:t xml:space="preserve"> </w:t>
      </w:r>
      <w:r>
        <w:t xml:space="preserve">“</w:t>
      </w:r>
      <w:r>
        <w:t xml:space="preserve">Never Raise Again</w:t>
      </w:r>
      <w:r>
        <w:t xml:space="preserve">”</w:t>
      </w:r>
      <w:r>
        <w:t xml:space="preserve"> </w:t>
      </w:r>
      <w:r>
        <w:t xml:space="preserve">Statement vs. Manufacturing Capital Requirements</w:t>
      </w:r>
      <w:bookmarkEnd w:id="67"/>
    </w:p>
    <w:p>
      <w:pPr>
        <w:pStyle w:val="FirstParagraph"/>
      </w:pPr>
      <w:r>
        <w:t xml:space="preserve">The CEO’s statement that</w:t>
      </w:r>
      <w:r>
        <w:t xml:space="preserve"> </w:t>
      </w:r>
      <w:r>
        <w:t xml:space="preserve">“</w:t>
      </w:r>
      <w:r>
        <w:t xml:space="preserve">This capital helps us, in a big way, in achieving our goals of not having to raise ever again</w:t>
      </w:r>
      <w:r>
        <w:t xml:space="preserve">”</w:t>
      </w:r>
      <w:r>
        <w:t xml:space="preserve"> </w:t>
      </w:r>
      <w:r>
        <w:t xml:space="preserve">is mathematically inconsistent with the publicly stated goal of reaching 100,000 units/year by end of 2028, which (as estimated in Section 4) requires</w:t>
      </w:r>
      <w:r>
        <w:t xml:space="preserve"> </w:t>
      </w:r>
      <w:r>
        <w:rPr>
          <w:b/>
        </w:rPr>
        <w:t xml:space="preserve">$230M–$450M in manufacturing capital investment beyond current available resources.</w:t>
      </w:r>
      <w:r>
        <w:t xml:space="preserve"> </w:t>
      </w:r>
      <w:r>
        <w:t xml:space="preserve">This is either:</w:t>
      </w:r>
      <w:r>
        <w:t xml:space="preserve"> </w:t>
      </w:r>
      <w:r>
        <w:t xml:space="preserve">- (a) Management expectation that debt/project finance replaces equity (possible, especially if DOE LPO financing is available)</w:t>
      </w:r>
      <w:r>
        <w:t xml:space="preserve"> </w:t>
      </w:r>
      <w:r>
        <w:t xml:space="preserve">- (b) A plan to partner with a large manufacturing entity that provides capacity in exchange for a commercial agreement (most likely SK Group)</w:t>
      </w:r>
      <w:r>
        <w:t xml:space="preserve"> </w:t>
      </w:r>
      <w:r>
        <w:t xml:space="preserve">- (c) An aspirational statement made in a fundraising context that should not be taken as a financial commitment</w:t>
      </w:r>
      <w:r>
        <w:t xml:space="preserve"> </w:t>
      </w:r>
      <w:r>
        <w:t xml:space="preserve">- (d) Evidence that the 100K unit target is aspirational marketing rather than a financial planning assumption</w:t>
      </w:r>
    </w:p>
    <w:p>
      <w:pPr>
        <w:pStyle w:val="Heading3"/>
      </w:pPr>
      <w:bookmarkStart w:id="68" w:name="anomaly-6-sonnen-as-the-ghost-competitor"/>
      <w:r>
        <w:t xml:space="preserve">ANOMALY 6: Sonnen as the Ghost Competitor</w:t>
      </w:r>
      <w:bookmarkEnd w:id="68"/>
    </w:p>
    <w:p>
      <w:pPr>
        <w:pStyle w:val="FirstParagraph"/>
      </w:pPr>
      <w:r>
        <w:t xml:space="preserve">Sonnen, now a Shell subsidiary, operates in the same premium residential battery segment with a community/grid-sharing model. Its acquisition by Shell in 2019 at an estimated $500M–$700M valuation preceded Lunar’s founding by a year. Shell’s backing gives Sonnen effectively unlimited capital for distribution and international expansion. If Shell decides to aggressively invest in Sonnen’s US residential market, Lunar faces a competitor with sovereign backing. This risk is entirely absent from Lunar’s public communications.</w:t>
      </w:r>
    </w:p>
    <w:p>
      <w:pPr>
        <w:pStyle w:val="Heading3"/>
      </w:pPr>
      <w:bookmarkStart w:id="69" w:name="Xf3d37171ebb69016f88851d61bab64647226786"/>
      <w:r>
        <w:t xml:space="preserve">ANOMALY 7: The Gridshare Japan Investment — Strategic Signal or Distraction?</w:t>
      </w:r>
      <w:bookmarkEnd w:id="69"/>
    </w:p>
    <w:p>
      <w:pPr>
        <w:pStyle w:val="FirstParagraph"/>
      </w:pPr>
      <w:r>
        <w:t xml:space="preserve">Lunar Energy’s latest investment was in GridShare Japan as part of a Corporate Minority stake on November 28, 2025.</w:t>
      </w:r>
      <w:r>
        <w:t xml:space="preserve"> </w:t>
      </w:r>
      <w:r>
        <w:t xml:space="preserve">A pre-revenue company burning $35M–$59M/year is making</w:t>
      </w:r>
      <w:r>
        <w:t xml:space="preserve"> </w:t>
      </w:r>
      <w:r>
        <w:rPr>
          <w:b/>
        </w:rPr>
        <w:t xml:space="preserve">outbound venture investments</w:t>
      </w:r>
      <w:r>
        <w:t xml:space="preserve"> </w:t>
      </w:r>
      <w:r>
        <w:t xml:space="preserve">in a Japanese GridShare spinout. This suggests Lunar views the international GridShare expansion as a separate value creation vehicle — but it also represents capital and management attention deployed outside the core US hardware business. At a startup burn rate, every dollar invested in GridShare Japan is a dollar not applied to Georgia factory expansion.</w:t>
      </w:r>
    </w:p>
    <w:p>
      <w:pPr>
        <w:pStyle w:val="Heading3"/>
      </w:pPr>
      <w:bookmarkStart w:id="70" w:name="Xae6f725c8830ec8d242876fc5f85532719c854d"/>
      <w:r>
        <w:t xml:space="preserve">ANOMALY 8: Domestic Content Claim Under Scrutiny</w:t>
      </w:r>
      <w:bookmarkEnd w:id="70"/>
    </w:p>
    <w:p>
      <w:pPr>
        <w:pStyle w:val="FirstParagraph"/>
      </w:pPr>
      <w:r>
        <w:t xml:space="preserve">Lunar VP of Revenue Ed Gunn noted that the company is</w:t>
      </w:r>
      <w:r>
        <w:t xml:space="preserve"> </w:t>
      </w:r>
      <w:r>
        <w:t xml:space="preserve">“</w:t>
      </w:r>
      <w:r>
        <w:t xml:space="preserve">proudly domestic content.</w:t>
      </w:r>
      <w:r>
        <w:t xml:space="preserve">”</w:t>
      </w:r>
      <w:r>
        <w:t xml:space="preserve"> </w:t>
      </w:r>
      <w:r>
        <w:t xml:space="preserve">However,</w:t>
      </w:r>
      <w:r>
        <w:t xml:space="preserve"> </w:t>
      </w:r>
      <w:r>
        <w:t xml:space="preserve">sourcing FEOC-compliant materials for LFP components remains a critical challenge that must be addressed.</w:t>
      </w:r>
      <w:r>
        <w:t xml:space="preserve"> </w:t>
      </w:r>
      <w:r>
        <w:t xml:space="preserve">The LFP cathode active materials supply chain runs predominantly through China. Even SK’s Korean production may use Chinese-sourced lithium, phosphate, and other precursors that could trigger FEOC scrutiny under evolving Treasury guidance. The domestic content claim is strategically valuable but legally fragile, and its durability depends entirely on regulatory interpretations of FEOC that remain in flux.</w:t>
      </w:r>
    </w:p>
    <w:p>
      <w:pPr>
        <w:pStyle w:val="Heading3"/>
      </w:pPr>
      <w:bookmarkStart w:id="71" w:name="X6980074c7eb70a4b662c69977cf045dff09f447"/>
      <w:r>
        <w:t xml:space="preserve">ANOMALY 9: The 100K Unit Target Has No Residential Battery Precedent</w:t>
      </w:r>
      <w:bookmarkEnd w:id="71"/>
    </w:p>
    <w:p>
      <w:pPr>
        <w:pStyle w:val="FirstParagraph"/>
      </w:pPr>
      <w:r>
        <w:t xml:space="preserve">The startup plans to scale manufacturing from current levels to 20,000 battery units by end of 2026 and 100,000 units by end of 2028.</w:t>
      </w:r>
    </w:p>
    <w:p>
      <w:pPr>
        <w:pStyle w:val="BodyText"/>
      </w:pPr>
      <w:r>
        <w:t xml:space="preserve">That’s a fivefold increase in just over two years, reflecting both investor confidence and urgent market demand.</w:t>
      </w:r>
    </w:p>
    <w:p>
      <w:pPr>
        <w:pStyle w:val="BodyText"/>
      </w:pPr>
      <w:r>
        <w:t xml:space="preserve">No residential battery manufacturer in the United States has ever reached 100,000 units/year. Tesla Powerwall, the market leader, reached approximately 50,000–80,000 units/year</w:t>
      </w:r>
      <w:r>
        <w:t xml:space="preserve"> </w:t>
      </w:r>
      <w:r>
        <w:rPr>
          <w:i/>
        </w:rPr>
        <w:t xml:space="preserve">globally</w:t>
      </w:r>
      <w:r>
        <w:t xml:space="preserve"> </w:t>
      </w:r>
      <w:r>
        <w:t xml:space="preserve">only in 2022–2023 —</w:t>
      </w:r>
      <w:r>
        <w:t xml:space="preserve"> </w:t>
      </w:r>
      <w:r>
        <w:rPr>
          <w:b/>
        </w:rPr>
        <w:t xml:space="preserve">seven years after launch</w:t>
      </w:r>
      <w:r>
        <w:t xml:space="preserve">. Lunar is proposing to achieve this in</w:t>
      </w:r>
      <w:r>
        <w:t xml:space="preserve"> </w:t>
      </w:r>
      <w:r>
        <w:rPr>
          <w:b/>
        </w:rPr>
        <w:t xml:space="preserve">five years from launch (2022–2028), starting from a base of 2,000 units.</w:t>
      </w:r>
      <w:r>
        <w:t xml:space="preserve"> </w:t>
      </w:r>
      <w:r>
        <w:t xml:space="preserve">The closest analogy would be Enphase’s microinverter ramp — but microinverters are dramatically simpler to manufacture than integrated battery-inverter systems.</w:t>
      </w:r>
    </w:p>
    <w:p>
      <w:pPr>
        <w:pStyle w:val="BodyText"/>
      </w:pPr>
      <w:r>
        <w:rPr>
          <w:b/>
        </w:rPr>
        <w:t xml:space="preserve">This target, while directionally appropriate as a strategic vision, is almost certainly unachievable as a specific time-bound commitment.</w:t>
      </w:r>
      <w:r>
        <w:t xml:space="preserve"> </w:t>
      </w:r>
      <w:r>
        <w:t xml:space="preserve">A more realistic scenario is 30,000–50,000 units/year by end of 2028, contingent on (a) new manufacturing facility construction beginning no later than Q3 2026, (b) SK or another cell supplier committed to 1+ GWh/year supply by Q1 2027, and (c) installer network expansion to 200+ certified partners by mid-2026.</w:t>
      </w:r>
    </w:p>
    <w:p>
      <w:r>
        <w:pict>
          <v:rect style="width:0;height:1.5pt" o:hralign="center" o:hrstd="t" o:hr="t"/>
        </w:pict>
      </w:r>
    </w:p>
    <w:p>
      <w:pPr>
        <w:pStyle w:val="FirstParagraph"/>
      </w:pPr>
      <w:r>
        <w:rPr>
          <w:i/>
        </w:rPr>
        <w:t xml:space="preserve">This analysis was prepared using verified public sources as of February 2026. All financial estimates are derived from publicly available data, market benchmarks, and industry comparables. This document does not constitute investment advice. Lunar Energy has not independently verified or endorsed any figures herein. Private company financials are inherently uncertain and material information asymmetry exists.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2026-02-28T04:44:26Z</dcterms:created>
  <dcterms:modified xsi:type="dcterms:W3CDTF">2026-02-28T04:44:26Z</dcterms:modified>
</cp:coreProperties>
</file>

<file path=docProps/custom.xml><?xml version="1.0" encoding="utf-8"?>
<Properties xmlns="http://schemas.openxmlformats.org/officeDocument/2006/custom-properties" xmlns:vt="http://schemas.openxmlformats.org/officeDocument/2006/docPropsVTypes"/>
</file>