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is an extraordinarily rich dataset. Let me now compile the comprehensive analysis, with full citations. This will be a long, sectioned report.</w:t>
      </w:r>
    </w:p>
    <w:p>
      <w:r>
        <w:pict>
          <v:rect style="width:0;height:1.5pt" o:hralign="center" o:hrstd="t" o:hr="t"/>
        </w:pict>
      </w:r>
    </w:p>
    <w:p>
      <w:pPr>
        <w:pStyle w:val="Heading1"/>
      </w:pPr>
      <w:bookmarkStart w:id="20" w:name="Xb92c92726ac6a18e88d5e79a1d3f3767b08f4e1"/>
      <w:r>
        <w:t xml:space="preserve">LUNAR ENERGY, INC. — COMPREHENSIVE STAKEHOLDER, GOVERNANCE &amp; EXIT ANALYSIS</w:t>
      </w:r>
      <w:bookmarkEnd w:id="20"/>
    </w:p>
    <w:p>
      <w:pPr>
        <w:pStyle w:val="FirstParagraph"/>
      </w:pPr>
      <w:r>
        <w:rPr>
          <w:b/>
        </w:rPr>
        <w:t xml:space="preserve">Classification:</w:t>
      </w:r>
      <w:r>
        <w:t xml:space="preserve"> </w:t>
      </w:r>
      <w:r>
        <w:t xml:space="preserve">Senior Analyst Working Document | February 27, 2026</w:t>
      </w:r>
      <w:r>
        <w:t xml:space="preserve"> </w:t>
      </w:r>
      <w:r>
        <w:rPr>
          <w:b/>
        </w:rPr>
        <w:t xml:space="preserve">Basis:</w:t>
      </w:r>
      <w:r>
        <w:t xml:space="preserve"> </w:t>
      </w:r>
      <w:r>
        <w:t xml:space="preserve">All publicly available information as of date of analysis. Private contractual terms are not publicly disclosed; gaps are noted and analyzed inferentially.</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Lunar Energy is arguably the most structurally complex stakeholder story in cleantech today.</w:t>
      </w:r>
      <w:r>
        <w:t xml:space="preserve"> </w:t>
      </w:r>
      <w:r>
        <w:t xml:space="preserve">The company has raised a total of just over $532M — a $300M round in 2022 from Sunrun and SK Group, followed by $232M in combined Series C and Series D rounds announced in February 2026.</w:t>
      </w:r>
      <w:r>
        <w:t xml:space="preserve"> </w:t>
      </w:r>
      <w:r>
        <w:t xml:space="preserve">At its core, the company is a</w:t>
      </w:r>
      <w:r>
        <w:t xml:space="preserve"> </w:t>
      </w:r>
      <w:r>
        <w:rPr>
          <w:b/>
        </w:rPr>
        <w:t xml:space="preserve">hardware-software hybrid</w:t>
      </w:r>
      <w:r>
        <w:t xml:space="preserve"> </w:t>
      </w:r>
      <w:r>
        <w:t xml:space="preserve">— building residential battery systems while simultaneously running what it calls the largest VPP management programs in the United States. But the governance structure, investor alignment, and strategic dependencies reveal a company operating at the intersection of three potentially divergent agendas: Sunrun’s desire to control its distribution and VPP stack, SK Group’s desire to build a US manufacturing beachhead, and financial investors’ need for a liquid exit. These tensions are largely invisible in public communications and constitute the primary analytical focus of this report.</w:t>
      </w:r>
    </w:p>
    <w:p>
      <w:r>
        <w:pict>
          <v:rect style="width:0;height:1.5pt" o:hralign="center" o:hrstd="t" o:hr="t"/>
        </w:pict>
      </w:r>
    </w:p>
    <w:p>
      <w:pPr>
        <w:pStyle w:val="Heading2"/>
      </w:pPr>
      <w:bookmarkStart w:id="22" w:name="X2ba084e46f85e9b043e01258e0fc0c05597f918"/>
      <w:r>
        <w:t xml:space="preserve">SECTION 1: THE SUNRUN RELATIONSHIP — ANATOMY OF A STRATEGIC DEPENDENCY</w:t>
      </w:r>
      <w:bookmarkEnd w:id="22"/>
    </w:p>
    <w:p>
      <w:pPr>
        <w:pStyle w:val="Heading3"/>
      </w:pPr>
      <w:bookmarkStart w:id="23" w:name="a.-distribution-dependency"/>
      <w:r>
        <w:t xml:space="preserve">1A. Distribution Dependency</w:t>
      </w:r>
      <w:bookmarkEnd w:id="23"/>
    </w:p>
    <w:p>
      <w:pPr>
        <w:pStyle w:val="FirstParagraph"/>
      </w:pPr>
      <w:r>
        <w:rPr>
          <w:b/>
        </w:rPr>
        <w:t xml:space="preserve">What Sunrun sells:</w:t>
      </w:r>
    </w:p>
    <w:p>
      <w:pPr>
        <w:pStyle w:val="BodyText"/>
      </w:pPr>
      <w:r>
        <w:t xml:space="preserve">Sunrun publicly states it partners with battery brands including Tesla, Lunar Energy, and FranklinWH to deliver hardware to its customers.</w:t>
      </w:r>
      <w:r>
        <w:t xml:space="preserve"> </w:t>
      </w:r>
      <w:r>
        <w:t xml:space="preserve">This is a critical finding:</w:t>
      </w:r>
      <w:r>
        <w:t xml:space="preserve"> </w:t>
      </w:r>
      <w:r>
        <w:rPr>
          <w:b/>
        </w:rPr>
        <w:t xml:space="preserve">Sunrun is not exclusively selling Lunar hardware.</w:t>
      </w:r>
      <w:r>
        <w:t xml:space="preserve"> </w:t>
      </w:r>
      <w:r>
        <w:t xml:space="preserve">In fact,</w:t>
      </w:r>
      <w:r>
        <w:t xml:space="preserve"> </w:t>
      </w:r>
      <w:r>
        <w:t xml:space="preserve">Sunrun currently offers Tesla Powerwall 3 as one of its primary hardware offerings, noting it is</w:t>
      </w:r>
      <w:r>
        <w:t xml:space="preserve"> </w:t>
      </w:r>
      <w:r>
        <w:t xml:space="preserve">“</w:t>
      </w:r>
      <w:r>
        <w:t xml:space="preserve">one of the most trusted energy storage solutions available on the market.</w:t>
      </w:r>
      <w:r>
        <w:t xml:space="preserve">”</w:t>
      </w:r>
      <w:r>
        <w:t xml:space="preserve"> </w:t>
      </w:r>
      <w:r>
        <w:t xml:space="preserve">Sunrun’s website specifically directs customers seeking add-on batteries to Tesla Powerwall products, listing</w:t>
      </w:r>
      <w:r>
        <w:t xml:space="preserve"> </w:t>
      </w:r>
      <w:r>
        <w:t xml:space="preserve">add-on battery availability across California, Maryland, Massachusetts, Florida, Nevada, New York, Texas, Hawaii, and Illinois — all using Tesla hardware.</w:t>
      </w:r>
    </w:p>
    <w:p>
      <w:pPr>
        <w:pStyle w:val="BodyText"/>
      </w:pPr>
      <w:r>
        <w:t xml:space="preserve">This creates a structural ambiguity: Sunrun is simultaneously Lunar’s largest investor, the chair of Lunar’s board through Lynn Jurich, Lunar’s primary distribution channel, and Lunar’s VPP software licensee — while also actively promoting and installing Tesla Powerwall as its flagship battery hardware product.</w:t>
      </w:r>
    </w:p>
    <w:p>
      <w:pPr>
        <w:pStyle w:val="BodyText"/>
      </w:pPr>
      <w:r>
        <w:rPr>
          <w:b/>
        </w:rPr>
        <w:t xml:space="preserve">Scale of distribution:</w:t>
      </w:r>
    </w:p>
    <w:p>
      <w:pPr>
        <w:pStyle w:val="BodyText"/>
      </w:pPr>
      <w:r>
        <w:t xml:space="preserve">Lunar began deploying its own batteries through distributors in 2024 and currently has approximately 2,000 installations across California.</w:t>
      </w:r>
      <w:r>
        <w:t xml:space="preserve"> </w:t>
      </w:r>
      <w:r>
        <w:t xml:space="preserve">Given Sunrun’s scale —</w:t>
      </w:r>
      <w:r>
        <w:t xml:space="preserve"> </w:t>
      </w:r>
      <w:r>
        <w:t xml:space="preserve">Sunrun maintained 21% market share for solar installations and 40% for storage in Q3 2025</w:t>
      </w:r>
      <w:r>
        <w:t xml:space="preserve"> </w:t>
      </w:r>
      <w:r>
        <w:t xml:space="preserve">— and given that Lunar’s commercial launch focused on California, the inference is that a substantial majority of Lunar’s ~2,000 installations have been channeled through Sunrun. However, no public disclosure breaks out Sunrun-specific installation percentages for Lunar hardware. This is a material gap in transparency.</w:t>
      </w:r>
    </w:p>
    <w:p>
      <w:pPr>
        <w:pStyle w:val="BodyText"/>
      </w:pPr>
      <w:r>
        <w:rPr>
          <w:b/>
        </w:rPr>
        <w:t xml:space="preserve">Volume commitments and pricing:</w:t>
      </w:r>
      <w:r>
        <w:t xml:space="preserve"> </w:t>
      </w:r>
      <w:r>
        <w:t xml:space="preserve">No public filings reveal minimum purchase obligations, exclusivity clauses, or wholesale pricing terms between Sunrun and Lunar. The relationship is described publicly only in terms of</w:t>
      </w:r>
      <w:r>
        <w:t xml:space="preserve"> </w:t>
      </w:r>
      <w:r>
        <w:t xml:space="preserve">“</w:t>
      </w:r>
      <w:r>
        <w:t xml:space="preserve">strategic partnership.</w:t>
      </w:r>
      <w:r>
        <w:t xml:space="preserve">”</w:t>
      </w:r>
      <w:r>
        <w:t xml:space="preserve"> </w:t>
      </w:r>
      <w:r>
        <w:t xml:space="preserve">The absence of public volume commitments is notable given that Lunar’s 2028 ramp-up plan requires going from ~2,000 total installations to 100,000 annual units — a 50x scale-up over which Sunrun’s procurement behavior will be determinative.</w:t>
      </w:r>
    </w:p>
    <w:p>
      <w:pPr>
        <w:pStyle w:val="BodyText"/>
      </w:pPr>
      <w:r>
        <w:rPr>
          <w:b/>
        </w:rPr>
        <w:t xml:space="preserve">The 50% revenue sensitivity question:</w:t>
      </w:r>
      <w:r>
        <w:t xml:space="preserve"> </w:t>
      </w:r>
      <w:r>
        <w:t xml:space="preserve">Given Sunrun’s stated market share of 40% in storage and the fact that Lunar’s commercial footprint is effectively California-first, a 50% reduction in Sunrun orders would likely be existential to Lunar’s near-term hardware business at current scale. The company has no disclosed alternative distribution relationships with any installer of comparable scale.</w:t>
      </w:r>
    </w:p>
    <w:p>
      <w:pPr>
        <w:pStyle w:val="BodyText"/>
      </w:pPr>
      <w:r>
        <w:rPr>
          <w:b/>
        </w:rPr>
        <w:t xml:space="preserve">Lunar’s pricing position:</w:t>
      </w:r>
    </w:p>
    <w:p>
      <w:pPr>
        <w:pStyle w:val="BodyText"/>
      </w:pPr>
      <w:r>
        <w:t xml:space="preserve">The home battery market includes Enphase, FranklinWH, Generac, LG, SolarEdge, Sonnen, Tesla, and others. Lunar’s systems are priced at approximately a 10% premium to Tesla’s Powerwall.</w:t>
      </w:r>
      <w:r>
        <w:t xml:space="preserve"> </w:t>
      </w:r>
      <w:r>
        <w:t xml:space="preserve">This positioning is consequential for Sunrun’s product recommendation calculus: when a Sunrun sales representative proposes a system, the decision between Tesla Powerwall 3, Lunar Energy, and FranklinWH is driven by market availability, installer economics, and utility program compatibility — not by Sunrun’s equity stake in Lunar.</w:t>
      </w:r>
    </w:p>
    <w:p>
      <w:pPr>
        <w:pStyle w:val="BodyText"/>
      </w:pPr>
      <w:r>
        <w:rPr>
          <w:b/>
        </w:rPr>
        <w:t xml:space="preserve">Sunrun’s own financial condition:</w:t>
      </w:r>
      <w:r>
        <w:t xml:space="preserve"> </w:t>
      </w:r>
      <w:r>
        <w:t xml:space="preserve">Sunrun is under its own structural pressure.</w:t>
      </w:r>
      <w:r>
        <w:t xml:space="preserve"> </w:t>
      </w:r>
      <w:r>
        <w:t xml:space="preserve">Despite aggregate improvements, Sunrun’s Q4 2025 unit economics showed margin compression, with subscriber additions down 17% year-over-year, and creation costs rising to $41,067 per subscriber from $38,071 a year earlier, driven by higher hardware and labor expenses.</w:t>
      </w:r>
      <w:r>
        <w:t xml:space="preserve"> </w:t>
      </w:r>
      <w:r>
        <w:t xml:space="preserve">Furthermore,</w:t>
      </w:r>
      <w:r>
        <w:t xml:space="preserve"> </w:t>
      </w:r>
      <w:r>
        <w:t xml:space="preserve">Sunrun is deliberately reducing its affiliate channel business, planning to reduce affiliate volume by over 40% in 2026, in favor of its vertically integrated direct business.</w:t>
      </w:r>
      <w:r>
        <w:t xml:space="preserve"> </w:t>
      </w:r>
      <w:r>
        <w:t xml:space="preserve">This strategy of de-emphasizing affiliate installers has direct implications for Lunar’s distribution reach, as some portion of Lunar installations may have been sourced through those affiliate channels.</w:t>
      </w:r>
    </w:p>
    <w:p>
      <w:pPr>
        <w:pStyle w:val="Heading3"/>
      </w:pPr>
      <w:bookmarkStart w:id="24" w:name="Xdaa478994369b7e7cd5df998f17f8e54dde446a"/>
      <w:r>
        <w:t xml:space="preserve">1B. Software Licensing — Gridshare and the VPP Relationship</w:t>
      </w:r>
      <w:bookmarkEnd w:id="24"/>
    </w:p>
    <w:p>
      <w:pPr>
        <w:pStyle w:val="FirstParagraph"/>
      </w:pPr>
      <w:r>
        <w:t xml:space="preserve">The Gridshare-Sunrun relationship is the more strategically durable and defensible of the two vectors.</w:t>
      </w:r>
      <w:r>
        <w:t xml:space="preserve"> </w:t>
      </w:r>
      <w:r>
        <w:t xml:space="preserve">Sunrun leverages Lunar’s Gridshare platform for its distributed power plants across a dozen markets, including New England, Hawaii, and Puerto Rico.</w:t>
      </w:r>
    </w:p>
    <w:p>
      <w:pPr>
        <w:pStyle w:val="BodyText"/>
      </w:pPr>
      <w:r>
        <w:t xml:space="preserve">Critically, the PG&amp;E SAVE VPP program in 2025 reveals the specific operational architecture:</w:t>
      </w:r>
      <w:r>
        <w:t xml:space="preserve"> </w:t>
      </w:r>
      <w:r>
        <w:t xml:space="preserve">Sunrun leverages Lunar Energy’s AI-enabled forecasting through its Gridshare software platform to precisely dispatch various non-Tesla battery types to meet local grid needs.</w:t>
      </w:r>
      <w:r>
        <w:t xml:space="preserve"> </w:t>
      </w:r>
      <w:r>
        <w:t xml:space="preserve">Meanwhile,</w:t>
      </w:r>
      <w:r>
        <w:t xml:space="preserve"> </w:t>
      </w:r>
      <w:r>
        <w:t xml:space="preserve">Sunrun uses an advanced application of Tesla’s grid services platform to optimize Powerwall batteries.</w:t>
      </w:r>
      <w:r>
        <w:t xml:space="preserve"> </w:t>
      </w:r>
      <w:r>
        <w:t xml:space="preserve">In other words,</w:t>
      </w:r>
      <w:r>
        <w:t xml:space="preserve"> </w:t>
      </w:r>
      <w:r>
        <w:rPr>
          <w:b/>
        </w:rPr>
        <w:t xml:space="preserve">Lunar Gridshare manages the non-Tesla fleet, and Tesla’s own platform manages Powerwalls.</w:t>
      </w:r>
      <w:r>
        <w:t xml:space="preserve"> </w:t>
      </w:r>
      <w:r>
        <w:t xml:space="preserve">This architecture reveals that as Sunrun’s fleet becomes increasingly dominated by Powerwall hardware, Gridshare’s operational footprint within Sunrun’s VPP ecosystem shrinks proportionally.</w:t>
      </w:r>
    </w:p>
    <w:p>
      <w:pPr>
        <w:pStyle w:val="BodyText"/>
      </w:pPr>
      <w:r>
        <w:t xml:space="preserve">The financial terms of the Gridshare licensing arrangement are not publicly disclosed. There is no public evidence of a per-device licensing fee, revenue-sharing arrangement, or minimum payment floor. The relationship could be wholly or partially non-monetary, structured as a quid pro quo for Sunrun’s equity investment and distribution partnership. This is a significant governance opacity.</w:t>
      </w:r>
    </w:p>
    <w:p>
      <w:pPr>
        <w:pStyle w:val="BodyText"/>
      </w:pPr>
      <w:r>
        <w:rPr>
          <w:b/>
        </w:rPr>
        <w:t xml:space="preserve">Could Sunrun build or acquire its own VPP platform?</w:t>
      </w:r>
      <w:r>
        <w:t xml:space="preserve"> </w:t>
      </w:r>
      <w:r>
        <w:t xml:space="preserve">Sunrun has</w:t>
      </w:r>
      <w:r>
        <w:t xml:space="preserve"> </w:t>
      </w:r>
      <w:r>
        <w:t xml:space="preserve">4 GWh of networked energy storage capacity across 18 VPP programs, with the ability to dispatch 425 MW to the grid at peak demand.</w:t>
      </w:r>
      <w:r>
        <w:t xml:space="preserve"> </w:t>
      </w:r>
      <w:r>
        <w:t xml:space="preserve">At this scale, Sunrun’s dependency on a third-party software platform becomes a strategic vulnerability it would rationally want to address. There is no public evidence Sunrun is developing proprietary VPP software, but the company’s growing emphasis on what it calls</w:t>
      </w:r>
      <w:r>
        <w:t xml:space="preserve"> </w:t>
      </w:r>
      <w:r>
        <w:t xml:space="preserve">“</w:t>
      </w:r>
      <w:r>
        <w:t xml:space="preserve">distributed power plant</w:t>
      </w:r>
      <w:r>
        <w:t xml:space="preserve">”</w:t>
      </w:r>
      <w:r>
        <w:t xml:space="preserve"> </w:t>
      </w:r>
      <w:r>
        <w:t xml:space="preserve">(DPP) operations — rather than simply</w:t>
      </w:r>
      <w:r>
        <w:t xml:space="preserve"> </w:t>
      </w:r>
      <w:r>
        <w:t xml:space="preserve">“</w:t>
      </w:r>
      <w:r>
        <w:t xml:space="preserve">VPP</w:t>
      </w:r>
      <w:r>
        <w:t xml:space="preserve">”</w:t>
      </w:r>
      <w:r>
        <w:t xml:space="preserve"> </w:t>
      </w:r>
      <w:r>
        <w:t xml:space="preserve">— suggests Sunrun is actively building operational capabilities that could, over time, reduce its dependency on Gridshare.</w:t>
      </w:r>
    </w:p>
    <w:p>
      <w:pPr>
        <w:pStyle w:val="Heading3"/>
      </w:pPr>
      <w:bookmarkStart w:id="25" w:name="X3ebbcf0bef35517085848348cadbecc0aec9095"/>
      <w:r>
        <w:t xml:space="preserve">1C. Board Control Dynamics — The Lynn Jurich Problem</w:t>
      </w:r>
      <w:bookmarkEnd w:id="25"/>
    </w:p>
    <w:p>
      <w:pPr>
        <w:pStyle w:val="FirstParagraph"/>
      </w:pPr>
      <w:r>
        <w:t xml:space="preserve">Lynn Jurich, co-CEO of Sunrun, is Chair of Lunar Energy’s board of directors</w:t>
      </w:r>
      <w:r>
        <w:t xml:space="preserve"> </w:t>
      </w:r>
      <w:r>
        <w:t xml:space="preserve">— while simultaneously serving as</w:t>
      </w:r>
      <w:r>
        <w:t xml:space="preserve"> </w:t>
      </w:r>
      <w:r>
        <w:t xml:space="preserve">Co-Executive Chair of Sunrun’s own board, a role she transitioned into in August 2021 after stepping down as CEO.</w:t>
      </w:r>
    </w:p>
    <w:p>
      <w:pPr>
        <w:pStyle w:val="BodyText"/>
      </w:pPr>
      <w:r>
        <w:t xml:space="preserve">This creates a textbook conflict of interest across at least four dimensions simultaneously:</w:t>
      </w:r>
    </w:p>
    <w:p>
      <w:pPr>
        <w:numPr>
          <w:ilvl w:val="0"/>
          <w:numId w:val="1001"/>
        </w:numPr>
        <w:pStyle w:val="Compact"/>
      </w:pPr>
      <w:r>
        <w:rPr>
          <w:b/>
        </w:rPr>
        <w:t xml:space="preserve">Pricing conflict:</w:t>
      </w:r>
      <w:r>
        <w:t xml:space="preserve"> </w:t>
      </w:r>
      <w:r>
        <w:t xml:space="preserve">Sunrun wants Lunar hardware at the lowest wholesale price; Lunar needs margin to fund its ramp. Jurich chairs both relationships.</w:t>
      </w:r>
    </w:p>
    <w:p>
      <w:pPr>
        <w:numPr>
          <w:ilvl w:val="0"/>
          <w:numId w:val="1001"/>
        </w:numPr>
        <w:pStyle w:val="Compact"/>
      </w:pPr>
      <w:r>
        <w:rPr>
          <w:b/>
        </w:rPr>
        <w:t xml:space="preserve">Software licensing conflict:</w:t>
      </w:r>
      <w:r>
        <w:t xml:space="preserve"> </w:t>
      </w:r>
      <w:r>
        <w:t xml:space="preserve">Sunrun wants Gridshare at the lowest cost or free; Lunar needs Gridshare revenue to fund operations. Jurich represents both sides.</w:t>
      </w:r>
    </w:p>
    <w:p>
      <w:pPr>
        <w:numPr>
          <w:ilvl w:val="0"/>
          <w:numId w:val="1001"/>
        </w:numPr>
        <w:pStyle w:val="Compact"/>
      </w:pPr>
      <w:r>
        <w:rPr>
          <w:b/>
        </w:rPr>
        <w:t xml:space="preserve">Competitive conflict:</w:t>
      </w:r>
      <w:r>
        <w:t xml:space="preserve"> </w:t>
      </w:r>
      <w:r>
        <w:t xml:space="preserve">Sunrun also sells Tesla Powerwall and FranklinWH batteries, which compete directly with Lunar hardware. Jurich’s presence at Lunar board meetings gives Sunrun visibility into Lunar’s product roadmap, pricing, and competitive strategy.</w:t>
      </w:r>
    </w:p>
    <w:p>
      <w:pPr>
        <w:numPr>
          <w:ilvl w:val="0"/>
          <w:numId w:val="1001"/>
        </w:numPr>
        <w:pStyle w:val="Compact"/>
      </w:pPr>
      <w:r>
        <w:rPr>
          <w:b/>
        </w:rPr>
        <w:t xml:space="preserve">Acquisition conflict:</w:t>
      </w:r>
      <w:r>
        <w:t xml:space="preserve"> </w:t>
      </w:r>
      <w:r>
        <w:t xml:space="preserve">If Sunrun wishes to acquire Lunar, Jurich would need to recuse herself from Lunar board discussions about valuation and deal terms — but as a major Sunrun shareholder, she has a financial interest in Sunrun acquiring Lunar at the lowest price.</w:t>
      </w:r>
    </w:p>
    <w:p>
      <w:pPr>
        <w:pStyle w:val="FirstParagraph"/>
      </w:pPr>
      <w:r>
        <w:rPr>
          <w:b/>
        </w:rPr>
        <w:t xml:space="preserve">No public governance policy</w:t>
      </w:r>
      <w:r>
        <w:t xml:space="preserve"> </w:t>
      </w:r>
      <w:r>
        <w:t xml:space="preserve">has been disclosed governing how Jurich manages these conflicts. There is no public record of any recusal from Lunar board decisions. This is a significant governance red flag for any potential LP or co-investor conducting due diligence.</w:t>
      </w:r>
    </w:p>
    <w:p>
      <w:pPr>
        <w:pStyle w:val="BodyText"/>
      </w:pPr>
      <w:r>
        <w:t xml:space="preserve">In public statements at Lunar’s launch, Jurich described herself as</w:t>
      </w:r>
      <w:r>
        <w:t xml:space="preserve"> </w:t>
      </w:r>
      <w:r>
        <w:t xml:space="preserve">“</w:t>
      </w:r>
      <w:r>
        <w:t xml:space="preserve">Chair of Lunar Energy and co-founder, co-executive chair of Sunrun,</w:t>
      </w:r>
      <w:r>
        <w:t xml:space="preserve">”</w:t>
      </w:r>
      <w:r>
        <w:t xml:space="preserve"> </w:t>
      </w:r>
      <w:r>
        <w:t xml:space="preserve">without acknowledging the structural conflicts the dual role creates.</w:t>
      </w:r>
    </w:p>
    <w:p>
      <w:pPr>
        <w:pStyle w:val="BodyText"/>
      </w:pPr>
      <w:r>
        <w:rPr>
          <w:b/>
        </w:rPr>
        <w:t xml:space="preserve">Who else sits on the board?</w:t>
      </w:r>
      <w:r>
        <w:t xml:space="preserve"> </w:t>
      </w:r>
      <w:r>
        <w:t xml:space="preserve">Public disclosures are sparse.</w:t>
      </w:r>
      <w:r>
        <w:t xml:space="preserve"> </w:t>
      </w:r>
      <w:r>
        <w:t xml:space="preserve">ITOCHU and Honda, as previous investors in Moixa, joined Lunar’s team of investors</w:t>
      </w:r>
      <w:r>
        <w:t xml:space="preserve"> </w:t>
      </w:r>
      <w:r>
        <w:t xml:space="preserve">and reportedly gained board representation. SK Group’s Ian Huh (Executive Vice President, SK E&amp;S) was prominently featured in the company’s launch announcements but his board status is not formally disclosed. The Series C and Series D investors (Activate Capital, B Capital, Prelude Ventures) would typically negotiate board seats as a condition of leading their respective rounds. The full board composition has not been disclosed publicly, which itself is unusual for a company of this capitalization.</w:t>
      </w:r>
    </w:p>
    <w:p>
      <w:pPr>
        <w:pStyle w:val="Heading3"/>
      </w:pPr>
      <w:bookmarkStart w:id="26" w:name="d.-acquisition-scenario-analysis"/>
      <w:r>
        <w:t xml:space="preserve">1D. Acquisition Scenario Analysis</w:t>
      </w:r>
      <w:bookmarkEnd w:id="26"/>
    </w:p>
    <w:p>
      <w:pPr>
        <w:pStyle w:val="FirstParagraph"/>
      </w:pPr>
      <w:r>
        <w:rPr>
          <w:b/>
        </w:rPr>
        <w:t xml:space="preserve">Probability of Sunrun acquiring Lunar within 3 years:</w:t>
      </w:r>
      <w:r>
        <w:t xml:space="preserve"> </w:t>
      </w:r>
      <w:r>
        <w:t xml:space="preserve">This requires analyzing both Sunrun’s financial capacity and strategic motivation against Lunar’s requirements and alternatives.</w:t>
      </w:r>
    </w:p>
    <w:p>
      <w:pPr>
        <w:pStyle w:val="BodyText"/>
      </w:pPr>
      <w:r>
        <w:t xml:space="preserve">On financial capacity: Sunrun’s market cap fluctuates in the $3-4B range.</w:t>
      </w:r>
      <w:r>
        <w:t xml:space="preserve"> </w:t>
      </w:r>
      <w:r>
        <w:t xml:space="preserve">Sunrun ended Q4 2025 with recourse debt of $727M, down from $875M a year earlier, with $823M in unrestricted cash.</w:t>
      </w:r>
    </w:p>
    <w:p>
      <w:pPr>
        <w:pStyle w:val="BodyText"/>
      </w:pPr>
      <w:r>
        <w:t xml:space="preserve">With no debt maturities until March 2028,</w:t>
      </w:r>
      <w:r>
        <w:t xml:space="preserve"> </w:t>
      </w:r>
      <w:r>
        <w:t xml:space="preserve">Sunrun has a stable near-term balance sheet — but an all-cash acquisition of Lunar at a unicorn+ valuation ($1B+, as suggested by Girotra’s hints) would require either dilutive equity issuance or substantial debt, neither of which is attractive for a company with Sunrun’s current multiple.</w:t>
      </w:r>
    </w:p>
    <w:p>
      <w:pPr>
        <w:pStyle w:val="BodyText"/>
      </w:pPr>
      <w:r>
        <w:t xml:space="preserve">On strategic motivation: Sunrun’s storage attachment rate hit a record</w:t>
      </w:r>
      <w:r>
        <w:t xml:space="preserve"> </w:t>
      </w:r>
      <w:r>
        <w:t xml:space="preserve">71% on new installations during Q4 2025.</w:t>
      </w:r>
      <w:r>
        <w:t xml:space="preserve"> </w:t>
      </w:r>
      <w:r>
        <w:t xml:space="preserve">As Sunrun commits more aggressively to a</w:t>
      </w:r>
      <w:r>
        <w:t xml:space="preserve"> </w:t>
      </w:r>
      <w:r>
        <w:t xml:space="preserve">“</w:t>
      </w:r>
      <w:r>
        <w:t xml:space="preserve">storage-first</w:t>
      </w:r>
      <w:r>
        <w:t xml:space="preserve">”</w:t>
      </w:r>
      <w:r>
        <w:t xml:space="preserve"> </w:t>
      </w:r>
      <w:r>
        <w:t xml:space="preserve">strategy, owning Lunar would give it hardware margin, VPP software control, and the ability to present a fully integrated product to utilities. However, it would also concentrate Sunrun’s hardware risk on a single vendor just as the competitive landscape is intensifying.</w:t>
      </w:r>
    </w:p>
    <w:p>
      <w:pPr>
        <w:pStyle w:val="BodyText"/>
      </w:pPr>
      <w:r>
        <w:rPr>
          <w:b/>
        </w:rPr>
        <w:t xml:space="preserve">Assessment:</w:t>
      </w:r>
      <w:r>
        <w:t xml:space="preserve"> </w:t>
      </w:r>
      <w:r>
        <w:t xml:space="preserve">The acquisition probability within 3 years is moderate (30-40%) but contingent on two preconditions: (1) Sunrun’s stock recovering to provide acquisition currency, and (2) Lunar failing to sufficiently diversify its distribution relationships, leaving it structurally dependent on Sunrun in a way that forces a merger rather than enables one. The more likely near-term scenario is a deepened commercial partnership with explicit exclusivity provisions rather than an outright acquisition.</w:t>
      </w:r>
    </w:p>
    <w:p>
      <w:pPr>
        <w:pStyle w:val="BodyText"/>
      </w:pPr>
      <w:r>
        <w:rPr>
          <w:b/>
        </w:rPr>
        <w:t xml:space="preserve">How financial investors would view an acquisition:</w:t>
      </w:r>
    </w:p>
    <w:p>
      <w:pPr>
        <w:pStyle w:val="BodyText"/>
      </w:pPr>
      <w:r>
        <w:t xml:space="preserve">Activate Capital is a growth equity partner to companies in energy, transportation, and industrial technology, aiming to generate financial returns; the firm’s partners have collectively achieved 30 successful exits through IPO and M&amp;A.</w:t>
      </w:r>
      <w:r>
        <w:t xml:space="preserve"> </w:t>
      </w:r>
      <w:r>
        <w:t xml:space="preserve">B Capital, with $9B AUM, typically targets later-stage exits and has the sophistication to evaluate acquisition premiums. A Sunrun acquisition at a 1x-1.5x revenue multiple would likely disappoint Series C/D investors who funded at what Girotra implies is approaching a $1B valuation. An IPO or a strategic acquisition by a larger industrial company (Eaton, Schneider, Shell/Sonnen, Siemens) would more likely generate target returns for these investors.</w:t>
      </w:r>
    </w:p>
    <w:p>
      <w:r>
        <w:pict>
          <v:rect style="width:0;height:1.5pt" o:hralign="center" o:hrstd="t" o:hr="t"/>
        </w:pict>
      </w:r>
    </w:p>
    <w:p>
      <w:pPr>
        <w:pStyle w:val="Heading2"/>
      </w:pPr>
      <w:bookmarkStart w:id="27" w:name="X190ae51a29295fa0feab403ffc7c18f444a9a11"/>
      <w:r>
        <w:t xml:space="preserve">SECTION 2: THE SK GROUP RELATIONSHIP — MANUFACTURING PARTNER OR FUTURE COMPETITOR?</w:t>
      </w:r>
      <w:bookmarkEnd w:id="27"/>
    </w:p>
    <w:p>
      <w:pPr>
        <w:pStyle w:val="Heading3"/>
      </w:pPr>
      <w:bookmarkStart w:id="28" w:name="strategic-interest-and-stakes"/>
      <w:r>
        <w:t xml:space="preserve">Strategic Interest and Stakes</w:t>
      </w:r>
      <w:bookmarkEnd w:id="28"/>
    </w:p>
    <w:p>
      <w:pPr>
        <w:pStyle w:val="FirstParagraph"/>
      </w:pPr>
      <w:r>
        <w:t xml:space="preserve">SK Group’s investment in Lunar was framed publicly as part of its</w:t>
      </w:r>
      <w:r>
        <w:t xml:space="preserve"> </w:t>
      </w:r>
      <w:r>
        <w:t xml:space="preserve">“</w:t>
      </w:r>
      <w:r>
        <w:t xml:space="preserve">commitment to the worldwide energy transition,</w:t>
      </w:r>
      <w:r>
        <w:t xml:space="preserve">”</w:t>
      </w:r>
      <w:r>
        <w:t xml:space="preserve"> </w:t>
      </w:r>
      <w:r>
        <w:t xml:space="preserve">with belief that Lunar</w:t>
      </w:r>
      <w:r>
        <w:t xml:space="preserve"> </w:t>
      </w:r>
      <w:r>
        <w:t xml:space="preserve">“</w:t>
      </w:r>
      <w:r>
        <w:t xml:space="preserve">has the potential to revolutionize how homes across the US and the world use renewable power.</w:t>
      </w:r>
      <w:r>
        <w:t xml:space="preserve">”</w:t>
      </w:r>
      <w:r>
        <w:t xml:space="preserve"> </w:t>
      </w:r>
      <w:r>
        <w:t xml:space="preserve">SK’s involvement through SK E&amp;S (not SK On, its battery cell subsidiary) signals that the Lunar relationship is being managed as an energy transition strategic investment rather than a supply chain play.</w:t>
      </w:r>
    </w:p>
    <w:p>
      <w:pPr>
        <w:pStyle w:val="BodyText"/>
      </w:pPr>
      <w:r>
        <w:t xml:space="preserve">SK Group has been a leading US battery manufacturer, with deals to make batteries for Ford, Hyundai, and Volkswagen. SK Group subsidiary SK On is manufacturing battery cells for the electric Ford F-150 at a $2.6 billion complex in Georgia.</w:t>
      </w:r>
      <w:r>
        <w:t xml:space="preserve"> </w:t>
      </w:r>
      <w:r>
        <w:t xml:space="preserve">Given that</w:t>
      </w:r>
      <w:r>
        <w:t xml:space="preserve"> </w:t>
      </w:r>
      <w:r>
        <w:t xml:space="preserve">the Lunar System is assembled in Georgia and Washington,</w:t>
      </w:r>
      <w:r>
        <w:t xml:space="preserve"> </w:t>
      </w:r>
      <w:r>
        <w:t xml:space="preserve">the geographic alignment between SK’s Georgia battery manufacturing facilities and Lunar’s Georgia assembly is not coincidental — it represents the foundational logic of the manufacturing partnership.</w:t>
      </w:r>
    </w:p>
    <w:p>
      <w:pPr>
        <w:pStyle w:val="Heading3"/>
      </w:pPr>
      <w:bookmarkStart w:id="29" w:name="the-forward-integration-risk"/>
      <w:r>
        <w:t xml:space="preserve">The Forward Integration Risk</w:t>
      </w:r>
      <w:bookmarkEnd w:id="29"/>
    </w:p>
    <w:p>
      <w:pPr>
        <w:pStyle w:val="FirstParagraph"/>
      </w:pPr>
      <w:r>
        <w:t xml:space="preserve">The most significant new intelligence on SK Group’s competitive trajectory is its September 2025 entry into the US BESS market.</w:t>
      </w:r>
      <w:r>
        <w:t xml:space="preserve"> </w:t>
      </w:r>
      <w:r>
        <w:t xml:space="preserve">SK On announced a major entry into the US battery energy storage system market with LFP batteries, securing a supply contract with Flatiron Energy Development, with the ability to supply up to 7.2 GWh through 2030.</w:t>
      </w:r>
    </w:p>
    <w:p>
      <w:pPr>
        <w:pStyle w:val="BodyText"/>
      </w:pPr>
      <w:r>
        <w:t xml:space="preserve">Valued at approximately $1.5 billion, this represents SK On’s first major supply contract focused exclusively on stationary storage since its spin-off in 2021, reflecting a strategy to diversify from EVs and hedge against slowing EV demand.</w:t>
      </w:r>
    </w:p>
    <w:p>
      <w:pPr>
        <w:pStyle w:val="BodyText"/>
      </w:pPr>
      <w:r>
        <w:t xml:space="preserve">This is a</w:t>
      </w:r>
      <w:r>
        <w:t xml:space="preserve"> </w:t>
      </w:r>
      <w:r>
        <w:rPr>
          <w:b/>
        </w:rPr>
        <w:t xml:space="preserve">yellow flag</w:t>
      </w:r>
      <w:r>
        <w:t xml:space="preserve"> </w:t>
      </w:r>
      <w:r>
        <w:t xml:space="preserve">for Lunar. While the Flatiron deal targets utility-scale BESS rather than residential storage, SK On’s decision to</w:t>
      </w:r>
      <w:r>
        <w:t xml:space="preserve"> </w:t>
      </w:r>
      <w:r>
        <w:t xml:space="preserve">repurpose a portion of its EV battery production line at its Georgia plant to produce LFP stationary storage systems</w:t>
      </w:r>
      <w:r>
        <w:t xml:space="preserve"> </w:t>
      </w:r>
      <w:r>
        <w:t xml:space="preserve">demonstrates that SK is actively building downstream storage capabilities in the US. The residential segment is one product evolution away from SK’s current BESS trajectory.</w:t>
      </w:r>
    </w:p>
    <w:p>
      <w:pPr>
        <w:pStyle w:val="BodyText"/>
      </w:pPr>
      <w:r>
        <w:t xml:space="preserve">SK Group also has independent US grid-scale storage operations through SK E&amp;S, which acquired Key Capture Energy (KCE) —</w:t>
      </w:r>
      <w:r>
        <w:t xml:space="preserve"> </w:t>
      </w:r>
      <w:r>
        <w:t xml:space="preserve">a US grid-scale BESS developer with assets in ERCOT and upstate New York, and a development pipeline in the Midwest.</w:t>
      </w:r>
      <w:r>
        <w:t xml:space="preserve"> </w:t>
      </w:r>
      <w:r>
        <w:t xml:space="preserve">SK is therefore already operating across the US storage value chain, from cell manufacturing to utility-scale development. Forward integration into residential storage would be a logical extension.</w:t>
      </w:r>
    </w:p>
    <w:p>
      <w:pPr>
        <w:pStyle w:val="BodyText"/>
      </w:pPr>
      <w:r>
        <w:rPr>
          <w:b/>
        </w:rPr>
        <w:t xml:space="preserve">How would SK react to a Sunrun acquisition?</w:t>
      </w:r>
      <w:r>
        <w:t xml:space="preserve"> </w:t>
      </w:r>
      <w:r>
        <w:t xml:space="preserve">SK Group’s consent would likely be required for any change of control, depending on its share percentage and any shareholder agreement provisions. SK’s interests in a Sunrun acquisition are mixed: it would gain a guaranteed channel for its battery cells through Sunrun’s scale, but would lose the independent optionality of Lunar as a platform for SK’s own residential market entry. The most likely SK disposition is to support a Sunrun acquisition only if it includes guaranteed supply agreements for SK cells at volume — effectively monetizing its Lunar equity investment into a long-term supply contract with a public company.</w:t>
      </w:r>
    </w:p>
    <w:p>
      <w:r>
        <w:pict>
          <v:rect style="width:0;height:1.5pt" o:hralign="center" o:hrstd="t" o:hr="t"/>
        </w:pict>
      </w:r>
    </w:p>
    <w:p>
      <w:pPr>
        <w:pStyle w:val="Heading2"/>
      </w:pPr>
      <w:bookmarkStart w:id="30" w:name="section-3-venture-investor-dynamics"/>
      <w:r>
        <w:t xml:space="preserve">SECTION 3: VENTURE INVESTOR DYNAMICS</w:t>
      </w:r>
      <w:bookmarkEnd w:id="30"/>
    </w:p>
    <w:p>
      <w:pPr>
        <w:pStyle w:val="Heading3"/>
      </w:pPr>
      <w:bookmarkStart w:id="31" w:name="X3b8533f143bb5c8004a43e27cc9cfb5cee7a59f"/>
      <w:r>
        <w:t xml:space="preserve">3A. Investor Profiles and Return Expectations</w:t>
      </w:r>
      <w:bookmarkEnd w:id="31"/>
    </w:p>
    <w:p>
      <w:pPr>
        <w:pStyle w:val="FirstParagraph"/>
      </w:pPr>
      <w:r>
        <w:rPr>
          <w:b/>
        </w:rPr>
        <w:t xml:space="preserve">Activate Capital ($130M Series C lead):</w:t>
      </w:r>
    </w:p>
    <w:p>
      <w:pPr>
        <w:pStyle w:val="BodyText"/>
      </w:pPr>
      <w:r>
        <w:t xml:space="preserve">Activate Capital is a growth equity firm investing in companies building smart, sustainable systems across energy, transportation, and industrial technology, aiming to generate financial returns while contributing to the energy transition.</w:t>
      </w:r>
    </w:p>
    <w:p>
      <w:pPr>
        <w:pStyle w:val="BodyText"/>
      </w:pPr>
      <w:r>
        <w:t xml:space="preserve">As of early 2025, Activate was actively seeking its third fund of up to $500M, demonstrating strong LP conviction in its climate growth equity thesis.</w:t>
      </w:r>
      <w:r>
        <w:t xml:space="preserve"> </w:t>
      </w:r>
      <w:r>
        <w:t xml:space="preserve">A firm raising a third fund has strong incentive to demonstrate returns from earlier investments. Activate’s hold period is typically 5-7 years for growth equity; given the Series C was a</w:t>
      </w:r>
      <w:r>
        <w:t xml:space="preserve"> </w:t>
      </w:r>
      <w:r>
        <w:t xml:space="preserve">“</w:t>
      </w:r>
      <w:r>
        <w:t xml:space="preserve">previously unannounced</w:t>
      </w:r>
      <w:r>
        <w:t xml:space="preserve">”</w:t>
      </w:r>
      <w:r>
        <w:t xml:space="preserve"> </w:t>
      </w:r>
      <w:r>
        <w:t xml:space="preserve">round (suggesting it may have closed in 2023 or 2024), Activate would be targeting an exit by 2028-2030. This timeline is broadly consistent with Lunar’s stated 100,000-unit production goal by end of 2028 — the milestones that would need to be achieved to support a credible IPO filing.</w:t>
      </w:r>
    </w:p>
    <w:p>
      <w:pPr>
        <w:pStyle w:val="BodyText"/>
      </w:pPr>
      <w:r>
        <w:rPr>
          <w:b/>
        </w:rPr>
        <w:t xml:space="preserve">B Capital ($102M Series D co-lead):</w:t>
      </w:r>
      <w:r>
        <w:t xml:space="preserve"> </w:t>
      </w:r>
      <w:r>
        <w:t xml:space="preserve">B Capital brings BCG’s network as a differentiated asset — particularly relevant for identifying acquisition counterparties among industrial conglomerates (Schneider Electric, Eaton, Shell’s Sonnen business, Siemens Energy).</w:t>
      </w:r>
      <w:r>
        <w:t xml:space="preserve"> </w:t>
      </w:r>
      <w:r>
        <w:t xml:space="preserve">B Capital’s Jeff Johnson cited Lunar’s</w:t>
      </w:r>
      <w:r>
        <w:t xml:space="preserve"> </w:t>
      </w:r>
      <w:r>
        <w:t xml:space="preserve">“</w:t>
      </w:r>
      <w:r>
        <w:t xml:space="preserve">integrated approach combining modular BESS hardware, advanced AI-driven optimization and proven ability to deliver value to both homeowners and the grid</w:t>
      </w:r>
      <w:r>
        <w:t xml:space="preserve">”</w:t>
      </w:r>
      <w:r>
        <w:t xml:space="preserve"> </w:t>
      </w:r>
      <w:r>
        <w:t xml:space="preserve">as differentiating factors.</w:t>
      </w:r>
      <w:r>
        <w:t xml:space="preserve"> </w:t>
      </w:r>
      <w:r>
        <w:t xml:space="preserve">B Capital’s typical exit orientation is M&amp;A or IPO within 4-6 years; their 2026 entry suggests a 2030-2032 target window.</w:t>
      </w:r>
    </w:p>
    <w:p>
      <w:pPr>
        <w:pStyle w:val="BodyText"/>
      </w:pPr>
      <w:r>
        <w:rPr>
          <w:b/>
        </w:rPr>
        <w:t xml:space="preserve">Prelude Ventures (Series D co-lead):</w:t>
      </w:r>
    </w:p>
    <w:p>
      <w:pPr>
        <w:pStyle w:val="BodyText"/>
      </w:pPr>
      <w:r>
        <w:t xml:space="preserve">Prelude’s Tim Woodward specifically cited Lunar’s</w:t>
      </w:r>
      <w:r>
        <w:t xml:space="preserve"> </w:t>
      </w:r>
      <w:r>
        <w:t xml:space="preserve">“</w:t>
      </w:r>
      <w:r>
        <w:t xml:space="preserve">DC architecture, intelligent hardware, and ease of installation</w:t>
      </w:r>
      <w:r>
        <w:t xml:space="preserve">”</w:t>
      </w:r>
      <w:r>
        <w:t xml:space="preserve"> </w:t>
      </w:r>
      <w:r>
        <w:t xml:space="preserve">as differentiating factors driving</w:t>
      </w:r>
      <w:r>
        <w:t xml:space="preserve"> </w:t>
      </w:r>
      <w:r>
        <w:t xml:space="preserve">“</w:t>
      </w:r>
      <w:r>
        <w:t xml:space="preserve">significant market traction in 2025.</w:t>
      </w:r>
      <w:r>
        <w:t xml:space="preserve">”</w:t>
      </w:r>
      <w:r>
        <w:t xml:space="preserve"> </w:t>
      </w:r>
      <w:r>
        <w:t xml:space="preserve">As a dedicated climate-focused VC, Prelude may have a longer hold tolerance than purely financial investors, but it is unlikely to be willing to hold beyond 2032 without a liquidity event.</w:t>
      </w:r>
    </w:p>
    <w:p>
      <w:pPr>
        <w:pStyle w:val="BodyText"/>
      </w:pPr>
      <w:r>
        <w:rPr>
          <w:b/>
        </w:rPr>
        <w:t xml:space="preserve">DCVC, Piva Capital, Leitmotif, Q Capital Partners:</w:t>
      </w:r>
    </w:p>
    <w:p>
      <w:pPr>
        <w:pStyle w:val="BodyText"/>
      </w:pPr>
      <w:r>
        <w:t xml:space="preserve">These firms participated in both the Series C and Series D as follow-on investors,</w:t>
      </w:r>
      <w:r>
        <w:t xml:space="preserve"> </w:t>
      </w:r>
      <w:r>
        <w:t xml:space="preserve">suggesting conviction but smaller checks. Their influence on board dynamics and exit decisions will be limited relative to Activate, B Capital, and Prelude.</w:t>
      </w:r>
    </w:p>
    <w:p>
      <w:pPr>
        <w:pStyle w:val="Heading3"/>
      </w:pPr>
      <w:bookmarkStart w:id="32" w:name="b.-capitalization-table-analysis"/>
      <w:r>
        <w:t xml:space="preserve">3B. Capitalization Table Analysis</w:t>
      </w:r>
      <w:bookmarkEnd w:id="32"/>
    </w:p>
    <w:p>
      <w:pPr>
        <w:pStyle w:val="FirstParagraph"/>
      </w:pPr>
      <w:r>
        <w:rPr>
          <w:b/>
        </w:rPr>
        <w:t xml:space="preserve">Valuation:</w:t>
      </w:r>
    </w:p>
    <w:p>
      <w:pPr>
        <w:pStyle w:val="BodyText"/>
      </w:pPr>
      <w:r>
        <w:t xml:space="preserve">Girotra indicated the startup is</w:t>
      </w:r>
      <w:r>
        <w:t xml:space="preserve"> </w:t>
      </w:r>
      <w:r>
        <w:t xml:space="preserve">“</w:t>
      </w:r>
      <w:r>
        <w:t xml:space="preserve">approaching a $1 billion valuation</w:t>
      </w:r>
      <w:r>
        <w:t xml:space="preserve">”</w:t>
      </w:r>
      <w:r>
        <w:t xml:space="preserve"> </w:t>
      </w:r>
      <w:r>
        <w:t xml:space="preserve">but did not provide specific figures.</w:t>
      </w:r>
      <w:r>
        <w:t xml:space="preserve"> </w:t>
      </w:r>
      <w:r>
        <w:t xml:space="preserve">At $532M raised with a sub-$1B valuation, the implied post-money multiple is tight — suggesting either (a) later rounds were done at flat-to-down valuations relative to early optimism, or (b) the company is still pre-revenue-scale in a way that suppresses its multiple.</w:t>
      </w:r>
    </w:p>
    <w:p>
      <w:pPr>
        <w:pStyle w:val="BodyText"/>
      </w:pPr>
      <w:r>
        <w:rPr>
          <w:b/>
        </w:rPr>
        <w:t xml:space="preserve">Comparables for valuation context:</w:t>
      </w:r>
      <w:r>
        <w:t xml:space="preserve"> </w:t>
      </w:r>
      <w:r>
        <w:t xml:space="preserve">The residential energy storage public market is sobering.</w:t>
      </w:r>
      <w:r>
        <w:t xml:space="preserve"> </w:t>
      </w:r>
      <w:r>
        <w:t xml:space="preserve">The competitive landscape includes Enphase, FranklinWH, Generac, LG, SolarEdge, Sonnen, Tesla, and others,</w:t>
      </w:r>
      <w:r>
        <w:t xml:space="preserve"> </w:t>
      </w:r>
      <w:r>
        <w:t xml:space="preserve">but most relevant public comparables (Enphase, Stem Inc.) have seen dramatic valuation compression. Stem Inc.’s trajectory from $1.3B SPAC value to near-zero is the cautionary tale for any SPAC/IPO ambitions. Enphase, while profitable and at scale, has seen its valuation drop from $25B peak to roughly $8B by 2025. These comps suggest that a Lunar Energy IPO at a premium valuation requires genuine revenue scale, clear path to profitability, and differentiated moats — none of which are yet proven.</w:t>
      </w:r>
    </w:p>
    <w:p>
      <w:pPr>
        <w:pStyle w:val="BodyText"/>
      </w:pPr>
      <w:r>
        <w:rPr>
          <w:b/>
        </w:rPr>
        <w:t xml:space="preserve">Liquidation preferences:</w:t>
      </w:r>
      <w:r>
        <w:t xml:space="preserve"> </w:t>
      </w:r>
      <w:r>
        <w:t xml:space="preserve">Not publicly disclosed. Standard for a company of this stage and structure: Series C and D investors likely carry 1x non-participating liquidation preferences (standard for growth equity), while earlier strategic investors (Sunrun, SK) may have non-standard terms given their strategic relationship. The $532M raised means that in a distressed sale below raised capital, common shareholders (founders, employees) receive nothing.</w:t>
      </w:r>
    </w:p>
    <w:p>
      <w:pPr>
        <w:pStyle w:val="BodyText"/>
      </w:pPr>
      <w:r>
        <w:rPr>
          <w:b/>
        </w:rPr>
        <w:t xml:space="preserve">Minimum viable exit for Series C/D investors:</w:t>
      </w:r>
      <w:r>
        <w:t xml:space="preserve"> </w:t>
      </w:r>
      <w:r>
        <w:t xml:space="preserve">If Activate invested $130M at a ~$700-800M pre-money (implied by the approaching-$1B post-money), and B Capital/Prelude invested $102M at a similar range, then a 3x return (minimum threshold for growth equity) requires an exit at $2.1-2.4B for Activate. Given Sunrun’s own ~$3-4B market cap, a Sunrun acquisition at a price that satisfies Activate would require Sunrun to pay roughly 60-80% of its own market cap for Lunar — highly unlikely in the current environment.</w:t>
      </w:r>
    </w:p>
    <w:p>
      <w:pPr>
        <w:pStyle w:val="Heading3"/>
      </w:pPr>
      <w:bookmarkStart w:id="33" w:name="c.-exit-scenario-modeling"/>
      <w:r>
        <w:t xml:space="preserve">3C. Exit Scenario Modeling</w:t>
      </w:r>
      <w:bookmarkEnd w:id="33"/>
    </w:p>
    <w:p>
      <w:pPr>
        <w:pStyle w:val="FirstParagraph"/>
      </w:pPr>
      <w:r>
        <w:rPr>
          <w:b/>
        </w:rPr>
        <w:t xml:space="preserve">IPO Path:</w:t>
      </w:r>
      <w:r>
        <w:t xml:space="preserve"> </w:t>
      </w:r>
      <w:r>
        <w:t xml:space="preserve">A Lunar IPO would require demonstrably achieving the 20,000-unit/year target by end of 2026 and showing a credible trajectory to 100,000/year by 2028.</w:t>
      </w:r>
      <w:r>
        <w:t xml:space="preserve"> </w:t>
      </w:r>
      <w:r>
        <w:t xml:space="preserve">Girotra has stated the firm plans to increase manufacturing capacity from about 10,000 battery systems per year today to 20,000 per year by the end of 2026 and to 100,000 per year by the end of 2028.</w:t>
      </w:r>
      <w:r>
        <w:t xml:space="preserve"> </w:t>
      </w:r>
      <w:r>
        <w:t xml:space="preserve">The gap between 2,000 cumulative installations (all-time as of February 2026) and 10,000 annual run-rate (claimed) is notable and requires reconciliation —</w:t>
      </w:r>
      <w:r>
        <w:t xml:space="preserve"> </w:t>
      </w:r>
      <w:r>
        <w:t xml:space="preserve">“</w:t>
      </w:r>
      <w:r>
        <w:t xml:space="preserve">thousands of systems deployed</w:t>
      </w:r>
      <w:r>
        <w:t xml:space="preserve">”</w:t>
      </w:r>
      <w:r>
        <w:t xml:space="preserve"> </w:t>
      </w:r>
      <w:r>
        <w:t xml:space="preserve">in press materials could mean anything from 3,000 to 9,999. An IPO in the current market also faces the headwind of rising interest rates’ impact on solar/storage demand and the expiration of individual homeowner tax credits.</w:t>
      </w:r>
    </w:p>
    <w:p>
      <w:pPr>
        <w:pStyle w:val="BodyText"/>
      </w:pPr>
      <w:r>
        <w:rPr>
          <w:b/>
        </w:rPr>
        <w:t xml:space="preserve">Strategic Acquisition:</w:t>
      </w:r>
      <w:r>
        <w:t xml:space="preserve"> </w:t>
      </w:r>
      <w:r>
        <w:t xml:space="preserve">The most plausible acquirers fall into three tiers:</w:t>
      </w:r>
      <w:r>
        <w:t xml:space="preserve"> </w:t>
      </w:r>
      <w:r>
        <w:t xml:space="preserve">-</w:t>
      </w:r>
      <w:r>
        <w:t xml:space="preserve"> </w:t>
      </w:r>
      <w:r>
        <w:rPr>
          <w:i/>
        </w:rPr>
        <w:t xml:space="preserve">Tier 1 (synergistic):</w:t>
      </w:r>
      <w:r>
        <w:t xml:space="preserve"> </w:t>
      </w:r>
      <w:r>
        <w:t xml:space="preserve">Sunrun (distribution synergy, VPP consolidation), Eaton (load management extension, smart home integration)</w:t>
      </w:r>
      <w:r>
        <w:t xml:space="preserve"> </w:t>
      </w:r>
      <w:r>
        <w:t xml:space="preserve">-</w:t>
      </w:r>
      <w:r>
        <w:t xml:space="preserve"> </w:t>
      </w:r>
      <w:r>
        <w:rPr>
          <w:i/>
        </w:rPr>
        <w:t xml:space="preserve">Tier 2 (strategic):</w:t>
      </w:r>
      <w:r>
        <w:t xml:space="preserve"> </w:t>
      </w:r>
      <w:r>
        <w:t xml:space="preserve">Schneider Electric, Siemens, or Shell/Sonnen (residential storage market entry or expansion)</w:t>
      </w:r>
      <w:r>
        <w:t xml:space="preserve"> </w:t>
      </w:r>
      <w:r>
        <w:t xml:space="preserve">-</w:t>
      </w:r>
      <w:r>
        <w:t xml:space="preserve"> </w:t>
      </w:r>
      <w:r>
        <w:rPr>
          <w:i/>
        </w:rPr>
        <w:t xml:space="preserve">Tier 3 (opportunistic):</w:t>
      </w:r>
      <w:r>
        <w:t xml:space="preserve"> </w:t>
      </w:r>
      <w:r>
        <w:t xml:space="preserve">Industrial or infrastructure PE buying at distress</w:t>
      </w:r>
    </w:p>
    <w:p>
      <w:pPr>
        <w:pStyle w:val="BodyText"/>
      </w:pPr>
      <w:r>
        <w:rPr>
          <w:b/>
        </w:rPr>
        <w:t xml:space="preserve">Distressed scenario:</w:t>
      </w:r>
      <w:r>
        <w:t xml:space="preserve"> </w:t>
      </w:r>
      <w:r>
        <w:t xml:space="preserve">The scenario under which Lunar reaches a distressed outcome requires: (1) failure to execute the 20,000-unit ramp by end of 2026, (2) Sunrun reducing Lunar hardware orders in favor of Tesla Powerwall or other competitors, and (3) inability to raise additional capital in a deteriorating cleantech funding environment.</w:t>
      </w:r>
      <w:r>
        <w:t xml:space="preserve"> </w:t>
      </w:r>
      <w:r>
        <w:t xml:space="preserve">Climate tech exits have decreased by around 50% from 2022 to 2023, and difficult exits, overcommitted LPs, and a liquidity crunch are making fundraising challenging.</w:t>
      </w:r>
      <w:r>
        <w:t xml:space="preserve"> </w:t>
      </w:r>
      <w:r>
        <w:t xml:space="preserve">The company has $532M raised; if hardware margins are thin and the software revenue from Gridshare is not yet large enough to sustain operations, another capital raise would be needed before the 2028 production target is achieved.</w:t>
      </w:r>
    </w:p>
    <w:p>
      <w:r>
        <w:pict>
          <v:rect style="width:0;height:1.5pt" o:hralign="center" o:hrstd="t" o:hr="t"/>
        </w:pict>
      </w:r>
    </w:p>
    <w:p>
      <w:pPr>
        <w:pStyle w:val="Heading2"/>
      </w:pPr>
      <w:bookmarkStart w:id="34" w:name="section-4-founder-management-assessment"/>
      <w:r>
        <w:t xml:space="preserve">SECTION 4: FOUNDER &amp; MANAGEMENT ASSESSMENT</w:t>
      </w:r>
      <w:bookmarkEnd w:id="34"/>
    </w:p>
    <w:p>
      <w:pPr>
        <w:pStyle w:val="Heading3"/>
      </w:pPr>
      <w:bookmarkStart w:id="35" w:name="X99cf1deb0ceea2c88cfe1e58581f0fec5309051"/>
      <w:r>
        <w:t xml:space="preserve">Kunal Girotra — Profile and Key-Person Risk</w:t>
      </w:r>
      <w:bookmarkEnd w:id="35"/>
    </w:p>
    <w:p>
      <w:pPr>
        <w:pStyle w:val="FirstParagraph"/>
      </w:pPr>
      <w:r>
        <w:t xml:space="preserve">During his tenure at Tesla, Girotra led energy products including Powerwall, solar panels, and solar roofs before being promoted to head of Tesla Energy in 2018 — a role he held until he left the company in 2020.</w:t>
      </w:r>
    </w:p>
    <w:p>
      <w:pPr>
        <w:pStyle w:val="BodyText"/>
      </w:pPr>
      <w:r>
        <w:t xml:space="preserve">He joined Tesla Energy in 2015, held multiple leadership positions in product, deployment, and operations, and was head of Tesla Energy until March 2020, after which he founded Lunar in August 2020.</w:t>
      </w:r>
      <w:r>
        <w:t xml:space="preserve"> </w:t>
      </w:r>
      <w:r>
        <w:t xml:space="preserve">The timing — departing Tesla in early 2020 and immediately beginning to raise capital for a direct competitor — raises the question of whether this departure was voluntary, a negotiated exit, or whether it was driven by Tesla’s aggressive internal competition for the residential energy role (which by 2020 had been integrated more tightly under Elon Musk’s direct oversight). No public statements from Girotra or Tesla address the circumstances of his departure.</w:t>
      </w:r>
    </w:p>
    <w:p>
      <w:pPr>
        <w:pStyle w:val="BodyText"/>
      </w:pPr>
      <w:r>
        <w:t xml:space="preserve">The ex-Tesla concentration at Lunar is notable but double-edged:</w:t>
      </w:r>
      <w:r>
        <w:t xml:space="preserve"> </w:t>
      </w:r>
      <w:r>
        <w:t xml:space="preserve">as the former head of Tesla’s residential energy business, Girotra understands the complexity of this market and sees room for an end-to-end home battery system to break through the clutter.</w:t>
      </w:r>
      <w:r>
        <w:t xml:space="preserve"> </w:t>
      </w:r>
      <w:r>
        <w:t xml:space="preserve">This is genuine competitive intelligence. However, homogeneity in leadership backgrounds creates cultural concentration risk — particularly in a company that has also integrated the UK Moixa team with its distinct culture and background.</w:t>
      </w:r>
    </w:p>
    <w:p>
      <w:pPr>
        <w:pStyle w:val="BodyText"/>
      </w:pPr>
      <w:r>
        <w:rPr>
          <w:b/>
        </w:rPr>
        <w:t xml:space="preserve">Headcount trends:</w:t>
      </w:r>
      <w:r>
        <w:t xml:space="preserve"> </w:t>
      </w:r>
      <w:r>
        <w:t xml:space="preserve">The decline from ~250 employees at launch in 2022 to 226 (as reported for June 2025) represents net contraction of approximately 10% over three years of growth — unusual for a company that raised $532M and is in scale-up mode. This may reflect restructuring of the Moixa UK team (which managed a different product line in a different market), natural attrition, or a deliberate reduction to improve unit economics ahead of the Series C/D raises. The company has not publicly addressed this headcount decline.</w:t>
      </w:r>
    </w:p>
    <w:p>
      <w:pPr>
        <w:pStyle w:val="BodyText"/>
      </w:pPr>
      <w:r>
        <w:rPr>
          <w:b/>
        </w:rPr>
        <w:t xml:space="preserve">Moixa Integration:</w:t>
      </w:r>
      <w:r>
        <w:t xml:space="preserve"> </w:t>
      </w:r>
      <w:r>
        <w:t xml:space="preserve">The acquisition of Moixa was the foundation of Lunar’s VPP capabilities.</w:t>
      </w:r>
      <w:r>
        <w:t xml:space="preserve"> </w:t>
      </w:r>
      <w:r>
        <w:t xml:space="preserve">Girotra confirmed that Lunar Energy uses Moixa’s GridShare software for cloud-based functions including data aggregation, machine learning, and VPP management.</w:t>
      </w:r>
      <w:r>
        <w:t xml:space="preserve"> </w:t>
      </w:r>
      <w:r>
        <w:t xml:space="preserve">The Moixa founders — Simon Daniel (CEO) and others — brought deep expertise in UK and Japanese energy markets. No public evidence of cultural friction between the ex-Tesla team and the Moixa team has surfaced, but the headcount contraction and the GSJ restructuring (see Section 5) suggest the UK/Japan operations have been strategically repositioned rather than simply integrated.</w:t>
      </w:r>
    </w:p>
    <w:p>
      <w:r>
        <w:pict>
          <v:rect style="width:0;height:1.5pt" o:hralign="center" o:hrstd="t" o:hr="t"/>
        </w:pict>
      </w:r>
    </w:p>
    <w:p>
      <w:pPr>
        <w:pStyle w:val="Heading2"/>
      </w:pPr>
      <w:bookmarkStart w:id="36" w:name="Xb13a9083b5c23c3dad14545c8e6e593b5278f98"/>
      <w:r>
        <w:t xml:space="preserve">SECTION 5: COMMERCIAL RELATIONSHIP LEVERAGE</w:t>
      </w:r>
      <w:bookmarkEnd w:id="36"/>
    </w:p>
    <w:p>
      <w:pPr>
        <w:pStyle w:val="Heading3"/>
      </w:pPr>
      <w:bookmarkStart w:id="37" w:name="itochu-and-gridshare-japan"/>
      <w:r>
        <w:t xml:space="preserve">ITOCHU and Gridshare Japan</w:t>
      </w:r>
      <w:bookmarkEnd w:id="37"/>
    </w:p>
    <w:p>
      <w:pPr>
        <w:pStyle w:val="FirstParagraph"/>
      </w:pPr>
      <w:r>
        <w:t xml:space="preserve">This is the most structurally significant strategic move in Lunar’s recent history and has received minimal analytical attention.</w:t>
      </w:r>
    </w:p>
    <w:p>
      <w:pPr>
        <w:pStyle w:val="BodyText"/>
      </w:pPr>
      <w:r>
        <w:t xml:space="preserve">In December 2025, ITOCHU announced that five new shareholders — including OMRON Social Solutions, Kyushu Electric Power, Chubu Electric Power Miraiz, Tokyu Land Corporation, and Lunar Energy Inc. (U.S.) — would join its subsidiary GridShare Japan Corporation, with the goal of accelerating GSJ’s distributed energy platform service.</w:t>
      </w:r>
    </w:p>
    <w:p>
      <w:pPr>
        <w:pStyle w:val="BodyText"/>
      </w:pPr>
      <w:r>
        <w:t xml:space="preserve">What this means structurally: GridShare Japan (GSJ) was ITOCHU’s vehicle for deploying Gridshare software across Japan’s residential battery fleet. Lunar Energy is now joining as a</w:t>
      </w:r>
      <w:r>
        <w:t xml:space="preserve"> </w:t>
      </w:r>
      <w:r>
        <w:rPr>
          <w:i/>
        </w:rPr>
        <w:t xml:space="preserve">co-investor</w:t>
      </w:r>
      <w:r>
        <w:t xml:space="preserve"> </w:t>
      </w:r>
      <w:r>
        <w:t xml:space="preserve">in GSJ alongside Japanese power companies and real estate firms — rather than retaining full ownership and control of the Japan operations.</w:t>
      </w:r>
      <w:r>
        <w:t xml:space="preserve"> </w:t>
      </w:r>
      <w:r>
        <w:t xml:space="preserve">Lunar Energy’s own blog confirms it is</w:t>
      </w:r>
      <w:r>
        <w:t xml:space="preserve"> </w:t>
      </w:r>
      <w:r>
        <w:t xml:space="preserve">“</w:t>
      </w:r>
      <w:r>
        <w:t xml:space="preserve">deepening its commitment to Japan’s clean energy future by supporting a new phase of growth for Gridshare Japan.</w:t>
      </w:r>
      <w:r>
        <w:t xml:space="preserve">”</w:t>
      </w:r>
    </w:p>
    <w:p>
      <w:pPr>
        <w:pStyle w:val="BodyText"/>
      </w:pPr>
      <w:r>
        <w:t xml:space="preserve">The Japan VPP market is significant:</w:t>
      </w:r>
      <w:r>
        <w:t xml:space="preserve"> </w:t>
      </w:r>
      <w:r>
        <w:t xml:space="preserve">starting in 2026, residential distributed energy resources in Japan will be eligible to participate in Japan’s transmission-level capacity market and balancing markets, unlocking new VPP revenue opportunities.</w:t>
      </w:r>
      <w:r>
        <w:t xml:space="preserve"> </w:t>
      </w:r>
      <w:r>
        <w:t xml:space="preserve">Lunar’s decision to join GSJ as a minority co-investor rather than consolidating Japan operations under Lunar directly suggests a deliberate strategic choice to: (a) raise capital from Japanese strategic investors at the subsidiary level, (b) reduce Lunar’s balance sheet exposure to international expansion, and/or (c) allow ITOCHU to retain control of the Japan market while Lunar focuses on the US.</w:t>
      </w:r>
    </w:p>
    <w:p>
      <w:pPr>
        <w:pStyle w:val="BodyText"/>
      </w:pPr>
      <w:r>
        <w:rPr>
          <w:b/>
        </w:rPr>
        <w:t xml:space="preserve">This is a partial divestiture of the Japan business disguised as a deepening commitment.</w:t>
      </w:r>
      <w:r>
        <w:t xml:space="preserve"> </w:t>
      </w:r>
      <w:r>
        <w:t xml:space="preserve">It is revealing of management’s priorities: the US market gets the $232M raise; Japan gets restructured into a consortium vehicle.</w:t>
      </w:r>
    </w:p>
    <w:p>
      <w:pPr>
        <w:pStyle w:val="Heading3"/>
      </w:pPr>
      <w:bookmarkStart w:id="38" w:name="honda"/>
      <w:r>
        <w:t xml:space="preserve">Honda</w:t>
      </w:r>
      <w:bookmarkEnd w:id="38"/>
    </w:p>
    <w:p>
      <w:pPr>
        <w:pStyle w:val="FirstParagraph"/>
      </w:pPr>
      <w:r>
        <w:t xml:space="preserve">Gridshare helped Honda offer its EV customers a smart charging solution — specifically, the collaboration led to e:PROGRESS, an intelligent home EV charging offer for Honda electric customers in the UK, which lets customers reduce charging costs with minimal effort.</w:t>
      </w:r>
      <w:r>
        <w:t xml:space="preserve"> </w:t>
      </w:r>
      <w:r>
        <w:t xml:space="preserve">This relationship is currently UK-focused and has not been publicly extended to Honda’s US EV market, despite Honda’s aggressive US EV expansion. The absence of a US Honda Gridshare integration is a missed opportunity that warrants a direct question to management.</w:t>
      </w:r>
    </w:p>
    <w:p>
      <w:pPr>
        <w:pStyle w:val="Heading3"/>
      </w:pPr>
      <w:bookmarkStart w:id="39" w:name="eaton"/>
      <w:r>
        <w:t xml:space="preserve">Eaton</w:t>
      </w:r>
      <w:bookmarkEnd w:id="39"/>
    </w:p>
    <w:p>
      <w:pPr>
        <w:pStyle w:val="FirstParagraph"/>
      </w:pPr>
      <w:r>
        <w:t xml:space="preserve">Eaton announced a collaboration with Lunar Energy to simplify installation and maximize functionality of home energy storage, with Eaton’s AbleEdge smart breakers integrating with the Lunar System, with joint solutions expected to be available in early 2025 and Eaton named as Lunar Energy’s preferred supplier for load management.</w:t>
      </w:r>
    </w:p>
    <w:p>
      <w:pPr>
        <w:pStyle w:val="BodyText"/>
      </w:pPr>
      <w:r>
        <w:t xml:space="preserve">The Eaton smart breakers can be added to the Lunar Bridge, any Eaton BR loadcenter or meter breaker, and homeowners will be able to use Lunar’s application to install, commission, and control both companies’ technologies.</w:t>
      </w:r>
    </w:p>
    <w:p>
      <w:pPr>
        <w:pStyle w:val="BodyText"/>
      </w:pPr>
      <w:r>
        <w:t xml:space="preserve">The Eaton relationship is a</w:t>
      </w:r>
      <w:r>
        <w:t xml:space="preserve"> </w:t>
      </w:r>
      <w:r>
        <w:rPr>
          <w:b/>
        </w:rPr>
        <w:t xml:space="preserve">preferred supplier arrangement</w:t>
      </w:r>
      <w:r>
        <w:t xml:space="preserve"> </w:t>
      </w:r>
      <w:r>
        <w:t xml:space="preserve">— not an OEM licensing deal. Revenue implications are indirect (better installation economics, potentially higher attach rates) rather than direct licensing fees to Lunar. However, Eaton (with $23.2B in annual revenues) is a potential strategic acquirer with both the financial capacity and strategic rationale to acquire Lunar as an entry into the residential home electrification market — a scenario that B Capital’s BCG network is uniquely positioned to facilitate.</w:t>
      </w:r>
    </w:p>
    <w:p>
      <w:pPr>
        <w:pStyle w:val="Heading3"/>
      </w:pPr>
      <w:bookmarkStart w:id="40" w:name="utility-partnerships-vpp-programs"/>
      <w:r>
        <w:t xml:space="preserve">Utility Partnerships — VPP Programs</w:t>
      </w:r>
      <w:bookmarkEnd w:id="40"/>
    </w:p>
    <w:p>
      <w:pPr>
        <w:pStyle w:val="FirstParagraph"/>
      </w:pPr>
      <w:r>
        <w:t xml:space="preserve">The delivery of targeted power to PG&amp;E circuits leverages Sunrun’s partnerships with Tesla and Lunar Energy</w:t>
      </w:r>
      <w:r>
        <w:t xml:space="preserve"> </w:t>
      </w:r>
      <w:r>
        <w:t xml:space="preserve">— with the specific architecture being that</w:t>
      </w:r>
      <w:r>
        <w:t xml:space="preserve"> </w:t>
      </w:r>
      <w:r>
        <w:t xml:space="preserve">Sunrun uses Lunar Energy’s Gridshare platform for non-Tesla batteries and Tesla’s grid services platform for Powerwall batteries.</w:t>
      </w:r>
      <w:r>
        <w:t xml:space="preserve"> </w:t>
      </w:r>
      <w:r>
        <w:t xml:space="preserve">This dual-platform architecture within a single Sunrun-PG&amp;E program is important: it reveals that Sunrun is</w:t>
      </w:r>
      <w:r>
        <w:t xml:space="preserve"> </w:t>
      </w:r>
      <w:r>
        <w:rPr>
          <w:b/>
        </w:rPr>
        <w:t xml:space="preserve">not committed to a single VPP software platform</w:t>
      </w:r>
      <w:r>
        <w:t xml:space="preserve"> </w:t>
      </w:r>
      <w:r>
        <w:t xml:space="preserve">and is operating Tesla and Lunar systems under different optimization engines. Should Sunrun’s Powerwall fleet continue to grow faster than its Lunar hardware fleet, the Gridshare VPP relationship within Sunrun’s portfolio naturally shrinks in relative importance.</w:t>
      </w:r>
    </w:p>
    <w:p>
      <w:pPr>
        <w:pStyle w:val="BodyText"/>
      </w:pPr>
      <w:r>
        <w:t xml:space="preserve">Lunar’s VPP programs include ones run by Peninsula Clean Energy (a community choice aggregator in California) and Hawaiian Electric Company.</w:t>
      </w:r>
      <w:r>
        <w:t xml:space="preserve"> </w:t>
      </w:r>
      <w:r>
        <w:t xml:space="preserve">These direct utility/CCA relationships are the most important diversification asset Lunar has against Sunrun dependency — if Lunar can expand its direct CCA relationships, it reduces Sunrun’s leverage over Gridshare pricing.</w:t>
      </w:r>
    </w:p>
    <w:p>
      <w:pPr>
        <w:pStyle w:val="BodyText"/>
      </w:pPr>
      <w:r>
        <w:t xml:space="preserve">Ava Community Energy (an 8-county CCA serving 2 million customers in the Bay Area) has also partnered with Lunar Energy to execute its VPP strategy.</w:t>
      </w:r>
      <w:r>
        <w:t xml:space="preserve"> </w:t>
      </w:r>
      <w:r>
        <w:t xml:space="preserve">This is a marquee customer win that demonstrates Gridshare’s ability to win CCA clients independently of the Sunrun relationship.</w:t>
      </w:r>
    </w:p>
    <w:p>
      <w:pPr>
        <w:pStyle w:val="Heading3"/>
      </w:pPr>
      <w:bookmarkStart w:id="41" w:name="greentech-renewables"/>
      <w:r>
        <w:t xml:space="preserve">Greentech Renewables</w:t>
      </w:r>
      <w:bookmarkEnd w:id="41"/>
    </w:p>
    <w:p>
      <w:pPr>
        <w:pStyle w:val="FirstParagraph"/>
      </w:pPr>
      <w:r>
        <w:t xml:space="preserve">The Greentech Renewables distribution partnership has not been publicly detailed beyond mentions. Greentech is a major US wholesale distributor of solar and storage products — this relationship would represent a non-Sunrun distribution channel. Its scale and commitment level relative to Sunrun are not publicly disclosed.</w:t>
      </w:r>
    </w:p>
    <w:p>
      <w:r>
        <w:pict>
          <v:rect style="width:0;height:1.5pt" o:hralign="center" o:hrstd="t" o:hr="t"/>
        </w:pict>
      </w:r>
    </w:p>
    <w:p>
      <w:pPr>
        <w:pStyle w:val="Heading2"/>
      </w:pPr>
      <w:bookmarkStart w:id="42" w:name="Xe74d786d6f09413b10c7ed4881df84825ce62bf"/>
      <w:r>
        <w:t xml:space="preserve">SECTION 6: STATED STRATEGY VS. REVEALED STRATEGY</w:t>
      </w:r>
      <w:bookmarkEnd w:id="42"/>
    </w:p>
    <w:p>
      <w:pPr>
        <w:pStyle w:val="Heading3"/>
      </w:pPr>
      <w:bookmarkStart w:id="43" w:name="we-will-never-need-to-raise-again"/>
      <w:r>
        <w:t xml:space="preserve">“</w:t>
      </w:r>
      <w:r>
        <w:t xml:space="preserve">We will never need to raise again</w:t>
      </w:r>
      <w:r>
        <w:t xml:space="preserve">”</w:t>
      </w:r>
      <w:bookmarkEnd w:id="43"/>
    </w:p>
    <w:p>
      <w:pPr>
        <w:pStyle w:val="FirstParagraph"/>
      </w:pPr>
      <w:r>
        <w:t xml:space="preserve">This statement has not been made publicly by Girotra in any document surfaced in this analysis. The company has just raised $232M and has total funding of $532M. The implied operating trajectory — scaling from ~2,000 cumulative installations to 100,000 annual units by 2028 — will require significant capital expenditure for manufacturing expansion, working capital for hardware inventory, and continued R&amp;D.</w:t>
      </w:r>
      <w:r>
        <w:t xml:space="preserve"> </w:t>
      </w:r>
      <w:r>
        <w:t xml:space="preserve">Cleantech manufacturing scale-ups increasingly supplement equity with debt financing, green bonds, and hybrid capital, and typically need 20-50% more equity than software companies, along with nearly double the total capital once grants, debt, and other non-dilutive funding are included.</w:t>
      </w:r>
      <w:r>
        <w:t xml:space="preserve"> </w:t>
      </w:r>
      <w:r>
        <w:t xml:space="preserve">The claim of no further capital needs is almost certainly not credible unless hardware margins dramatically exceed current industry norms or significant debt financing is accessed.</w:t>
      </w:r>
    </w:p>
    <w:p>
      <w:pPr>
        <w:pStyle w:val="Heading3"/>
      </w:pPr>
      <w:bookmarkStart w:id="44" w:name="units-by-2028"/>
      <w:r>
        <w:t xml:space="preserve">“</w:t>
      </w:r>
      <w:r>
        <w:t xml:space="preserve">100,000 Units by 2028</w:t>
      </w:r>
      <w:r>
        <w:t xml:space="preserve">”</w:t>
      </w:r>
      <w:bookmarkEnd w:id="44"/>
    </w:p>
    <w:p>
      <w:pPr>
        <w:pStyle w:val="FirstParagraph"/>
      </w:pPr>
      <w:r>
        <w:t xml:space="preserve">Girotra has stated the firm plans to increase manufacturing capacity from about 10,000 battery systems per year today to 20,000 per year by the end of 2026 and to 100,000 per year by the end of 2028.</w:t>
      </w:r>
      <w:r>
        <w:t xml:space="preserve"> </w:t>
      </w:r>
      <w:r>
        <w:t xml:space="preserve">The intermediate milestone — 20,000 units by end of 2026 — will be the definitive test of execution credibility.</w:t>
      </w:r>
      <w:r>
        <w:t xml:space="preserve"> </w:t>
      </w:r>
      <w:r>
        <w:t xml:space="preserve">Girotra attributed his optimism partly to the fact that tax credits for leased residential batteries remain in place through end of 2027,</w:t>
      </w:r>
      <w:r>
        <w:t xml:space="preserve"> </w:t>
      </w:r>
      <w:r>
        <w:t xml:space="preserve">which is a legitimate near-term demand driver, but</w:t>
      </w:r>
      <w:r>
        <w:t xml:space="preserve"> </w:t>
      </w:r>
      <w:r>
        <w:t xml:space="preserve">the installation surge in 2025 was driven in part by homeowners rushing to buy batteries before individual tax credits expired December 31</w:t>
      </w:r>
      <w:r>
        <w:t xml:space="preserve"> </w:t>
      </w:r>
      <w:r>
        <w:t xml:space="preserve">— creating a potential demand air pocket in 2026 before the lease market fills in.</w:t>
      </w:r>
    </w:p>
    <w:p>
      <w:pPr>
        <w:pStyle w:val="Heading3"/>
      </w:pPr>
      <w:bookmarkStart w:id="45" w:name="expanding-to-texas-utah-nevada-illinois"/>
      <w:r>
        <w:t xml:space="preserve">“</w:t>
      </w:r>
      <w:r>
        <w:t xml:space="preserve">Expanding to Texas, Utah, Nevada, Illinois</w:t>
      </w:r>
      <w:r>
        <w:t xml:space="preserve">”</w:t>
      </w:r>
      <w:bookmarkEnd w:id="45"/>
    </w:p>
    <w:p>
      <w:pPr>
        <w:pStyle w:val="FirstParagraph"/>
      </w:pPr>
      <w:r>
        <w:t xml:space="preserve">Lunar plans to expand its VPP services, partnering with California CCAs and retail electricity providers in competitive markets, and expects customers in several more states including Texas by year-end.</w:t>
      </w:r>
      <w:r>
        <w:t xml:space="preserve"> </w:t>
      </w:r>
      <w:r>
        <w:t xml:space="preserve">Texas (ERCOT) is the most commercially important expansion target, given its competitive retail electricity market, high summer peak demand, and absence of a dominant incumbent residential solar installer. However, no signed distribution partnerships, utility contracts, or installer relationships in Texas have been publicly disclosed as of this analysis.</w:t>
      </w:r>
      <w:r>
        <w:t xml:space="preserve"> </w:t>
      </w:r>
      <w:r>
        <w:t xml:space="preserve">“</w:t>
      </w:r>
      <w:r>
        <w:t xml:space="preserve">Expanding to Texas</w:t>
      </w:r>
      <w:r>
        <w:t xml:space="preserve">”</w:t>
      </w:r>
      <w:r>
        <w:t xml:space="preserve"> </w:t>
      </w:r>
      <w:r>
        <w:t xml:space="preserve">and being commercially operational in Texas with meaningful volumes are different statements.</w:t>
      </w:r>
    </w:p>
    <w:p>
      <w:pPr>
        <w:pStyle w:val="Heading3"/>
      </w:pPr>
      <w:bookmarkStart w:id="46" w:name="everything-downstream-of-the-solar-panel"/>
      <w:r>
        <w:t xml:space="preserve">“</w:t>
      </w:r>
      <w:r>
        <w:t xml:space="preserve">Everything Downstream of the Solar Panel</w:t>
      </w:r>
      <w:r>
        <w:t xml:space="preserve">”</w:t>
      </w:r>
      <w:bookmarkEnd w:id="46"/>
    </w:p>
    <w:p>
      <w:pPr>
        <w:pStyle w:val="FirstParagraph"/>
      </w:pPr>
      <w:r>
        <w:t xml:space="preserve">This strategy — integrating battery, inverter, smart panel, EV charger, and VPP management into a single home ecosystem — is genuinely differentiated.</w:t>
      </w:r>
      <w:r>
        <w:t xml:space="preserve"> </w:t>
      </w:r>
      <w:r>
        <w:t xml:space="preserve">Lunar’s system includes modular batteries (15-30 kWh), integrated inverters and optimizers, and digitally controllable circuit breakers that allow smartphone control of household circuits.</w:t>
      </w:r>
      <w:r>
        <w:t xml:space="preserve"> </w:t>
      </w:r>
      <w:r>
        <w:t xml:space="preserve">However, the capital intensity of being both a hardware manufacturer and a software platform is substantial — and the graveyard of home electrification companies that tried to</w:t>
      </w:r>
      <w:r>
        <w:t xml:space="preserve"> </w:t>
      </w:r>
      <w:r>
        <w:t xml:space="preserve">“</w:t>
      </w:r>
      <w:r>
        <w:t xml:space="preserve">own the home</w:t>
      </w:r>
      <w:r>
        <w:t xml:space="preserve">”</w:t>
      </w:r>
      <w:r>
        <w:t xml:space="preserve"> </w:t>
      </w:r>
      <w:r>
        <w:t xml:space="preserve">is well-documented. Span (smart panels), Sense (energy monitoring), Copper Labs — all have struggled to achieve the integrated vision.</w:t>
      </w:r>
    </w:p>
    <w:p>
      <w:pPr>
        <w:pStyle w:val="Heading3"/>
      </w:pPr>
      <w:bookmarkStart w:id="47" w:name="X937040b75583eeb9f20f33892279e134eb26fcc"/>
      <w:r>
        <w:t xml:space="preserve">The GridShare Japan Investment (December 2025) — Expansion or Separation?</w:t>
      </w:r>
      <w:bookmarkEnd w:id="47"/>
    </w:p>
    <w:p>
      <w:pPr>
        <w:pStyle w:val="FirstParagraph"/>
      </w:pPr>
      <w:r>
        <w:t xml:space="preserve">As analyzed in Section 5, this is most accurately described as a</w:t>
      </w:r>
      <w:r>
        <w:t xml:space="preserve"> </w:t>
      </w:r>
      <w:r>
        <w:rPr>
          <w:b/>
        </w:rPr>
        <w:t xml:space="preserve">managed partial exit from the Japan market</w:t>
      </w:r>
      <w:r>
        <w:t xml:space="preserve">, not a deepening investment. By inviting Kyushu Electric Power, Chubu Electric Power Miraiz, and OMRON as co-investors into GSJ alongside Lunar, Lunar is: (1) raising fresh capital at the subsidiary level without diluting the Lunar parent cap table, (2) aligning Japanese utilities as stakeholders in the platform’s success, and (3) progressively transferring operational responsibility for Japan to a locally-controlled entity. This is strategically rational — Lunar’s comparative advantage is in the US market — but the framing as a</w:t>
      </w:r>
      <w:r>
        <w:t xml:space="preserve"> </w:t>
      </w:r>
      <w:r>
        <w:t xml:space="preserve">“</w:t>
      </w:r>
      <w:r>
        <w:t xml:space="preserve">deepening commitment</w:t>
      </w:r>
      <w:r>
        <w:t xml:space="preserve">”</w:t>
      </w:r>
      <w:r>
        <w:t xml:space="preserve"> </w:t>
      </w:r>
      <w:r>
        <w:t xml:space="preserve">in press materials is spin.</w:t>
      </w:r>
    </w:p>
    <w:p>
      <w:r>
        <w:pict>
          <v:rect style="width:0;height:1.5pt" o:hralign="center" o:hrstd="t" o:hr="t"/>
        </w:pict>
      </w:r>
    </w:p>
    <w:p>
      <w:pPr>
        <w:pStyle w:val="Heading2"/>
      </w:pPr>
      <w:bookmarkStart w:id="48" w:name="notable-anomalies"/>
      <w:r>
        <w:t xml:space="preserve">NOTABLE ANOMALIES</w:t>
      </w:r>
      <w:bookmarkEnd w:id="48"/>
    </w:p>
    <w:p>
      <w:pPr>
        <w:pStyle w:val="FirstParagraph"/>
      </w:pPr>
      <w:r>
        <w:t xml:space="preserve">The following observations stand out as surprising, contradictory, or insufficiently analyzed in public discourse:</w:t>
      </w:r>
    </w:p>
    <w:p>
      <w:pPr>
        <w:pStyle w:val="BodyText"/>
      </w:pPr>
      <w:r>
        <w:rPr>
          <w:b/>
        </w:rPr>
        <w:t xml:space="preserve">1. THE SUNRUN HARDWARE COMPETITIVE PARADOX</w:t>
      </w:r>
      <w:r>
        <w:t xml:space="preserve"> </w:t>
      </w:r>
      <w:r>
        <w:t xml:space="preserve">Sunrun is simultaneously Lunar’s primary investor, board chair’s employer, distribution channel, and VPP software client — while also openly promoting Tesla Powerwall 3 as its preferred add-on battery product on its customer-facing website.</w:t>
      </w:r>
      <w:r>
        <w:t xml:space="preserve"> </w:t>
      </w:r>
      <w:r>
        <w:t xml:space="preserve">Sunrun describes Tesla Powerwall 3 as</w:t>
      </w:r>
      <w:r>
        <w:t xml:space="preserve"> </w:t>
      </w:r>
      <w:r>
        <w:t xml:space="preserve">“</w:t>
      </w:r>
      <w:r>
        <w:t xml:space="preserve">one of the most trusted energy storage solutions available on the market</w:t>
      </w:r>
      <w:r>
        <w:t xml:space="preserve">”</w:t>
      </w:r>
      <w:r>
        <w:t xml:space="preserve"> </w:t>
      </w:r>
      <w:r>
        <w:t xml:space="preserve">in the same breath that it claims Lunar as a strategic partner. This is not a conflict being managed — it is a conflict being normalized. The question for any governance analyst is: what prevents Sunrun from simply expanding its Tesla relationship and reducing Lunar hardware orders, while retaining Gridshare for non-Tesla VPP dispatch?</w:t>
      </w:r>
    </w:p>
    <w:p>
      <w:pPr>
        <w:pStyle w:val="BodyText"/>
      </w:pPr>
      <w:r>
        <w:rPr>
          <w:b/>
        </w:rPr>
        <w:t xml:space="preserve">2. DUAL-PLATFORM VPP ARCHITECTURE REVEALS GRADUAL DISPLACEMENT</w:t>
      </w:r>
      <w:r>
        <w:t xml:space="preserve"> </w:t>
      </w:r>
      <w:r>
        <w:t xml:space="preserve">The PG&amp;E SAVE program’s explicit use of</w:t>
      </w:r>
      <w:r>
        <w:t xml:space="preserve"> </w:t>
      </w:r>
      <w:r>
        <w:t xml:space="preserve">Tesla’s platform for Powerwall batteries and Lunar Gridshare for non-Tesla batteries</w:t>
      </w:r>
      <w:r>
        <w:t xml:space="preserve"> </w:t>
      </w:r>
      <w:r>
        <w:t xml:space="preserve">reveals that Sunrun’s commitment to Gridshare is</w:t>
      </w:r>
      <w:r>
        <w:t xml:space="preserve"> </w:t>
      </w:r>
      <w:r>
        <w:rPr>
          <w:b/>
        </w:rPr>
        <w:t xml:space="preserve">conditional on which hardware it sells.</w:t>
      </w:r>
      <w:r>
        <w:t xml:space="preserve"> </w:t>
      </w:r>
      <w:r>
        <w:t xml:space="preserve">As Sunrun’s own Powerwall fleet grows (driven by its active Tesla promotion), Gridshare’s operational footprint within Sunrun’s ecosystem shrinks. This structural displacement dynamic is not acknowledged in any Lunar public communications.</w:t>
      </w:r>
    </w:p>
    <w:p>
      <w:pPr>
        <w:pStyle w:val="BodyText"/>
      </w:pPr>
      <w:r>
        <w:rPr>
          <w:b/>
        </w:rPr>
        <w:t xml:space="preserve">3. SK GROUP IS BUILDING A COMPETING PRODUCT</w:t>
      </w:r>
    </w:p>
    <w:p>
      <w:pPr>
        <w:pStyle w:val="BodyText"/>
      </w:pPr>
      <w:r>
        <w:t xml:space="preserve">SK On has made a</w:t>
      </w:r>
      <w:r>
        <w:t xml:space="preserve"> </w:t>
      </w:r>
      <w:r>
        <w:t xml:space="preserve">“</w:t>
      </w:r>
      <w:r>
        <w:t xml:space="preserve">major entry into the US battery energy storage system market with LFP batteries.</w:t>
      </w:r>
      <w:r>
        <w:t xml:space="preserve">”</w:t>
      </w:r>
      <w:r>
        <w:t xml:space="preserve"> </w:t>
      </w:r>
      <w:r>
        <w:t xml:space="preserve">As SK moves downstream into stationary storage — first at utility scale, then potentially residential — it is building the exact competitive capability to bypass Lunar as its US residential channel. The fact that SK is simultaneously a Lunar investor, battery cell supplier, and emerging BESS competitor is an unaddressed structural conflict of interest.</w:t>
      </w:r>
    </w:p>
    <w:p>
      <w:pPr>
        <w:pStyle w:val="BodyText"/>
      </w:pPr>
      <w:r>
        <w:rPr>
          <w:b/>
        </w:rPr>
        <w:t xml:space="preserve">4. THE GRIDSHARE JAPAN TRANSACTION SUGGESTS US-FIRST PIVOT</w:t>
      </w:r>
      <w:r>
        <w:t xml:space="preserve"> </w:t>
      </w:r>
      <w:r>
        <w:t xml:space="preserve">The GSJ restructuring in December 2025 — where Lunar joined as a minority co-investor in ITOCHU’s Japan subsidiary alongside Japanese utilities and real estate firms — is not a deepening of Japan operations. It is a strategic repositioning that hands operational control of the Japan market to a ITOCHU-led consortium while Lunar retains equity and technology licensing income. This signals that management has made an implicit decision that Japan operations are a distraction from the core US scaling mission. This is operationally rational but suggests the</w:t>
      </w:r>
      <w:r>
        <w:t xml:space="preserve"> </w:t>
      </w:r>
      <w:r>
        <w:t xml:space="preserve">“</w:t>
      </w:r>
      <w:r>
        <w:t xml:space="preserve">global platform</w:t>
      </w:r>
      <w:r>
        <w:t xml:space="preserve">”</w:t>
      </w:r>
      <w:r>
        <w:t xml:space="preserve"> </w:t>
      </w:r>
      <w:r>
        <w:t xml:space="preserve">positioning in Lunar’s marketing materials overstates the company’s geographic ambitions.</w:t>
      </w:r>
    </w:p>
    <w:p>
      <w:pPr>
        <w:pStyle w:val="BodyText"/>
      </w:pPr>
      <w:r>
        <w:rPr>
          <w:b/>
        </w:rPr>
        <w:t xml:space="preserve">5. SUNRUN’S AFFILIATE CHANNEL REDUCTION CREATES DISTRIBUTION RISK FOR LUNAR</w:t>
      </w:r>
    </w:p>
    <w:p>
      <w:pPr>
        <w:pStyle w:val="BodyText"/>
      </w:pPr>
      <w:r>
        <w:t xml:space="preserve">Sunrun is deliberately reducing its affiliate channel business by over 40% in 2026</w:t>
      </w:r>
      <w:r>
        <w:t xml:space="preserve"> </w:t>
      </w:r>
      <w:r>
        <w:t xml:space="preserve">in favor of its direct model. If a portion of Lunar’s ~2,000 installations were facilitated through Sunrun’s affiliate channel (third-party contractors installing Sunrun-sold systems), then Sunrun’s affiliate channel reduction directly reduces Lunar’s distribution reach — independent of any change in Sunrun’s hardware product preferences.</w:t>
      </w:r>
    </w:p>
    <w:p>
      <w:pPr>
        <w:pStyle w:val="BodyText"/>
      </w:pPr>
      <w:r>
        <w:rPr>
          <w:b/>
        </w:rPr>
        <w:t xml:space="preserve">6. TAX CREDIT CLIFF FOR INDIVIDUAL BUYERS IS A NEAR-TERM DEMAND AIR POCKET</w:t>
      </w:r>
    </w:p>
    <w:p>
      <w:pPr>
        <w:pStyle w:val="BodyText"/>
      </w:pPr>
      <w:r>
        <w:t xml:space="preserve">The recently passed Republican budget reconciliation law ended decades-old tax credits for homeowners installing clean energy systems.</w:t>
      </w:r>
    </w:p>
    <w:p>
      <w:pPr>
        <w:pStyle w:val="BodyText"/>
      </w:pPr>
      <w:r>
        <w:t xml:space="preserve">Girotra attributed optimism to the fact that tax credits for leased residential batteries remain through end of 2027.</w:t>
      </w:r>
      <w:r>
        <w:t xml:space="preserve"> </w:t>
      </w:r>
      <w:r>
        <w:t xml:space="preserve">But the transition from owned to leased systems changes the economics of the distribution relationship: in a lease model, the installer (Sunrun) captures the ITC and monetizes it through tax equity transactions — further concentrating power in Sunrun’s hands relative to Lunar.</w:t>
      </w:r>
    </w:p>
    <w:p>
      <w:pPr>
        <w:pStyle w:val="BodyText"/>
      </w:pPr>
      <w:r>
        <w:rPr>
          <w:b/>
        </w:rPr>
        <w:t xml:space="preserve">7. ACTIVATE CAPITAL IS RAISING ITS THIRD FUND — CREATING EXIT PRESSURE</w:t>
      </w:r>
    </w:p>
    <w:p>
      <w:pPr>
        <w:pStyle w:val="BodyText"/>
      </w:pPr>
      <w:r>
        <w:t xml:space="preserve">Activate Capital is seeking its third fund</w:t>
      </w:r>
      <w:r>
        <w:t xml:space="preserve"> </w:t>
      </w:r>
      <w:r>
        <w:t xml:space="preserve">while also having led Lunar’s Series C. A fund manager raising a new fund has strong incentive to demonstrate returns from the prior fund — which creates pressure to accelerate Lunar toward a liquidity event faster than might otherwise be optimal for the company’s development. This tension between investor fund cycle needs and company operational needs is an under-discussed governance dynamic.</w:t>
      </w:r>
    </w:p>
    <w:p>
      <w:pPr>
        <w:pStyle w:val="BodyText"/>
      </w:pPr>
      <w:r>
        <w:rPr>
          <w:b/>
        </w:rPr>
        <w:t xml:space="preserve">8. LYNN JURICH’S TRIPLE ROLE CREATES AN UNPRECEDENTED CONFLICT STRUCTURE</w:t>
      </w:r>
      <w:r>
        <w:t xml:space="preserve"> </w:t>
      </w:r>
      <w:r>
        <w:t xml:space="preserve">No public governance framework has been disclosed for how Lynn Jurich manages her simultaneous roles as: (1) Co-Executive Chair of Sunrun (a public company with fiduciary duties to Sunrun shareholders), (2) Chair of Lunar Energy’s board (with fiduciary duties to Lunar investors and employees), and (3) major individual Sunrun shareholder (with personal financial incentives in any Sunrun acquisition of Lunar). This three-way conflict — in which any acquisition deal, any pricing negotiation, and any VPP contract renewal puts her on both sides of the table — is structurally problematic and would be scrutinized intensively in any M&amp;A due diligence process or regulatory review.</w:t>
      </w:r>
    </w:p>
    <w:p>
      <w:pPr>
        <w:pStyle w:val="BodyText"/>
      </w:pPr>
      <w:r>
        <w:rPr>
          <w:b/>
        </w:rPr>
        <w:t xml:space="preserve">9. GIROTRA’S VALUATION HINT IMPLIES THE COMPANY IS RAISING AT BELOW-EXPECTATIONS</w:t>
      </w:r>
    </w:p>
    <w:p>
      <w:pPr>
        <w:pStyle w:val="BodyText"/>
      </w:pPr>
      <w:r>
        <w:t xml:space="preserve">Girotra</w:t>
      </w:r>
      <w:r>
        <w:t xml:space="preserve"> </w:t>
      </w:r>
      <w:r>
        <w:t xml:space="preserve">“</w:t>
      </w:r>
      <w:r>
        <w:t xml:space="preserve">indicated the startup is approaching a $1 billion valuation but did not provide specific figures.</w:t>
      </w:r>
      <w:r>
        <w:t xml:space="preserve">”</w:t>
      </w:r>
      <w:r>
        <w:t xml:space="preserve"> </w:t>
      </w:r>
      <w:r>
        <w:t xml:space="preserve">For a company that has raised $532M,</w:t>
      </w:r>
      <w:r>
        <w:t xml:space="preserve"> </w:t>
      </w:r>
      <w:r>
        <w:t xml:space="preserve">“</w:t>
      </w:r>
      <w:r>
        <w:t xml:space="preserve">approaching $1 billion</w:t>
      </w:r>
      <w:r>
        <w:t xml:space="preserve">”</w:t>
      </w:r>
      <w:r>
        <w:t xml:space="preserve"> </w:t>
      </w:r>
      <w:r>
        <w:t xml:space="preserve">is not a positive signal — it implies minimal valuation premium over total capital raised, suggesting either that the company’s revenue is still pre-scale, or that prior investors accepted flat/down rounds, or that the hardware-software model has not yet demonstrated the margin profile investors expected.</w:t>
      </w:r>
    </w:p>
    <w:p>
      <w:pPr>
        <w:pStyle w:val="BodyText"/>
      </w:pPr>
      <w:r>
        <w:rPr>
          <w:b/>
        </w:rPr>
        <w:t xml:space="preserve">10. THE SUNRUN-TESLA RELATIONSHIP IS A SILENT THREAT TO LUNAR’S ENTIRE STRATEGIC THESIS</w:t>
      </w:r>
      <w:r>
        <w:t xml:space="preserve"> </w:t>
      </w:r>
      <w:r>
        <w:t xml:space="preserve">Sunrun’s CalReady VPP — its largest California program —</w:t>
      </w:r>
      <w:r>
        <w:t xml:space="preserve"> </w:t>
      </w:r>
      <w:r>
        <w:t xml:space="preserve">comprises approximately 75,000 residential battery installations.</w:t>
      </w:r>
    </w:p>
    <w:p>
      <w:pPr>
        <w:pStyle w:val="BodyText"/>
      </w:pPr>
      <w:r>
        <w:t xml:space="preserve">The company uses Tesla’s Powerwall 3</w:t>
      </w:r>
      <w:r>
        <w:t xml:space="preserve"> </w:t>
      </w:r>
      <w:r>
        <w:t xml:space="preserve">for this program. Sunrun’s declared ambition to have</w:t>
      </w:r>
      <w:r>
        <w:t xml:space="preserve"> </w:t>
      </w:r>
      <w:r>
        <w:t xml:space="preserve">more than 10 GWh of dispatchable capacity online by the end of 2028</w:t>
      </w:r>
      <w:r>
        <w:t xml:space="preserve"> </w:t>
      </w:r>
      <w:r>
        <w:t xml:space="preserve">— and its record</w:t>
      </w:r>
      <w:r>
        <w:t xml:space="preserve"> </w:t>
      </w:r>
      <w:r>
        <w:t xml:space="preserve">371 MWh installed in Q4 2025</w:t>
      </w:r>
      <w:r>
        <w:t xml:space="preserve"> </w:t>
      </w:r>
      <w:r>
        <w:t xml:space="preserve">— is being achieved primarily through Tesla hardware. If Tesla, already Sunrun’s dominant battery partner, continues to supply 70-80% of Sunrun’s storage deployments through 2028, Lunar’s VPP presence within Sunrun’s fleet will remain a minority function. The board dynamics make this difficult for Lunar management to confront directly.</w:t>
      </w:r>
    </w:p>
    <w:p>
      <w:r>
        <w:pict>
          <v:rect style="width:0;height:1.5pt" o:hralign="center" o:hrstd="t" o:hr="t"/>
        </w:pict>
      </w:r>
    </w:p>
    <w:p>
      <w:pPr>
        <w:pStyle w:val="FirstParagraph"/>
      </w:pPr>
      <w:r>
        <w:rPr>
          <w:i/>
        </w:rPr>
        <w:t xml:space="preserve">This analysis is based solely on publicly available information as of February 27, 2026. Private contractual terms between Lunar Energy and its partners, board governance documents, cap table details, and internal management communications have not been accessed. Material gaps exist in: (1) distribution exclusivity and volume commitment terms between Sunrun and Lunar, (2) Gridshare licensing fee structures, (3) full board composition and voting mechanics, (4) SK Group’s specific equity stake and veto rights, and (5) the financial terms of the GridShare Japan transaction. These gaps are material to any investment or M&amp;A analysis and would require direct management engagement and legal document review to address.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2026-02-28T04:44:26Z</dcterms:created>
  <dcterms:modified xsi:type="dcterms:W3CDTF">2026-02-28T04:44:26Z</dcterms:modified>
</cp:coreProperties>
</file>

<file path=docProps/custom.xml><?xml version="1.0" encoding="utf-8"?>
<Properties xmlns="http://schemas.openxmlformats.org/officeDocument/2006/custom-properties" xmlns:vt="http://schemas.openxmlformats.org/officeDocument/2006/docPropsVTypes"/>
</file>