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6e4a430bf7e9583982a08c9991a3f9343999bc"/>
      <w:r>
        <w:t xml:space="preserve">LUNAR ENERGY: COMPETITIVE INTELLIGENCE ANALYSIS (COMPRESSED)</w:t>
      </w:r>
      <w:bookmarkEnd w:id="20"/>
    </w:p>
    <w:p>
      <w:pPr>
        <w:pStyle w:val="Heading3"/>
      </w:pPr>
      <w:bookmarkStart w:id="21" w:name="february-2026"/>
      <w:r>
        <w:t xml:space="preserve">February 2026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ection-1-hardware-head-to-head"/>
      <w:r>
        <w:t xml:space="preserve">SECTION 1: HARDWARE HEAD-TO-HEAD</w:t>
      </w:r>
      <w:bookmarkEnd w:id="22"/>
    </w:p>
    <w:p>
      <w:pPr>
        <w:pStyle w:val="Heading3"/>
      </w:pPr>
      <w:bookmarkStart w:id="23" w:name="a-lunar-vs.-tesla-powerwall-3"/>
      <w:r>
        <w:t xml:space="preserve">A) LUNAR vs. TESLA POWERWALL 3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Tesla Powerwall 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Lunar 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Usable Capacity</w:t>
            </w:r>
          </w:p>
        </w:tc>
        <w:tc>
          <w:p>
            <w:pPr>
              <w:pStyle w:val="Compact"/>
              <w:jc w:val="left"/>
            </w:pPr>
            <w:r>
              <w:t xml:space="preserve">13.5 kWh</w:t>
            </w:r>
          </w:p>
        </w:tc>
        <w:tc>
          <w:p>
            <w:pPr>
              <w:pStyle w:val="Compact"/>
              <w:jc w:val="left"/>
            </w:pPr>
            <w:r>
              <w:t xml:space="preserve">20 kWh (10–30 kWh modular)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Power</w:t>
            </w:r>
          </w:p>
        </w:tc>
        <w:tc>
          <w:p>
            <w:pPr>
              <w:pStyle w:val="Compact"/>
              <w:jc w:val="left"/>
            </w:pPr>
            <w:r>
              <w:t xml:space="preserve">11.5 kW</w:t>
            </w:r>
          </w:p>
        </w:tc>
        <w:tc>
          <w:p>
            <w:pPr>
              <w:pStyle w:val="Compact"/>
              <w:jc w:val="left"/>
            </w:pPr>
            <w:r>
              <w:t xml:space="preserve">9.6 kW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Peak Power</w:t>
            </w:r>
          </w:p>
        </w:tc>
        <w:tc>
          <w:p>
            <w:pPr>
              <w:pStyle w:val="Compact"/>
              <w:jc w:val="left"/>
            </w:pPr>
            <w:r>
              <w:t xml:space="preserve">22 kW (surge)</w:t>
            </w:r>
          </w:p>
        </w:tc>
        <w:tc>
          <w:p>
            <w:pPr>
              <w:pStyle w:val="Compact"/>
              <w:jc w:val="left"/>
            </w:pPr>
            <w:r>
              <w:t xml:space="preserve">15 kW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Chemistry</w:t>
            </w:r>
          </w:p>
        </w:tc>
        <w:tc>
          <w:p>
            <w:pPr>
              <w:pStyle w:val="Compact"/>
              <w:jc w:val="left"/>
            </w:pPr>
            <w:r>
              <w:t xml:space="preserve">LFP</w:t>
            </w:r>
          </w:p>
        </w:tc>
        <w:tc>
          <w:p>
            <w:pPr>
              <w:pStyle w:val="Compact"/>
              <w:jc w:val="left"/>
            </w:pPr>
            <w:r>
              <w:t xml:space="preserve">Lithium-ion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Warranty</w:t>
            </w:r>
          </w:p>
        </w:tc>
        <w:tc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p>
            <w:pPr>
              <w:pStyle w:val="Compact"/>
              <w:jc w:val="left"/>
            </w:pPr>
            <w:r>
              <w:t xml:space="preserve">12.5 years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Round-trip Efficiency</w:t>
            </w:r>
          </w:p>
        </w:tc>
        <w:tc>
          <w:p>
            <w:pPr>
              <w:pStyle w:val="Compact"/>
              <w:jc w:val="left"/>
            </w:pPr>
            <w:r>
              <w:t xml:space="preserve">~97%</w:t>
            </w:r>
          </w:p>
        </w:tc>
        <w:tc>
          <w:p>
            <w:pPr>
              <w:pStyle w:val="Compact"/>
              <w:jc w:val="left"/>
            </w:pPr>
            <w:r>
              <w:t xml:space="preserve">95.5%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Coupling</w:t>
            </w:r>
          </w:p>
        </w:tc>
        <w:tc>
          <w:p>
            <w:pPr>
              <w:pStyle w:val="Compact"/>
              <w:jc w:val="left"/>
            </w:pPr>
            <w:r>
              <w:t xml:space="preserve">AC (hybrid inverter)</w:t>
            </w:r>
          </w:p>
        </w:tc>
        <w:tc>
          <w:p>
            <w:pPr>
              <w:pStyle w:val="Compact"/>
              <w:jc w:val="left"/>
            </w:pPr>
            <w:r>
              <w:t xml:space="preserve">DC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Price Premium vs. Tesla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~10%</w:t>
            </w:r>
          </w:p>
        </w:tc>
      </w:tr>
    </w:tbl>
    <w:p>
      <w:pPr>
        <w:pStyle w:val="BodyText"/>
      </w:pPr>
      <w:r>
        <w:rPr>
          <w:b/>
        </w:rPr>
        <w:t xml:space="preserve">Pricing</w:t>
      </w:r>
      <w:r>
        <w:t xml:space="preserve">: Powerwall 3 ~$9–10K installed ($667–$740/kWh). Lunar ~$10–11K all-in for 20 kWh (~$500–$550/kWh) — superior on capacity-adjusted basis. CEO Girotra:</w:t>
      </w:r>
      <w:r>
        <w:t xml:space="preserve"> </w:t>
      </w:r>
      <w:r>
        <w:t xml:space="preserve">“</w:t>
      </w:r>
      <w:r>
        <w:t xml:space="preserve">With the other companies, you have to add other components to get an apples-to-apples comparison.</w:t>
      </w:r>
      <w:r>
        <w:t xml:space="preserve">”</w:t>
      </w:r>
    </w:p>
    <w:p>
      <w:pPr>
        <w:pStyle w:val="BodyText"/>
      </w:pPr>
      <w:r>
        <w:rPr>
          <w:b/>
        </w:rPr>
        <w:t xml:space="preserve">Installation</w:t>
      </w:r>
      <w:r>
        <w:t xml:space="preserve">: Lunar installs in ~3 hours. Single 50A breaker for solar+battery simplifies permitting. Indoor/outdoor, wall/floor mount.</w:t>
      </w:r>
    </w:p>
    <w:p>
      <w:pPr>
        <w:pStyle w:val="BodyText"/>
      </w:pPr>
      <w:r>
        <w:rPr>
          <w:b/>
        </w:rPr>
        <w:t xml:space="preserve">Software</w:t>
      </w:r>
      <w:r>
        <w:t xml:space="preserve">: Lunar’s AI earned customers average $464 VPP + $338 bill savings = $802/year. Tesla VPP pays up to $350/year/Powerwall. Lunar app won iF Design Award.</w:t>
      </w:r>
    </w:p>
    <w:p>
      <w:pPr>
        <w:pStyle w:val="BodyText"/>
      </w:pPr>
      <w:r>
        <w:rPr>
          <w:b/>
        </w:rPr>
        <w:t xml:space="preserve">Tesla Brand Deterioration</w:t>
      </w:r>
      <w:r>
        <w:t xml:space="preserve">: Roth Capital survey shows installers shifting away from Tesla. EnergySage: of homeowners mentioning Tesla, 13.5% expressed unfavorable views, 68% requested alternatives. Tesla marketplace share fell from 63% (H2 2024) to 59% (H1 2025). Tesla’s inverters use</w:t>
      </w:r>
      <w:r>
        <w:t xml:space="preserve"> </w:t>
      </w:r>
      <w:r>
        <w:t xml:space="preserve">“</w:t>
      </w:r>
      <w:r>
        <w:t xml:space="preserve">little to no</w:t>
      </w:r>
      <w:r>
        <w:t xml:space="preserve">”</w:t>
      </w:r>
      <w:r>
        <w:t xml:space="preserve"> </w:t>
      </w:r>
      <w:r>
        <w:t xml:space="preserve">domestic content — direct tailwind for Lunar.</w:t>
      </w:r>
    </w:p>
    <w:p>
      <w:pPr>
        <w:pStyle w:val="Heading3"/>
      </w:pPr>
      <w:bookmarkStart w:id="24" w:name="b-lunar-vs.-enphase-iq-battery-10c"/>
      <w:r>
        <w:t xml:space="preserve">B) LUNAR vs. ENPHASE IQ BATTERY 10C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Enphase IQ 10C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Lunar 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Usable Capacity</w:t>
            </w:r>
          </w:p>
        </w:tc>
        <w:tc>
          <w:p>
            <w:pPr>
              <w:pStyle w:val="Compact"/>
              <w:jc w:val="left"/>
            </w:pPr>
            <w:r>
              <w:t xml:space="preserve">10 kWh (stackable to 4)</w:t>
            </w:r>
          </w:p>
        </w:tc>
        <w:tc>
          <w:p>
            <w:pPr>
              <w:pStyle w:val="Compact"/>
              <w:jc w:val="left"/>
            </w:pPr>
            <w:r>
              <w:t xml:space="preserve">20 kWh (10–30 kWh)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Power</w:t>
            </w:r>
          </w:p>
        </w:tc>
        <w:tc>
          <w:p>
            <w:pPr>
              <w:pStyle w:val="Compact"/>
              <w:jc w:val="left"/>
            </w:pPr>
            <w:r>
              <w:t xml:space="preserve">~5 kW per unit</w:t>
            </w:r>
          </w:p>
        </w:tc>
        <w:tc>
          <w:p>
            <w:pPr>
              <w:pStyle w:val="Compact"/>
              <w:jc w:val="left"/>
            </w:pPr>
            <w:r>
              <w:t xml:space="preserve">9.6 kW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Warranty</w:t>
            </w:r>
          </w:p>
        </w:tc>
        <w:tc>
          <w:p>
            <w:pPr>
              <w:pStyle w:val="Compact"/>
              <w:jc w:val="left"/>
            </w:pPr>
            <w:r>
              <w:t xml:space="preserve">15 years / 6,000 cycles</w:t>
            </w:r>
          </w:p>
        </w:tc>
        <w:tc>
          <w:p>
            <w:pPr>
              <w:pStyle w:val="Compact"/>
              <w:jc w:val="left"/>
            </w:pPr>
            <w:r>
              <w:t xml:space="preserve">12.5 years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Ecosystem</w:t>
            </w:r>
          </w:p>
        </w:tc>
        <w:tc>
          <w:p>
            <w:pPr>
              <w:pStyle w:val="Compact"/>
              <w:jc w:val="left"/>
            </w:pPr>
            <w:r>
              <w:t xml:space="preserve">Enphase-only (microinverters required)</w:t>
            </w:r>
          </w:p>
        </w:tc>
        <w:tc>
          <w:p>
            <w:pPr>
              <w:pStyle w:val="Compact"/>
              <w:jc w:val="left"/>
            </w:pPr>
            <w:r>
              <w:t xml:space="preserve">Open (DC + AC coupling)</w:t>
            </w:r>
          </w:p>
        </w:tc>
      </w:tr>
    </w:tbl>
    <w:p>
      <w:pPr>
        <w:pStyle w:val="BodyText"/>
      </w:pPr>
      <w:r>
        <w:t xml:space="preserve">Enphase market share fell from 55% (2023) to 47% (2024), dipping below 40% in Q4 2024 for first time since Q2 2020. Four product iterations in five years created installer trust issues. Ecosystem lock-in limits addressable market.</w:t>
      </w:r>
    </w:p>
    <w:p>
      <w:pPr>
        <w:pStyle w:val="Heading3"/>
      </w:pPr>
      <w:bookmarkStart w:id="25" w:name="c-lunar-vs.-franklinwh-apower-2"/>
      <w:r>
        <w:t xml:space="preserve">C) LUNAR vs. FRANKLINWH aPOWER 2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FranklinWH aPower 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Lunar 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Usable Capacity</w:t>
            </w:r>
          </w:p>
        </w:tc>
        <w:tc>
          <w:p>
            <w:pPr>
              <w:pStyle w:val="Compact"/>
              <w:jc w:val="left"/>
            </w:pPr>
            <w:r>
              <w:t xml:space="preserve">15 kWh (stackable to 225 kWh)</w:t>
            </w:r>
          </w:p>
        </w:tc>
        <w:tc>
          <w:p>
            <w:pPr>
              <w:pStyle w:val="Compact"/>
              <w:jc w:val="left"/>
            </w:pPr>
            <w:r>
              <w:t xml:space="preserve">20 kWh (10–30 kWh)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Power</w:t>
            </w:r>
          </w:p>
        </w:tc>
        <w:tc>
          <w:p>
            <w:pPr>
              <w:pStyle w:val="Compact"/>
              <w:jc w:val="left"/>
            </w:pPr>
            <w:r>
              <w:t xml:space="preserve">10 kW</w:t>
            </w:r>
          </w:p>
        </w:tc>
        <w:tc>
          <w:p>
            <w:pPr>
              <w:pStyle w:val="Compact"/>
              <w:jc w:val="left"/>
            </w:pPr>
            <w:r>
              <w:t xml:space="preserve">9.6 kW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Warranty</w:t>
            </w:r>
          </w:p>
        </w:tc>
        <w:tc>
          <w:p>
            <w:pPr>
              <w:pStyle w:val="Compact"/>
              <w:jc w:val="left"/>
            </w:pPr>
            <w:r>
              <w:t xml:space="preserve">15 years / 60 MWh throughput</w:t>
            </w:r>
          </w:p>
        </w:tc>
        <w:tc>
          <w:p>
            <w:pPr>
              <w:pStyle w:val="Compact"/>
              <w:jc w:val="left"/>
            </w:pPr>
            <w:r>
              <w:t xml:space="preserve">12.5 years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Commissioning</w:t>
            </w:r>
          </w:p>
        </w:tc>
        <w:tc>
          <w:p>
            <w:pPr>
              <w:pStyle w:val="Compact"/>
              <w:jc w:val="left"/>
            </w:pPr>
            <w:r>
              <w:t xml:space="preserve">&lt;30 min</w:t>
            </w:r>
          </w:p>
        </w:tc>
        <w:tc>
          <w:p>
            <w:pPr>
              <w:pStyle w:val="Compact"/>
              <w:jc w:val="left"/>
            </w:pPr>
            <w:r>
              <w:t xml:space="preserve">~3 hours total install</w:t>
            </w:r>
          </w:p>
        </w:tc>
      </w:tr>
    </w:tbl>
    <w:p>
      <w:pPr>
        <w:pStyle w:val="BodyText"/>
      </w:pPr>
      <w:r>
        <w:t xml:space="preserve">FranklinWH: zero to third nationally in ~3 years. 3,000+ certified installers (vs. Lunar’s 40+) — 75x gap. Santa Clara factory doubling output in 2026 with AI-enabled production. Building VPP capability via EnergyHub partnership (participating in 3 utility programs across MA, RI, CT, NC).</w:t>
      </w:r>
    </w:p>
    <w:p>
      <w:pPr>
        <w:pStyle w:val="Heading3"/>
      </w:pPr>
      <w:bookmarkStart w:id="26" w:name="d-base-power-structural-wildcard"/>
      <w:r>
        <w:t xml:space="preserve">D) BASE POWER — STRUCTURAL WILDCARD</w:t>
      </w:r>
      <w:bookmarkEnd w:id="26"/>
    </w:p>
    <w:p>
      <w:pPr>
        <w:pStyle w:val="FirstParagraph"/>
      </w:pPr>
      <w:r>
        <w:t xml:space="preserve">$3B valuation, $1B+ raised (Addition, CapitalG, Lowercarbon, a16z, Valor Equity). Texas-based</w:t>
      </w:r>
      <w:r>
        <w:t xml:space="preserve"> </w:t>
      </w:r>
      <w:r>
        <w:t xml:space="preserve">“</w:t>
      </w:r>
      <w:r>
        <w:t xml:space="preserve">gentailer</w:t>
      </w:r>
      <w:r>
        <w:t xml:space="preserve">”</w:t>
      </w:r>
      <w:r>
        <w:t xml:space="preserve">: leases 25–50 kWh batteries for $695–$995 upfront + monthly electricity fee. 100+ MWh deployed in &lt;2 years. Building Austin factory. Works in ERCOT’s deregulated market. Model doesn’t transfer easily to California IOUs or Northeast. Lunar’s Gridshare captures VPP software revenue without battery asset risk.</w:t>
      </w:r>
    </w:p>
    <w:p>
      <w:pPr>
        <w:pStyle w:val="Heading3"/>
      </w:pPr>
      <w:bookmarkStart w:id="27" w:name="e-other-competitors-rapid"/>
      <w:r>
        <w:t xml:space="preserve">E) OTHER COMPETITORS (RAPID)</w:t>
      </w:r>
      <w:bookmarkEnd w:id="27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Generac</w:t>
      </w:r>
      <w:r>
        <w:t xml:space="preserve">: Generator integration moat for 5+ day outages; Lunar ignores this segment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LG RESU</w:t>
      </w:r>
      <w:r>
        <w:t xml:space="preserve">: $9,000–14,000 installed; competes on price, not software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SolarEdge</w:t>
      </w:r>
      <w:r>
        <w:t xml:space="preserve">: Strategic difficulty, inverter share collapsed, financial deterioration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SunPower</w:t>
      </w:r>
      <w:r>
        <w:t xml:space="preserve">: Bankrupt 2024; 1M+ stranded</w:t>
      </w:r>
      <w:r>
        <w:t xml:space="preserve"> </w:t>
      </w:r>
      <w:r>
        <w:t xml:space="preserve">“</w:t>
      </w:r>
      <w:r>
        <w:t xml:space="preserve">solar orphan</w:t>
      </w:r>
      <w:r>
        <w:t xml:space="preserve">”</w:t>
      </w:r>
      <w:r>
        <w:t xml:space="preserve"> </w:t>
      </w:r>
      <w:r>
        <w:t xml:space="preserve">customers — retrofit opportunity for Lunar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a66f1f2f65f6baf77c775995337f8fedaa4276d"/>
      <w:r>
        <w:t xml:space="preserve">SECTION 2: VPP SOFTWARE — GRIDSHARE POSITIONING</w:t>
      </w:r>
      <w:bookmarkEnd w:id="28"/>
    </w:p>
    <w:p>
      <w:pPr>
        <w:pStyle w:val="FirstParagraph"/>
      </w:pPr>
      <w:r>
        <w:rPr>
          <w:b/>
        </w:rPr>
        <w:t xml:space="preserve">Gridshare scale</w:t>
      </w:r>
      <w:r>
        <w:t xml:space="preserve">: 650 MW devices under management globally. 100,000+ devices across 3 continents. Manages all of Sunrun’s VPPs including ~130,000 home batteries — most from non-Lunar manufacturers. Device-agnostic across batteries, thermostats, EVs.</w:t>
      </w:r>
    </w:p>
    <w:p>
      <w:pPr>
        <w:pStyle w:val="BodyText"/>
      </w:pPr>
      <w:r>
        <w:rPr>
          <w:b/>
        </w:rPr>
        <w:t xml:space="preserve">Unique claim</w:t>
      </w:r>
      <w:r>
        <w:t xml:space="preserve">: Only company making own hardware AND software that works with others’ hardware. Girotra:</w:t>
      </w:r>
      <w:r>
        <w:t xml:space="preserve"> </w:t>
      </w:r>
      <w:r>
        <w:t xml:space="preserve">“</w:t>
      </w:r>
      <w:r>
        <w:t xml:space="preserve">Android-like software strategy</w:t>
      </w:r>
      <w:r>
        <w:t xml:space="preserve">”</w:t>
      </w:r>
      <w:r>
        <w:t xml:space="preserve"> </w:t>
      </w:r>
      <w:r>
        <w:t xml:space="preserve">vs. Tesla/Enphase</w:t>
      </w:r>
      <w:r>
        <w:t xml:space="preserve"> </w:t>
      </w:r>
      <w:r>
        <w:t xml:space="preserve">“</w:t>
      </w:r>
      <w:r>
        <w:t xml:space="preserve">walled gardens.</w:t>
      </w:r>
      <w:r>
        <w:t xml:space="preserve">”</w:t>
      </w:r>
    </w:p>
    <w:p>
      <w:pPr>
        <w:pStyle w:val="BodyText"/>
      </w:pPr>
      <w:r>
        <w:rPr>
          <w:b/>
        </w:rPr>
        <w:t xml:space="preserve">Performance</w:t>
      </w:r>
      <w:r>
        <w:t xml:space="preserve">: Gridshare squeezed ~60% more energy from Sunrun batteries than previous dispatch, while maintaining backup reserves.</w:t>
      </w:r>
    </w:p>
    <w:p>
      <w:pPr>
        <w:pStyle w:val="BodyText"/>
      </w:pPr>
      <w:r>
        <w:rPr>
          <w:b/>
        </w:rPr>
        <w:t xml:space="preserve">Tesla VPP</w:t>
      </w:r>
      <w:r>
        <w:t xml:space="preserve">: Closed ecosystem (Powerwall-only). California VPPs delivered 500 MW in July 2025. Tesla paid Powerwall owners $9.9M in 2024 VPP programs. Up to $350/year per Powerwall vs. Lunar’s $464 average.</w:t>
      </w:r>
    </w:p>
    <w:p>
      <w:pPr>
        <w:pStyle w:val="BodyText"/>
      </w:pPr>
      <w:r>
        <w:rPr>
          <w:b/>
        </w:rPr>
        <w:t xml:space="preserve">EnergyHub</w:t>
      </w:r>
      <w:r>
        <w:t xml:space="preserve">: 70+ utilities, 2.0 GW flexible capacity. FranklinWH partnered with EnergyHub — direct Gridshare competition.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section-3-market-share-trajectory"/>
      <w:r>
        <w:t xml:space="preserve">SECTION 3: MARKET SHARE &amp; TRAJECTORY</w:t>
      </w:r>
      <w:bookmarkEnd w:id="29"/>
    </w:p>
    <w:p>
      <w:pPr>
        <w:pStyle w:val="FirstParagraph"/>
      </w:pPr>
      <w:r>
        <w:rPr>
          <w:b/>
        </w:rPr>
        <w:t xml:space="preserve">US residential battery market</w:t>
      </w:r>
      <w:r>
        <w:t xml:space="preserve">: 1.8 GWh installed 2023. 57.6 GWh total storage in 2025 (+30% YoY). Residential storage surged 51% YoY. Market valued at $1,520M (2024), projected $5,092M by 2032 (14.36% CAGR).</w:t>
      </w:r>
    </w:p>
    <w:p>
      <w:pPr>
        <w:pStyle w:val="BodyText"/>
      </w:pPr>
      <w:r>
        <w:rPr>
          <w:b/>
        </w:rPr>
        <w:t xml:space="preserve">Market share (H1 2025)</w:t>
      </w:r>
      <w:r>
        <w:t xml:space="preserve">: Tesla 59% (down from 63%), Enphase 25% (down from 29%), FranklinWH 3rd. Lunar not in top 8 nationally — sub-1% share. ~2,000 systems in California.</w:t>
      </w:r>
    </w:p>
    <w:p>
      <w:pPr>
        <w:pStyle w:val="BodyText"/>
      </w:pPr>
      <w:r>
        <w:rPr>
          <w:b/>
        </w:rPr>
        <w:t xml:space="preserve">Battery attachment rates</w:t>
      </w:r>
      <w:r>
        <w:t xml:space="preserve">: National 45% (H2 2024 all-time high). California 79%, Texas 61%, Arizona 47%, Florida 43%. California rates jumped from 11% (2022) to 55% (2024) due to NEM 3.0.</w:t>
      </w:r>
    </w:p>
    <w:p>
      <w:pPr>
        <w:pStyle w:val="BodyText"/>
      </w:pPr>
      <w:r>
        <w:rPr>
          <w:b/>
        </w:rPr>
        <w:t xml:space="preserve">Average $/kWh</w:t>
      </w:r>
      <w:r>
        <w:t xml:space="preserve">: Tesla $926/kWh on EnergySage. Market bifurcating: commodity players pushing prices down; premium players (Lunar, Sonnen, Enphase) holding prices via software bundling.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section-4-installer-channel"/>
      <w:r>
        <w:t xml:space="preserve">SECTION 4: INSTALLER CHANNEL</w:t>
      </w:r>
      <w:bookmarkEnd w:id="30"/>
    </w:p>
    <w:p>
      <w:pPr>
        <w:pStyle w:val="FirstParagraph"/>
      </w:pPr>
      <w:r>
        <w:rPr>
          <w:b/>
        </w:rPr>
        <w:t xml:space="preserve">Installer selection factors</w:t>
      </w:r>
      <w:r>
        <w:t xml:space="preserve"> </w:t>
      </w:r>
      <w:r>
        <w:t xml:space="preserve">(ranked): 1) Commissioning speed, 2) Reliability/warranty, 3) Margin (15–30%), 4) Brand recognition, 5) Financing/leasing, 6) Training, 7) Tech support, 8) Ecosystem compatibility, 9) Permitting, 10) Customer demand-pull.</w:t>
      </w:r>
    </w:p>
    <w:p>
      <w:pPr>
        <w:pStyle w:val="BodyText"/>
      </w:pPr>
      <w:r>
        <w:rPr>
          <w:b/>
        </w:rPr>
        <w:t xml:space="preserve">Tesla backlash opportunity</w:t>
      </w:r>
      <w:r>
        <w:t xml:space="preserve">: Solar advisor at top installer:</w:t>
      </w:r>
      <w:r>
        <w:t xml:space="preserve"> </w:t>
      </w:r>
      <w:r>
        <w:t xml:space="preserve">“</w:t>
      </w:r>
      <w:r>
        <w:t xml:space="preserve">The last 14 deals I’ve sold as a manager have all been Franklin batteries.</w:t>
      </w:r>
      <w:r>
        <w:t xml:space="preserve">”</w:t>
      </w:r>
      <w:r>
        <w:t xml:space="preserve"> </w:t>
      </w:r>
      <w:r>
        <w:t xml:space="preserve">Roth contact:</w:t>
      </w:r>
      <w:r>
        <w:t xml:space="preserve"> </w:t>
      </w:r>
      <w:r>
        <w:t xml:space="preserve">“</w:t>
      </w:r>
      <w:r>
        <w:t xml:space="preserve">Large TPO installers communicating they will pivot away from Tesla… due to domestic content or frustration with availability</w:t>
      </w:r>
      <w:r>
        <w:t xml:space="preserve">”</w:t>
      </w:r>
      <w:r>
        <w:t xml:space="preserve"> </w:t>
      </w:r>
      <w:r>
        <w:t xml:space="preserve">— alternatives named: Franklin, Enphase, SolarEdge.</w:t>
      </w:r>
      <w:r>
        <w:t xml:space="preserve"> </w:t>
      </w:r>
      <w:r>
        <w:rPr>
          <w:b/>
        </w:rPr>
        <w:t xml:space="preserve">Lunar not on this list</w:t>
      </w:r>
      <w:r>
        <w:t xml:space="preserve"> </w:t>
      </w:r>
      <w:r>
        <w:t xml:space="preserve">despite being the moment of maximum opportunity.</w:t>
      </w:r>
    </w:p>
    <w:p>
      <w:pPr>
        <w:pStyle w:val="BodyText"/>
      </w:pPr>
      <w:r>
        <w:rPr>
          <w:b/>
        </w:rPr>
        <w:t xml:space="preserve">FranklinWH</w:t>
      </w:r>
      <w:r>
        <w:t xml:space="preserve">: 3,000 certified installers vs. Lunar’s 40+. Lunar needs 400+ in 12 months, 4,000+ in 36 months.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section-5-analogous-playbooks"/>
      <w:r>
        <w:t xml:space="preserve">SECTION 5: ANALOGOUS PLAYBOOKS</w:t>
      </w:r>
      <w:bookmarkEnd w:id="31"/>
    </w:p>
    <w:p>
      <w:pPr>
        <w:pStyle w:val="FirstParagraph"/>
      </w:pPr>
      <w:r>
        <w:rPr>
          <w:b/>
        </w:rPr>
        <w:t xml:space="preserve">FranklinWH</w:t>
      </w:r>
      <w:r>
        <w:t xml:space="preserve">: Zero to 8th nationally in 2 years, 3rd by 2025. Playbook: installer-obsession, aggressive certification, AVL listings, whole-home backup differentiation, VPP via EnergyHub. Lunar can replicate the installer obsession but is playing a more complex two-sided game (hardware + VPP).</w:t>
      </w:r>
    </w:p>
    <w:p>
      <w:pPr>
        <w:pStyle w:val="BodyText"/>
      </w:pPr>
      <w:r>
        <w:rPr>
          <w:b/>
        </w:rPr>
        <w:t xml:space="preserve">Ring vs. Nest</w:t>
      </w:r>
      <w:r>
        <w:t xml:space="preserve">: Channel breadth won over product sophistication. Mass retail + installer engagement &gt; boutique D2C. Lunar’s 40-installer model is boutique; Ring counsel says go wide fast.</w:t>
      </w:r>
    </w:p>
    <w:p>
      <w:pPr>
        <w:pStyle w:val="BodyText"/>
      </w:pPr>
      <w:r>
        <w:rPr>
          <w:b/>
        </w:rPr>
        <w:t xml:space="preserve">Rivian vs. Tesla</w:t>
      </w:r>
      <w:r>
        <w:t xml:space="preserve">: Differentiation by use case &gt; out-speccing leader. Lunar should resist out-speccing Tesla; instead own: NEM 3.0 optimization, VPP-first customers, space-constrained installs, domestic content/FEOC.</w:t>
      </w:r>
    </w:p>
    <w:p>
      <w:pPr>
        <w:pStyle w:val="BodyText"/>
      </w:pPr>
      <w:r>
        <w:rPr>
          <w:b/>
        </w:rPr>
        <w:t xml:space="preserve">Sonos vs. Bose</w:t>
      </w:r>
      <w:r>
        <w:t xml:space="preserve">: Software-defined product + affluent installer channel + ease of setup. Most apt parallel for Lunar. Risk: Sonos hit a wall expanding beyond core affluent channel.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section-6-competitive-moats-assessment"/>
      <w:r>
        <w:t xml:space="preserve">SECTION 6: COMPETITIVE MOATS ASSESSMENT</w:t>
      </w:r>
      <w:bookmarkEnd w:id="3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Vertical integration (battery+inverter+optimizer+panel+app)</w:t>
            </w:r>
          </w:p>
        </w:tc>
        <w:tc>
          <w:p>
            <w:pPr>
              <w:pStyle w:val="Compact"/>
              <w:jc w:val="left"/>
            </w:pPr>
            <w:r>
              <w:t xml:space="preserve">Nascent; scale needed to make defensible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47% more compact form factor</w:t>
            </w:r>
          </w:p>
        </w:tc>
        <w:tc>
          <w:p>
            <w:pPr>
              <w:pStyle w:val="Compact"/>
              <w:jc w:val="left"/>
            </w:pPr>
            <w:r>
              <w:t xml:space="preserve">Real but narrow; urban CA, not TX garages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savings $802/year</w:t>
            </w:r>
          </w:p>
        </w:tc>
        <w:tc>
          <w:p>
            <w:pPr>
              <w:pStyle w:val="Compact"/>
              <w:jc w:val="left"/>
            </w:pPr>
            <w:r>
              <w:t xml:space="preserve">Defensible but California-specific; needs third-party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Domestic content / non-FEOC</w:t>
            </w:r>
          </w:p>
        </w:tc>
        <w:tc>
          <w:p>
            <w:pPr>
              <w:pStyle w:val="Compact"/>
              <w:jc w:val="left"/>
            </w:pPr>
            <w:r>
              <w:t xml:space="preserve">Durable but eroding; differentiating vs. Tesla today, less vs. Enphase/FranklinWH eventually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Gridshare VPP at scale (650 MW, 130K devices)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Strongest moat</w:t>
            </w:r>
            <w:r>
              <w:t xml:space="preserve">; primarily B2B; risk is utility discomfort with startup dependency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section-7-competitive-scenarios-20252028"/>
      <w:r>
        <w:t xml:space="preserve">SECTION 7: COMPETITIVE SCENARIOS (2025–2028)</w:t>
      </w:r>
      <w:bookmarkEnd w:id="33"/>
    </w:p>
    <w:p>
      <w:pPr>
        <w:pStyle w:val="FirstParagraph"/>
      </w:pPr>
      <w:r>
        <w:rPr>
          <w:b/>
        </w:rPr>
        <w:t xml:space="preserve">BULL (3–5% share by 2028)</w:t>
      </w:r>
      <w:r>
        <w:t xml:space="preserve">: Tesla brand deterioration accelerates; installer network scales 40→500+; Texas expansion succeeds; Gridshare becomes CA utility VPP standard; Enphase continues losing share.</w:t>
      </w:r>
    </w:p>
    <w:p>
      <w:pPr>
        <w:pStyle w:val="BodyText"/>
      </w:pPr>
      <w:r>
        <w:rPr>
          <w:b/>
        </w:rPr>
        <w:t xml:space="preserve">BASE (1–2% share by 2028)</w:t>
      </w:r>
      <w:r>
        <w:t xml:space="preserve">: CA + TX + 2 more states. 200–300 installer partners. 3–5 new CCA/utility Gridshare relationships. Primary constraint: $232M capital split between manufacturing ramp and installer development.</w:t>
      </w:r>
    </w:p>
    <w:p>
      <w:pPr>
        <w:pStyle w:val="BodyText"/>
      </w:pPr>
      <w:r>
        <w:rPr>
          <w:b/>
        </w:rPr>
        <w:t xml:space="preserve">BEAR (sub-1%)</w:t>
      </w:r>
      <w:r>
        <w:t xml:space="preserve">: Tesla brand recovery + FranklinWH captures</w:t>
      </w:r>
      <w:r>
        <w:t xml:space="preserve"> </w:t>
      </w:r>
      <w:r>
        <w:t xml:space="preserve">“</w:t>
      </w:r>
      <w:r>
        <w:t xml:space="preserve">non-Tesla alternative</w:t>
      </w:r>
      <w:r>
        <w:t xml:space="preserve">”</w:t>
      </w:r>
      <w:r>
        <w:t xml:space="preserve"> </w:t>
      </w:r>
      <w:r>
        <w:t xml:space="preserve">market with 3,000 installers + DSGS defunding undermines VPP economics. None individually fatal; together they trap Lunar as</w:t>
      </w:r>
      <w:r>
        <w:t xml:space="preserve"> </w:t>
      </w:r>
      <w:r>
        <w:t xml:space="preserve">“</w:t>
      </w:r>
      <w:r>
        <w:t xml:space="preserve">impressive but niche.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notable-anomalies"/>
      <w:r>
        <w:t xml:space="preserve">NOTABLE ANOMALIES</w:t>
      </w:r>
      <w:bookmarkEnd w:id="34"/>
    </w:p>
    <w:p>
      <w:pPr>
        <w:pStyle w:val="FirstParagraph"/>
      </w:pPr>
      <w:r>
        <w:rPr>
          <w:b/>
        </w:rPr>
        <w:t xml:space="preserve">1. DSGS Defunding — Quietly Devastating</w:t>
      </w:r>
      <w:r>
        <w:t xml:space="preserve">: Gridshare aggregated 500 MW of Sunrun batteries for California’s DSGS program. Funding vetoed by Gov. Newsom. Removes primary near-term VPP revenue driver and undercuts $464 average VPP earnings claim. Not addressed in Lunar’s $232M raise communications.</w:t>
      </w:r>
    </w:p>
    <w:p>
      <w:pPr>
        <w:pStyle w:val="BodyText"/>
      </w:pPr>
      <w:r>
        <w:rPr>
          <w:b/>
        </w:rPr>
        <w:t xml:space="preserve">2. Tesla Simultaneously Declining AND Expanding</w:t>
      </w:r>
      <w:r>
        <w:t xml:space="preserve">: Tesla ended Model S/X production for autonomous robot manufacturing AND unveiled new 420-watt solar panel with 30%+ installation time reduction. If Tesla’s solar re-entry succeeds, could recreate integrated solar+Powerwall bundle.</w:t>
      </w:r>
    </w:p>
    <w:p>
      <w:pPr>
        <w:pStyle w:val="BodyText"/>
      </w:pPr>
      <w:r>
        <w:rPr>
          <w:b/>
        </w:rPr>
        <w:t xml:space="preserve">3.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Solar Orphan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Opportunity (~1M+ Customers) Unaddressed</w:t>
      </w:r>
      <w:r>
        <w:t xml:space="preserve">: SunPower, Titan Solar, ADT Solar bankruptcies left 1M+ stranded residential solar customers — no incumbent installer. Lunar’s DC-coupling and retrofit compatibility differentiate here.</w:t>
      </w:r>
    </w:p>
    <w:p>
      <w:pPr>
        <w:pStyle w:val="BodyText"/>
      </w:pPr>
      <w:r>
        <w:rPr>
          <w:b/>
        </w:rPr>
        <w:t xml:space="preserve">4. FranklinWH Building VPP Capability That Challenges Gridshare</w:t>
      </w:r>
      <w:r>
        <w:t xml:space="preserve">: Already in 3 utility programs via EnergyHub across MA, RI, CT, NC. Hardware-first approach with 3,000 installers could reach VPP scale faster than Lunar’s hardware ramp allows.</w:t>
      </w:r>
    </w:p>
    <w:p>
      <w:pPr>
        <w:pStyle w:val="BodyText"/>
      </w:pPr>
      <w:r>
        <w:rPr>
          <w:b/>
        </w:rPr>
        <w:t xml:space="preserve">5. Lunar’s $464 VPP Earnings May Be Artificially High</w:t>
      </w:r>
      <w:r>
        <w:t xml:space="preserve">: Figure earned during DSGS peak 2024 summer. With DSGS defunded, 2025 enrollees face materially lower earnings. If marketing continues</w:t>
      </w:r>
      <w:r>
        <w:t xml:space="preserve"> </w:t>
      </w:r>
      <w:r>
        <w:t xml:space="preserve">“</w:t>
      </w:r>
      <w:r>
        <w:t xml:space="preserve">$800+ savings</w:t>
      </w:r>
      <w:r>
        <w:t xml:space="preserve">”</w:t>
      </w:r>
      <w:r>
        <w:t xml:space="preserve"> </w:t>
      </w:r>
      <w:r>
        <w:t xml:space="preserve">without DSGS disclosure, installer/homeowner trust erodes.</w:t>
      </w:r>
    </w:p>
    <w:p>
      <w:pPr>
        <w:pStyle w:val="BodyText"/>
      </w:pPr>
      <w:r>
        <w:rPr>
          <w:b/>
        </w:rPr>
        <w:t xml:space="preserve">6. Installer Preferences Shifting Faster Than Lunar Can Capitalize</w:t>
      </w:r>
      <w:r>
        <w:t xml:space="preserve">: Large TPO installers pivoting from Tesla name Franklin, Enphase, SolarEdge as alternatives — Lunar not mentioned. With 40 partners, Lunar is invisible during the moment of maximum opportunity.</w:t>
      </w:r>
    </w:p>
    <w:p>
      <w:pPr>
        <w:pStyle w:val="BodyText"/>
      </w:pPr>
      <w:r>
        <w:rPr>
          <w:b/>
        </w:rPr>
        <w:t xml:space="preserve">7. Base Power’s $4B Valuation</w:t>
      </w:r>
      <w:r>
        <w:t xml:space="preserve">: 100 MWh deployed; significant execution risk but attracts tier-1 VC capital (a16z, CapitalG). The</w:t>
      </w:r>
      <w:r>
        <w:t xml:space="preserve"> </w:t>
      </w:r>
      <w:r>
        <w:t xml:space="preserve">“</w:t>
      </w:r>
      <w:r>
        <w:t xml:space="preserve">free battery</w:t>
      </w:r>
      <w:r>
        <w:t xml:space="preserve">”</w:t>
      </w:r>
      <w:r>
        <w:t xml:space="preserve"> </w:t>
      </w:r>
      <w:r>
        <w:t xml:space="preserve">model may not fully materialize outside deregulated ERCOT, but signals where the market is heading.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2026-02-28T04:44:27Z</dcterms:created>
  <dcterms:modified xsi:type="dcterms:W3CDTF">2026-02-28T04:44:27Z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