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85c2b82c30f5168d97537c67b188861a65378c"/>
      <w:r>
        <w:t xml:space="preserve">LUNAR ENERGY: SUPPLY CHAIN, DOMESTIC CONTENT &amp; MANUFACTURING SCALE-UP (COMPRESSED)</w:t>
      </w:r>
      <w:bookmarkEnd w:id="20"/>
    </w:p>
    <w:p>
      <w:pPr>
        <w:pStyle w:val="FirstParagraph"/>
      </w:pPr>
      <w:r>
        <w:rPr>
          <w:b/>
        </w:rPr>
        <w:t xml:space="preserve">February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ction-1-battery-cell-supply-chain"/>
      <w:r>
        <w:t xml:space="preserve">SECTION 1: BATTERY CELL SUPPLY CHAIN</w:t>
      </w:r>
      <w:bookmarkEnd w:id="21"/>
    </w:p>
    <w:p>
      <w:pPr>
        <w:pStyle w:val="Heading3"/>
      </w:pPr>
      <w:bookmarkStart w:id="22" w:name="a.-sk-group-entity-chemistry-capacity"/>
      <w:r>
        <w:t xml:space="preserve">A. SK Group — Entity, Chemistry, Capacity</w:t>
      </w:r>
      <w:bookmarkEnd w:id="22"/>
    </w:p>
    <w:p>
      <w:pPr>
        <w:pStyle w:val="FirstParagraph"/>
      </w:pPr>
      <w:r>
        <w:rPr>
          <w:b/>
        </w:rPr>
        <w:t xml:space="preserve">Cell supplier</w:t>
      </w:r>
      <w:r>
        <w:t xml:space="preserve">: SK Battery America (SKBA), Commerce, Jackson County, Georgia — subsidiary of SK On. Georgia facility: 2.7M sq ft, two plants, 22 GWh/year nameplate — but overwhelmingly allocated to NMC cells for Ford and Hyundai EVs.</w:t>
      </w:r>
    </w:p>
    <w:p>
      <w:pPr>
        <w:pStyle w:val="BodyText"/>
      </w:pPr>
      <w:r>
        <w:rPr>
          <w:b/>
        </w:rPr>
        <w:t xml:space="preserve">Critical LFP gap</w:t>
      </w:r>
      <w:r>
        <w:t xml:space="preserve">: SK On has been an NMC-only manufacturer for its entire commercial history. LFP production at SK Battery America does not begin until H2 2026, following a 7.2 GWh deal with Flatiron Energy Development over 4 years (~1.8 GWh/year). Chinese companies (CATL, BYD) dominate LFP; Korean makers concentrated on NCM.</w:t>
      </w:r>
    </w:p>
    <w:p>
      <w:pPr>
        <w:pStyle w:val="BodyText"/>
      </w:pPr>
      <w:r>
        <w:rPr>
          <w:b/>
        </w:rPr>
        <w:t xml:space="preserve">Where are Lunar’s cells today?</w:t>
      </w:r>
      <w:r>
        <w:t xml:space="preserve"> </w:t>
      </w:r>
      <w:r>
        <w:t xml:space="preserve">Lunar claims cells from</w:t>
      </w:r>
      <w:r>
        <w:t xml:space="preserve"> </w:t>
      </w:r>
      <w:r>
        <w:t xml:space="preserve">“</w:t>
      </w:r>
      <w:r>
        <w:t xml:space="preserve">the United States and Europe.</w:t>
      </w:r>
      <w:r>
        <w:t xml:space="preserve">”</w:t>
      </w:r>
      <w:r>
        <w:t xml:space="preserve"> </w:t>
      </w:r>
      <w:r>
        <w:t xml:space="preserve">SK On Georgia has no commercial LFP production today. Likely sources: (a) SK On Hungary plant, (b) undisclosed alternative supplier, or (c) NMC chemistry. CEO Girotra’s claim company</w:t>
      </w:r>
      <w:r>
        <w:t xml:space="preserve"> </w:t>
      </w:r>
      <w:r>
        <w:t xml:space="preserve">“</w:t>
      </w:r>
      <w:r>
        <w:t xml:space="preserve">only contracts with battery manufacturers in the US</w:t>
      </w:r>
      <w:r>
        <w:t xml:space="preserve">”</w:t>
      </w:r>
      <w:r>
        <w:t xml:space="preserve"> </w:t>
      </w:r>
      <w:r>
        <w:t xml:space="preserve">is inconsistent with the</w:t>
      </w:r>
      <w:r>
        <w:t xml:space="preserve"> </w:t>
      </w:r>
      <w:r>
        <w:t xml:space="preserve">“</w:t>
      </w:r>
      <w:r>
        <w:t xml:space="preserve">US and Europe</w:t>
      </w:r>
      <w:r>
        <w:t xml:space="preserve">”</w:t>
      </w:r>
      <w:r>
        <w:t xml:space="preserve"> </w:t>
      </w:r>
      <w:r>
        <w:t xml:space="preserve">website language.</w:t>
      </w:r>
    </w:p>
    <w:p>
      <w:pPr>
        <w:pStyle w:val="BodyText"/>
      </w:pPr>
      <w:r>
        <w:rPr>
          <w:b/>
        </w:rPr>
        <w:t xml:space="preserve">Contractual arrangement</w:t>
      </w:r>
      <w:r>
        <w:t xml:space="preserve">: Undisclosed. SK plays</w:t>
      </w:r>
      <w:r>
        <w:t xml:space="preserve"> </w:t>
      </w:r>
      <w:r>
        <w:t xml:space="preserve">“</w:t>
      </w:r>
      <w:r>
        <w:t xml:space="preserve">partnership and supply partner</w:t>
      </w:r>
      <w:r>
        <w:t xml:space="preserve">”</w:t>
      </w:r>
      <w:r>
        <w:t xml:space="preserve"> </w:t>
      </w:r>
      <w:r>
        <w:t xml:space="preserve">role per Girotra — language avoiding</w:t>
      </w:r>
      <w:r>
        <w:t xml:space="preserve"> </w:t>
      </w:r>
      <w:r>
        <w:t xml:space="preserve">“</w:t>
      </w:r>
      <w:r>
        <w:t xml:space="preserve">exclusive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contracted.</w:t>
      </w:r>
      <w:r>
        <w:t xml:space="preserve">”</w:t>
      </w:r>
    </w:p>
    <w:p>
      <w:pPr>
        <w:pStyle w:val="BodyText"/>
      </w:pPr>
      <w:r>
        <w:rPr>
          <w:b/>
        </w:rPr>
        <w:t xml:space="preserve">Volume requirements</w:t>
      </w:r>
      <w:r>
        <w:t xml:space="preserve">: Current: ~10,000 units x 20 kWh = ~200 MWh/year. 2028 target: 100,000 units = ~2 GWh/year (9% of SK Battery America’s 22 GWh nameplate, which is nearly fully spoken for by Ford, Hyundai, and Flatiron).</w:t>
      </w:r>
    </w:p>
    <w:p>
      <w:pPr>
        <w:pStyle w:val="BodyText"/>
      </w:pPr>
      <w:r>
        <w:rPr>
          <w:b/>
        </w:rPr>
        <w:t xml:space="preserve">Cell costs</w:t>
      </w:r>
      <w:r>
        <w:t xml:space="preserve">: Chinese LFP ~$87/kWh (up from $73 in 2023); US-made Korean cells $85–90/kWh. At 200 MWh/year: ~$17–18M/year. At 2 GWh/year: ~$170–180M/year. Lunar is a micro-customer (~0.9% of SK On GA capacity) with zero pricing leverage.</w:t>
      </w:r>
    </w:p>
    <w:p>
      <w:pPr>
        <w:pStyle w:val="Heading3"/>
      </w:pPr>
      <w:bookmarkStart w:id="23" w:name="b.-alternative-sources-dual-sourcing"/>
      <w:r>
        <w:t xml:space="preserve">B. Alternative Sources &amp; Dual-Sourcing</w:t>
      </w:r>
      <w:bookmarkEnd w:id="23"/>
    </w:p>
    <w:p>
      <w:pPr>
        <w:pStyle w:val="FirstParagraph"/>
      </w:pPr>
      <w:r>
        <w:t xml:space="preserve">No disclosed secondary cell suppliers. US LFP alternatives (AESC Smyrna TN, LG Holland MI, Freyr GA, Microvast TX) — none represents reliable 2 GWh/year residential LFP by 2028. Dual-sourcing industry standard requires volumes &gt;500 MWh/year.</w:t>
      </w:r>
      <w:r>
        <w:t xml:space="preserve"> </w:t>
      </w:r>
      <w:r>
        <w:rPr>
          <w:b/>
        </w:rPr>
        <w:t xml:space="preserve">Lunar almost certainly has no dual-source cell supply today — critical single point of failure.</w:t>
      </w:r>
    </w:p>
    <w:p>
      <w:pPr>
        <w:pStyle w:val="Heading3"/>
      </w:pPr>
      <w:bookmarkStart w:id="24" w:name="c.-feoc-compliance"/>
      <w:r>
        <w:t xml:space="preserve">C. FEOC Compliance</w:t>
      </w:r>
      <w:bookmarkEnd w:id="24"/>
    </w:p>
    <w:p>
      <w:pPr>
        <w:pStyle w:val="FirstParagraph"/>
      </w:pPr>
      <w:r>
        <w:t xml:space="preserve">SK On (South Korea) is not a FEOC. However, upstream graphite anode is the critical exposure. China produced 85% of world anodes, 82% of electrolytes, 74% of separators, 70% of cathodes in 2022. BTR (Chinese graphite company) was classified FEOC in January 2025 — disrupting US firms’ plans. China imposed export controls on graphite/cathode materials effective November 2025. SK On partnered with L&amp;F (Korean cathode maker) — cathode origin is Korea, but anode graphite remains China-dependent.</w:t>
      </w:r>
    </w:p>
    <w:p>
      <w:pPr>
        <w:pStyle w:val="BodyText"/>
      </w:pPr>
      <w:r>
        <w:t xml:space="preserve">Lunar claims FEOC compliance and domestic content qualification.</w:t>
      </w:r>
      <w:r>
        <w:t xml:space="preserve"> </w:t>
      </w:r>
      <w:r>
        <w:rPr>
          <w:b/>
        </w:rPr>
        <w:t xml:space="preserve">Currently defensible</w:t>
      </w:r>
      <w:r>
        <w:t xml:space="preserve"> </w:t>
      </w:r>
      <w:r>
        <w:t xml:space="preserve">given IRS transition relief through 2027.</w:t>
      </w:r>
      <w:r>
        <w:t xml:space="preserve"> </w:t>
      </w:r>
      <w:r>
        <w:rPr>
          <w:b/>
        </w:rPr>
        <w:t xml:space="preserve">Structurally fragile</w:t>
      </w:r>
      <w:r>
        <w:t xml:space="preserve"> </w:t>
      </w:r>
      <w:r>
        <w:t xml:space="preserve">as upstream graphite FEOC rules tighten post-2027.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ection-2-domestic-content"/>
      <w:r>
        <w:t xml:space="preserve">SECTION 2: DOMESTIC CONTENT</w:t>
      </w:r>
      <w:bookmarkEnd w:id="25"/>
    </w:p>
    <w:p>
      <w:pPr>
        <w:pStyle w:val="Heading3"/>
      </w:pPr>
      <w:bookmarkStart w:id="26" w:name="component-level-assessment"/>
      <w:r>
        <w:t xml:space="preserve">Component-Level Assessment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Domestic?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FEOC Risk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Battery cells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 and Europe</w:t>
            </w:r>
            <w:r>
              <w:t xml:space="preserve">”</w:t>
            </w:r>
            <w:r>
              <w:t xml:space="preserve"> </w:t>
            </w:r>
            <w:r>
              <w:t xml:space="preserve">(current source unclear)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Moderate (graphite)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Battery module assembly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Mexico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Inverter</w:t>
            </w:r>
          </w:p>
        </w:tc>
        <w:tc>
          <w:p>
            <w:pPr>
              <w:pStyle w:val="Compact"/>
              <w:jc w:val="left"/>
            </w:pPr>
            <w:r>
              <w:t xml:space="preserve">Suwanee, Georgia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Moderate (semiconductors)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Bridge (smart panel)</w:t>
            </w:r>
          </w:p>
        </w:tc>
        <w:tc>
          <w:p>
            <w:pPr>
              <w:pStyle w:val="Compact"/>
              <w:jc w:val="left"/>
            </w:pPr>
            <w:r>
              <w:t xml:space="preserve">Suwanee, Georgia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Moderate (chips)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Maximizers</w:t>
            </w:r>
          </w:p>
        </w:tc>
        <w:tc>
          <w:p>
            <w:pPr>
              <w:pStyle w:val="Compact"/>
              <w:jc w:val="left"/>
            </w:pPr>
            <w:r>
              <w:t xml:space="preserve">Suwanee, Georgia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Moderate (chips)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PCBAs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Software/Firmware</w:t>
            </w:r>
          </w:p>
        </w:tc>
        <w:tc>
          <w:p>
            <w:pPr>
              <w:pStyle w:val="Compact"/>
              <w:jc w:val="left"/>
            </w:pPr>
            <w:r>
              <w:t xml:space="preserve">Mountain View, CA + London, UK</w:t>
            </w:r>
          </w:p>
        </w:tc>
        <w:tc>
          <w:p>
            <w:pPr>
              <w:pStyle w:val="Compact"/>
              <w:jc w:val="left"/>
            </w:pPr>
            <w:r>
              <w:t xml:space="preserve">Mostly domestic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</w:rPr>
        <w:t xml:space="preserve">Critical finding</w:t>
      </w:r>
      <w:r>
        <w:t xml:space="preserve">: Battery module assembly (cell sorting, busbar welding, BMS installation, housing) in Mexico — the highest-value-added step. Under current 40% domestic content threshold, Lunar likely passes.</w:t>
      </w:r>
      <w:r>
        <w:t xml:space="preserve"> </w:t>
      </w:r>
      <w:r>
        <w:rPr>
          <w:b/>
        </w:rPr>
        <w:t xml:space="preserve">Threshold rises to 55% after 2026</w:t>
      </w:r>
      <w:r>
        <w:t xml:space="preserve"> </w:t>
      </w:r>
      <w:r>
        <w:t xml:space="preserve">— Mexico module assembly becomes existential threat to 10% domestic content bonus.</w:t>
      </w:r>
    </w:p>
    <w:p>
      <w:pPr>
        <w:pStyle w:val="BodyText"/>
      </w:pPr>
      <w:r>
        <w:rPr>
          <w:b/>
        </w:rPr>
        <w:t xml:space="preserve">Competitive comparison</w:t>
      </w:r>
      <w:r>
        <w:t xml:space="preserve">: Tesla Powerwall 3 — CATL (Chinese) cells, significant FEOC exposure. Enphase/FranklinWH — Chinese supply chain exposure.</w:t>
      </w:r>
      <w:r>
        <w:t xml:space="preserve"> </w:t>
      </w:r>
      <w:r>
        <w:rPr>
          <w:b/>
        </w:rPr>
        <w:t xml:space="preserve">Lunar has lowest FEOC risk of peer group, but Mexico module assembly is a meaningful asterisk.</w:t>
      </w:r>
      <w:r>
        <w:t xml:space="preserve"> </w:t>
      </w:r>
      <w:r>
        <w:t xml:space="preserve">“</w:t>
      </w:r>
      <w:r>
        <w:t xml:space="preserve">Proudly domestic content</w:t>
      </w:r>
      <w:r>
        <w:t xml:space="preserve">”</w:t>
      </w:r>
      <w:r>
        <w:t xml:space="preserve"> </w:t>
      </w:r>
      <w:r>
        <w:t xml:space="preserve">marketing overstates reality.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ection-3-manufacturing-scale-up"/>
      <w:r>
        <w:t xml:space="preserve">SECTION 3: MANUFACTURING SCALE-UP</w:t>
      </w:r>
      <w:bookmarkEnd w:id="27"/>
    </w:p>
    <w:p>
      <w:pPr>
        <w:pStyle w:val="Heading3"/>
      </w:pPr>
      <w:bookmarkStart w:id="28" w:name="current-footprint"/>
      <w:r>
        <w:t xml:space="preserve">Current Footprint</w:t>
      </w:r>
      <w:bookmarkEnd w:id="2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Mountain View, CA</w:t>
      </w:r>
      <w:r>
        <w:t xml:space="preserve"> </w:t>
      </w:r>
      <w:r>
        <w:t xml:space="preserve">(HQ, ~35K sq ft) — Design/Engineering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Suwanee, Georgia</w:t>
      </w:r>
      <w:r>
        <w:t xml:space="preserve"> </w:t>
      </w:r>
      <w:r>
        <w:t xml:space="preserve">— Inverter, Bridge, Maximizer assembly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Mexico</w:t>
      </w:r>
      <w:r>
        <w:t xml:space="preserve"> </w:t>
      </w:r>
      <w:r>
        <w:t xml:space="preserve">— Battery module assembly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Washington State</w:t>
      </w:r>
      <w:r>
        <w:t xml:space="preserve"> </w:t>
      </w:r>
      <w:r>
        <w:t xml:space="preserve">— Role unspecified (likely distribution)</w:t>
      </w:r>
    </w:p>
    <w:p>
      <w:pPr>
        <w:pStyle w:val="FirstParagraph"/>
      </w:pPr>
      <w:r>
        <w:t xml:space="preserve">~226 total employees globally (June 2025). Estimated 50–80 direct manufacturing workers. ~2,000 systems deployed in California.</w:t>
      </w:r>
    </w:p>
    <w:p>
      <w:pPr>
        <w:pStyle w:val="Heading3"/>
      </w:pPr>
      <w:bookmarkStart w:id="29" w:name="k-20k-by-end-2026-achievable"/>
      <w:r>
        <w:t xml:space="preserve">10K → 20K (by end 2026): Achievable</w:t>
      </w:r>
      <w:bookmarkEnd w:id="29"/>
    </w:p>
    <w:p>
      <w:pPr>
        <w:pStyle w:val="FirstParagraph"/>
      </w:pPr>
      <w:r>
        <w:t xml:space="preserve">Requires: spare floorspace in Suwanee or expansion; Mexico facility doubles shifts; cell supply doubles to 400 MWh/year (manageable). Estimated CapEx: $15–25M. Additional workforce: +50–80 manufacturing employees.</w:t>
      </w:r>
    </w:p>
    <w:p>
      <w:pPr>
        <w:pStyle w:val="Heading3"/>
      </w:pPr>
      <w:bookmarkStart w:id="30" w:name="k-100k-by-end-2028-highly-ambitious"/>
      <w:r>
        <w:t xml:space="preserve">20K → 100K (by end 2028): Highly Ambitious</w:t>
      </w:r>
      <w:bookmarkEnd w:id="30"/>
    </w:p>
    <w:p>
      <w:pPr>
        <w:pStyle w:val="FirstParagraph"/>
      </w:pPr>
      <w:r>
        <w:rPr>
          <w:b/>
        </w:rPr>
        <w:t xml:space="preserve">Floorspace</w:t>
      </w:r>
      <w:r>
        <w:t xml:space="preserve">: Need dedicated 200,000–400,000 sq ft facility. 18–24 month timeline from decision to operational.</w:t>
      </w:r>
      <w:r>
        <w:t xml:space="preserve"> </w:t>
      </w:r>
      <w:r>
        <w:rPr>
          <w:b/>
        </w:rPr>
        <w:t xml:space="preserve">Workforce</w:t>
      </w:r>
      <w:r>
        <w:t xml:space="preserve">: ~500–800 direct manufacturing (vs. ~226 total today). 3–6 month training per worker.</w:t>
      </w:r>
      <w:r>
        <w:t xml:space="preserve"> </w:t>
      </w:r>
      <w:r>
        <w:rPr>
          <w:b/>
        </w:rPr>
        <w:t xml:space="preserve">Cell supply</w:t>
      </w:r>
      <w:r>
        <w:t xml:space="preserve">: 2 GWh/year. SK On LFP committed primarily to Flatiron (7.2 GWh/4 years). No evidence of dedicated Lunar supply agreement.</w:t>
      </w:r>
      <w:r>
        <w:t xml:space="preserve"> </w:t>
      </w:r>
      <w:r>
        <w:rPr>
          <w:b/>
        </w:rPr>
        <w:t xml:space="preserve">CapEx</w:t>
      </w:r>
      <w:r>
        <w:t xml:space="preserve">: New facility $50–100M; equipment $30–60M; working capital $50–80M.</w:t>
      </w:r>
      <w:r>
        <w:t xml:space="preserve"> </w:t>
      </w:r>
      <w:r>
        <w:rPr>
          <w:b/>
        </w:rPr>
        <w:t xml:space="preserve">Total ~$150–250M</w:t>
      </w:r>
      <w:r>
        <w:t xml:space="preserve"> </w:t>
      </w:r>
      <w:r>
        <w:t xml:space="preserve">— approximately the entire $232M raise, leaving limited buffer.</w:t>
      </w:r>
    </w:p>
    <w:p>
      <w:pPr>
        <w:pStyle w:val="BodyText"/>
      </w:pPr>
      <w:r>
        <w:rPr>
          <w:b/>
        </w:rPr>
        <w:t xml:space="preserve">Tesla benchmark</w:t>
      </w:r>
      <w:r>
        <w:t xml:space="preserve">: 10K to 100K+ annual Powerwalls took 5+ years with Giga Nevada infrastructure. Claimed 700K/year production but celebrated 1,000/day milestone (inconsistent with ~1,900/day implied). Lunar attempting 10K→100K in 3 years.</w:t>
      </w:r>
    </w:p>
    <w:p>
      <w:pPr>
        <w:pStyle w:val="BodyText"/>
      </w:pPr>
      <w:r>
        <w:rPr>
          <w:b/>
        </w:rPr>
        <w:t xml:space="preserve">Realistic trajectory</w:t>
      </w:r>
      <w:r>
        <w:t xml:space="preserve">: Absent major cell supply deal and new facility announcement by mid-2026, more likely</w:t>
      </w:r>
      <w:r>
        <w:t xml:space="preserve"> </w:t>
      </w:r>
      <w:r>
        <w:rPr>
          <w:b/>
        </w:rPr>
        <w:t xml:space="preserve">40,000–60,000 units/year by end 2028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section-4-supply-chain-vulnerabilities"/>
      <w:r>
        <w:t xml:space="preserve">SECTION 4: SUPPLY CHAIN VULNERABILITIES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Cell supply (sole source)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Highest</w:t>
            </w:r>
          </w:p>
        </w:tc>
        <w:tc>
          <w:p>
            <w:pPr>
              <w:pStyle w:val="Compact"/>
              <w:jc w:val="left"/>
            </w:pPr>
            <w:r>
              <w:t xml:space="preserve">90-day disruption → 6–12 month recovery. No disclosed secondary supplier.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Mexico module assembly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USMCA renegotiation risk; single-facility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Power semiconductors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Tesla had 80K Powerwall backlog in 2021 chip shortage. 12–24 month lead time impact.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Graphite upstream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93.5% tariff on Chinese graphite (July 2025). China produced 79% of world’s natural graphite (2024); US produced zero.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PCBA fabrication</w:t>
            </w:r>
          </w:p>
        </w:tc>
        <w:tc>
          <w:p>
            <w:pPr>
              <w:pStyle w:val="Compact"/>
              <w:jc w:val="left"/>
            </w:pPr>
            <w:r>
              <w:t xml:space="preserve">Unknown/High</w:t>
            </w:r>
          </w:p>
        </w:tc>
        <w:tc>
          <w:p>
            <w:pPr>
              <w:pStyle w:val="Compact"/>
              <w:jc w:val="left"/>
            </w:pPr>
            <w:r>
              <w:t xml:space="preserve">Dominated by Taiwan, China, South Korea. Undisclosed supply chain.</w:t>
            </w:r>
          </w:p>
        </w:tc>
      </w:tr>
    </w:tbl>
    <w:p>
      <w:pPr>
        <w:pStyle w:val="BodyText"/>
      </w:pPr>
      <w:r>
        <w:rPr>
          <w:b/>
        </w:rPr>
        <w:t xml:space="preserve">Tariff exposure</w:t>
      </w:r>
      <w:r>
        <w:t xml:space="preserve">: Chinese batteries face ~82% effective duties by Jan 2026. Lunar’s SK On (Korean) sourcing avoids worst tariffs, but upstream materials carry embedded Chinese cost increases.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notable-anomalies"/>
      <w:r>
        <w:t xml:space="preserve">NOTABLE ANOMALIES</w:t>
      </w:r>
      <w:bookmarkEnd w:id="32"/>
    </w:p>
    <w:p>
      <w:pPr>
        <w:pStyle w:val="Heading3"/>
      </w:pPr>
      <w:bookmarkStart w:id="33" w:name="anomaly-1-critical-lfp-cell-sourcing-gap"/>
      <w:r>
        <w:t xml:space="preserve">ANOMALY 1 (Critical): LFP Cell Sourcing Gap</w:t>
      </w:r>
      <w:bookmarkEnd w:id="33"/>
    </w:p>
    <w:p>
      <w:pPr>
        <w:pStyle w:val="FirstParagraph"/>
      </w:pPr>
      <w:r>
        <w:t xml:space="preserve">Lunar claims</w:t>
      </w:r>
      <w:r>
        <w:t xml:space="preserve"> </w:t>
      </w:r>
      <w:r>
        <w:t xml:space="preserve">“</w:t>
      </w:r>
      <w:r>
        <w:t xml:space="preserve">US and Europe</w:t>
      </w:r>
      <w:r>
        <w:t xml:space="preserve">”</w:t>
      </w:r>
      <w:r>
        <w:t xml:space="preserve"> </w:t>
      </w:r>
      <w:r>
        <w:t xml:space="preserve">cells + SK partnership. But SK On Georgia does not produce LFP commercially — not until H2 2026. CEO says</w:t>
      </w:r>
      <w:r>
        <w:t xml:space="preserve"> </w:t>
      </w:r>
      <w:r>
        <w:t xml:space="preserve">“</w:t>
      </w:r>
      <w:r>
        <w:t xml:space="preserve">only contracts with battery manufacturers in the US</w:t>
      </w:r>
      <w:r>
        <w:t xml:space="preserve">”</w:t>
      </w:r>
      <w:r>
        <w:t xml:space="preserve"> </w:t>
      </w:r>
      <w:r>
        <w:t xml:space="preserve">while website says</w:t>
      </w:r>
      <w:r>
        <w:t xml:space="preserve"> </w:t>
      </w:r>
      <w:r>
        <w:t xml:space="preserve">“</w:t>
      </w:r>
      <w:r>
        <w:t xml:space="preserve">US and Europe.</w:t>
      </w:r>
      <w:r>
        <w:t xml:space="preserve">”</w:t>
      </w:r>
      <w:r>
        <w:t xml:space="preserve"> </w:t>
      </w:r>
      <w:r>
        <w:rPr>
          <w:b/>
        </w:rPr>
        <w:t xml:space="preserve">Mutually inconsistent statements.</w:t>
      </w:r>
      <w:r>
        <w:t xml:space="preserve"> </w:t>
      </w:r>
      <w:r>
        <w:t xml:space="preserve">Current source is either SK Hungary, undisclosed supplier, or NMC chemistry.</w:t>
      </w:r>
    </w:p>
    <w:p>
      <w:pPr>
        <w:pStyle w:val="Heading3"/>
      </w:pPr>
      <w:bookmarkStart w:id="34" w:name="X89346dfc4f442465a03ff493962218f9ad8ef4f"/>
      <w:r>
        <w:t xml:space="preserve">ANOMALY 2 (Critical): Mexico Module Assembly vs. </w:t>
      </w:r>
      <w:r>
        <w:t xml:space="preserve">“</w:t>
      </w:r>
      <w:r>
        <w:t xml:space="preserve">Proudly Domestic Content</w:t>
      </w:r>
      <w:r>
        <w:t xml:space="preserve">”</w:t>
      </w:r>
      <w:bookmarkEnd w:id="34"/>
    </w:p>
    <w:p>
      <w:pPr>
        <w:pStyle w:val="FirstParagraph"/>
      </w:pPr>
      <w:r>
        <w:t xml:space="preserve">Website quietly discloses module assembly</w:t>
      </w:r>
      <w:r>
        <w:t xml:space="preserve"> </w:t>
      </w:r>
      <w:r>
        <w:t xml:space="preserve">“</w:t>
      </w:r>
      <w:r>
        <w:t xml:space="preserve">just over the border in Mexico</w:t>
      </w:r>
      <w:r>
        <w:t xml:space="preserve">”</w:t>
      </w:r>
      <w:r>
        <w:t xml:space="preserve"> </w:t>
      </w:r>
      <w:r>
        <w:t xml:space="preserve">while marketing</w:t>
      </w:r>
      <w:r>
        <w:t xml:space="preserve"> </w:t>
      </w:r>
      <w:r>
        <w:t xml:space="preserve">“</w:t>
      </w:r>
      <w:r>
        <w:t xml:space="preserve">proudly domestic content.</w:t>
      </w:r>
      <w:r>
        <w:t xml:space="preserve">”</w:t>
      </w:r>
      <w:r>
        <w:t xml:space="preserve"> </w:t>
      </w:r>
      <w:r>
        <w:t xml:space="preserve">Module is the most value-intensive battery manufacturing step. As threshold rises to 55% post-2026,</w:t>
      </w:r>
      <w:r>
        <w:t xml:space="preserve"> </w:t>
      </w:r>
      <w:r>
        <w:rPr>
          <w:b/>
        </w:rPr>
        <w:t xml:space="preserve">may disqualify from 10% domestic content bonus</w:t>
      </w:r>
      <w:r>
        <w:t xml:space="preserve">, eroding leasing company economics.</w:t>
      </w:r>
    </w:p>
    <w:p>
      <w:pPr>
        <w:pStyle w:val="Heading3"/>
      </w:pPr>
      <w:bookmarkStart w:id="35" w:name="X90882f96443925b21ca98282f580ee4d75ab0fd"/>
      <w:r>
        <w:t xml:space="preserve">ANOMALY 3: 2,000 Deployed vs. 10,000/Year Claimed Capacity</w:t>
      </w:r>
      <w:bookmarkEnd w:id="35"/>
    </w:p>
    <w:p>
      <w:pPr>
        <w:pStyle w:val="FirstParagraph"/>
      </w:pPr>
      <w:r>
        <w:t xml:space="preserve">If capacity is 10K/year but cumulative is only 2,000 — either capacity ramped recently, is overstated, or demand lags supply. Suggests 10K is nameplate, not actual production.</w:t>
      </w:r>
    </w:p>
    <w:p>
      <w:pPr>
        <w:pStyle w:val="Heading3"/>
      </w:pPr>
      <w:bookmarkStart w:id="36" w:name="anomaly-4-sole-source-cell-supply"/>
      <w:r>
        <w:t xml:space="preserve">ANOMALY 4: Sole-Source Cell Supply</w:t>
      </w:r>
      <w:bookmarkEnd w:id="36"/>
    </w:p>
    <w:p>
      <w:pPr>
        <w:pStyle w:val="FirstParagraph"/>
      </w:pPr>
      <w:r>
        <w:t xml:space="preserve">For a company targeting 100K units/year of life-safety product,</w:t>
      </w:r>
      <w:r>
        <w:t xml:space="preserve"> </w:t>
      </w:r>
      <w:r>
        <w:rPr>
          <w:b/>
        </w:rPr>
        <w:t xml:space="preserve">no disclosed secondary cell supplier</w:t>
      </w:r>
      <w:r>
        <w:t xml:space="preserve"> </w:t>
      </w:r>
      <w:r>
        <w:t xml:space="preserve">is highly unusual. Automotive-grade mandates dual/triple sourcing. Unmitigated force majeure risk.</w:t>
      </w:r>
    </w:p>
    <w:p>
      <w:pPr>
        <w:pStyle w:val="Heading3"/>
      </w:pPr>
      <w:bookmarkStart w:id="37" w:name="X0425e0c3c425a109cb060a69746f1ee1bd3d498"/>
      <w:r>
        <w:t xml:space="preserve">ANOMALY 5: Tesla’s Domestic Content Exposure Window — But Narrow</w:t>
      </w:r>
      <w:bookmarkEnd w:id="37"/>
    </w:p>
    <w:p>
      <w:pPr>
        <w:pStyle w:val="FirstParagraph"/>
      </w:pPr>
      <w:r>
        <w:t xml:space="preserve">Tesla Powerwall relies on Chinese cells — genuine Lunar FEOC advantage for Section 48E leasing. But Tesla’s 700K+ unit scale means it can negotiate sourcing changes from strength. If Tesla secures domestic LFP, Lunar’s differentiation evaporates.</w:t>
      </w:r>
    </w:p>
    <w:p>
      <w:pPr>
        <w:pStyle w:val="Heading3"/>
      </w:pPr>
      <w:bookmarkStart w:id="38" w:name="X94e3399ea097ffc8feafbc6784242b61844e501"/>
      <w:r>
        <w:t xml:space="preserve">ANOMALY 6: China Export Controls Threaten SK On’s LFP Supply</w:t>
      </w:r>
      <w:bookmarkEnd w:id="38"/>
    </w:p>
    <w:p>
      <w:pPr>
        <w:pStyle w:val="FirstParagraph"/>
      </w:pPr>
      <w:r>
        <w:t xml:space="preserve">China’s export controls include LFP cathode materials. SK On/L&amp;F cathode supply chain may have Chinese-origin precursor inputs. Could disrupt SK On’s Georgia LFP line before reaching full production.</w:t>
      </w:r>
    </w:p>
    <w:p>
      <w:pPr>
        <w:pStyle w:val="Heading3"/>
      </w:pPr>
      <w:bookmarkStart w:id="39" w:name="X3912d15593ab165b954a4fc3ac3c981a0b39190"/>
      <w:r>
        <w:t xml:space="preserve">ANOMALY 7: Eaton Partnership Under-Leveraged</w:t>
      </w:r>
      <w:bookmarkEnd w:id="39"/>
    </w:p>
    <w:p>
      <w:pPr>
        <w:pStyle w:val="FirstParagraph"/>
      </w:pPr>
      <w:r>
        <w:t xml:space="preserve">2024 partnership to integrate AbleEdge smart breakers. Eaton: $23B revenue, deep US manufacturing/procurement/distribution. Potential to solve multiple scale-up challenges if deepened beyond product integration.</w:t>
      </w:r>
    </w:p>
    <w:p>
      <w:pPr>
        <w:pStyle w:val="Heading3"/>
      </w:pPr>
      <w:bookmarkStart w:id="40" w:name="Xc862bed09cdd49d4b1b6ed84159d9c470349760"/>
      <w:r>
        <w:t xml:space="preserve">ANOMALY 8: Gridshare — Hidden Asset Changing Scale Economics</w:t>
      </w:r>
      <w:bookmarkEnd w:id="40"/>
    </w:p>
    <w:p>
      <w:pPr>
        <w:pStyle w:val="FirstParagraph"/>
      </w:pPr>
      <w:r>
        <w:t xml:space="preserve">Gridshare manages ~130,000 batteries (mostly non-Lunar) —</w:t>
      </w:r>
      <w:r>
        <w:t xml:space="preserve"> </w:t>
      </w:r>
      <w:r>
        <w:rPr>
          <w:b/>
        </w:rPr>
        <w:t xml:space="preserve">65x Lunar’s hardware fleet</w:t>
      </w:r>
      <w:r>
        <w:t xml:space="preserve">. Software platform ahead of hardware by enormous factor. Software revenue/strategic value substantially greater than hardware revenue suggests. Investors effectively buying VPP software company at hardware-company optics.</w:t>
      </w:r>
    </w:p>
    <w:p>
      <w:pPr>
        <w:pStyle w:val="Heading3"/>
      </w:pPr>
      <w:bookmarkStart w:id="41" w:name="X78080d8ae03813b46c26b6272d89c1d946589ea"/>
      <w:r>
        <w:t xml:space="preserve">ANOMALY 9 (Critical): 100K Unit Target Implies ~$200M+ Undisclosed Manufacturing CapEx</w:t>
      </w:r>
      <w:bookmarkEnd w:id="41"/>
    </w:p>
    <w:p>
      <w:pPr>
        <w:pStyle w:val="FirstParagraph"/>
      </w:pPr>
      <w:r>
        <w:t xml:space="preserve">At $232M total raised (funding software, expansion, operations too), there is not enough capital for 100K/year factory infrastructure. Requires new facility (~$100M+) or major contract manufacturing deal or further capital raise. Target appears</w:t>
      </w:r>
      <w:r>
        <w:t xml:space="preserve"> </w:t>
      </w:r>
      <w:r>
        <w:rPr>
          <w:b/>
        </w:rPr>
        <w:t xml:space="preserve">strategic aspiration designed to attract capital</w:t>
      </w:r>
      <w:r>
        <w:t xml:space="preserve"> </w:t>
      </w:r>
      <w:r>
        <w:t xml:space="preserve">rather than fully financed plan.</w:t>
      </w:r>
    </w:p>
    <w:p>
      <w:pPr>
        <w:pStyle w:val="Heading3"/>
      </w:pPr>
      <w:bookmarkStart w:id="42" w:name="X094697b9fb5923657ac13fbb765b94426b71e05"/>
      <w:r>
        <w:t xml:space="preserve">ANOMALY 10: Washington State Role Unexplained</w:t>
      </w:r>
      <w:bookmarkEnd w:id="42"/>
    </w:p>
    <w:p>
      <w:pPr>
        <w:pStyle w:val="FirstParagraph"/>
      </w:pPr>
      <w:r>
        <w:t xml:space="preserve">Consistently mentioned alongside CA and GA for manufacturing but never explained. Likely distribution/integration hub, but lack of transparency is unusual for a</w:t>
      </w:r>
      <w:r>
        <w:t xml:space="preserve"> </w:t>
      </w:r>
      <w:r>
        <w:t xml:space="preserve">“</w:t>
      </w:r>
      <w:r>
        <w:t xml:space="preserve">Made in America</w:t>
      </w:r>
      <w:r>
        <w:t xml:space="preserve">”</w:t>
      </w:r>
      <w:r>
        <w:t xml:space="preserve"> </w:t>
      </w:r>
      <w:r>
        <w:t xml:space="preserve">company.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final-scorecard"/>
      <w:r>
        <w:t xml:space="preserve">FINAL SCORECARD</w:t>
      </w:r>
      <w:bookmarkEnd w:id="4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Issue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FEOC Compliance (current)</w:t>
            </w:r>
          </w:p>
        </w:tc>
        <w:tc>
          <w:p>
            <w:pPr>
              <w:pStyle w:val="Compact"/>
              <w:jc w:val="left"/>
            </w:pPr>
            <w:r>
              <w:t xml:space="preserve">Adequate</w:t>
            </w:r>
          </w:p>
        </w:tc>
        <w:tc>
          <w:p>
            <w:pPr>
              <w:pStyle w:val="Compact"/>
              <w:jc w:val="left"/>
            </w:pPr>
            <w:r>
              <w:t xml:space="preserve">Korean manufacturer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FEOC Compliance (2027+)</w:t>
            </w:r>
          </w:p>
        </w:tc>
        <w:tc>
          <w:p>
            <w:pPr>
              <w:pStyle w:val="Compact"/>
              <w:jc w:val="left"/>
            </w:pPr>
            <w:r>
              <w:t xml:space="preserve">At Risk</w:t>
            </w:r>
          </w:p>
        </w:tc>
        <w:tc>
          <w:p>
            <w:pPr>
              <w:pStyle w:val="Compact"/>
              <w:jc w:val="left"/>
            </w:pPr>
            <w:r>
              <w:t xml:space="preserve">Graphite upstream; Mexico; rising thresholds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Domestic Content (40%)</w:t>
            </w:r>
          </w:p>
        </w:tc>
        <w:tc>
          <w:p>
            <w:pPr>
              <w:pStyle w:val="Compact"/>
              <w:jc w:val="left"/>
            </w:pPr>
            <w:r>
              <w:t xml:space="preserve">Likely Passes</w:t>
            </w:r>
          </w:p>
        </w:tc>
        <w:tc>
          <w:p>
            <w:pPr>
              <w:pStyle w:val="Compact"/>
              <w:jc w:val="left"/>
            </w:pPr>
            <w:r>
              <w:t xml:space="preserve">SK + US electronics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Domestic Content (55%)</w:t>
            </w:r>
          </w:p>
        </w:tc>
        <w:tc>
          <w:p>
            <w:pPr>
              <w:pStyle w:val="Compact"/>
              <w:jc w:val="left"/>
            </w:pPr>
            <w:r>
              <w:t xml:space="preserve">At Risk</w:t>
            </w:r>
          </w:p>
        </w:tc>
        <w:tc>
          <w:p>
            <w:pPr>
              <w:pStyle w:val="Compact"/>
              <w:jc w:val="left"/>
            </w:pPr>
            <w:r>
              <w:t xml:space="preserve">Mexico module assembly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Cell Supply Security</w:t>
            </w:r>
          </w:p>
        </w:tc>
        <w:tc>
          <w:p>
            <w:pPr>
              <w:pStyle w:val="Compact"/>
              <w:jc w:val="left"/>
            </w:pPr>
            <w:r>
              <w:t xml:space="preserve">High Risk</w:t>
            </w:r>
          </w:p>
        </w:tc>
        <w:tc>
          <w:p>
            <w:pPr>
              <w:pStyle w:val="Compact"/>
              <w:jc w:val="left"/>
            </w:pPr>
            <w:r>
              <w:t xml:space="preserve">Likely sole-source; SK LFP not yet online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20K/2026 target</w:t>
            </w:r>
          </w:p>
        </w:tc>
        <w:tc>
          <w:p>
            <w:pPr>
              <w:pStyle w:val="Compact"/>
              <w:jc w:val="left"/>
            </w:pPr>
            <w:r>
              <w:t xml:space="preserve">Achievable</w:t>
            </w:r>
          </w:p>
        </w:tc>
        <w:tc>
          <w:p>
            <w:pPr>
              <w:pStyle w:val="Compact"/>
              <w:jc w:val="left"/>
            </w:pPr>
            <w:r>
              <w:t xml:space="preserve">2x within existing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100K/2028 target</w:t>
            </w:r>
          </w:p>
        </w:tc>
        <w:tc>
          <w:p>
            <w:pPr>
              <w:pStyle w:val="Compact"/>
              <w:jc w:val="left"/>
            </w:pPr>
            <w:r>
              <w:t xml:space="preserve">Highly Ambitious</w:t>
            </w:r>
          </w:p>
        </w:tc>
        <w:tc>
          <w:p>
            <w:pPr>
              <w:pStyle w:val="Compact"/>
              <w:jc w:val="left"/>
            </w:pPr>
            <w:r>
              <w:t xml:space="preserve">Requires major unannounced CapEx + cell deals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Tariff Exposure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Korean/US sourcing avoids worst China tariffs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Competitive Differentiation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t xml:space="preserve">Genuine FEOC advantage over Tesla/Enphase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Marketing vs. Reality Gap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Proudly domestic</w:t>
            </w:r>
            <w:r>
              <w:t xml:space="preserve">”</w:t>
            </w:r>
            <w:r>
              <w:t xml:space="preserve"> </w:t>
            </w:r>
            <w:r>
              <w:t xml:space="preserve">overstates Mexico reality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2026-02-28T04:44:26Z</dcterms:created>
  <dcterms:modified xsi:type="dcterms:W3CDTF">2026-02-28T04:44:26Z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