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Now I have enough information to produce a comprehensive, deeply researched assessment. Let me compile the full report.</w:t>
      </w:r>
    </w:p>
    <w:p>
      <w:r>
        <w:pict>
          <v:rect style="width:0;height:1.5pt" o:hralign="center" o:hrstd="t" o:hr="t"/>
        </w:pict>
      </w:r>
    </w:p>
    <w:p>
      <w:pPr>
        <w:pStyle w:val="Heading1"/>
      </w:pPr>
      <w:bookmarkStart w:id="20" w:name="X215ba97008c280568d445b38cefa48660f3bec7"/>
      <w:r>
        <w:t xml:space="preserve">LUNAR ENERGY: GRIDSHARE VPP PLATFORM — DEEP TECHNICAL &amp; COMMERCIAL ASSESSMENT</w:t>
      </w:r>
      <w:bookmarkEnd w:id="20"/>
    </w:p>
    <w:p>
      <w:pPr>
        <w:pStyle w:val="FirstParagraph"/>
      </w:pPr>
      <w:r>
        <w:rPr>
          <w:b/>
        </w:rPr>
        <w:t xml:space="preserve">Prepared:</w:t>
      </w:r>
      <w:r>
        <w:t xml:space="preserve"> </w:t>
      </w:r>
      <w:r>
        <w:t xml:space="preserve">February 2026 |</w:t>
      </w:r>
      <w:r>
        <w:t xml:space="preserve"> </w:t>
      </w:r>
      <w:r>
        <w:rPr>
          <w:b/>
        </w:rPr>
        <w:t xml:space="preserve">Classification:</w:t>
      </w:r>
      <w:r>
        <w:t xml:space="preserve"> </w:t>
      </w:r>
      <w:r>
        <w:t xml:space="preserve">Senior Analyst Assessment</w:t>
      </w:r>
    </w:p>
    <w:p>
      <w:r>
        <w:pict>
          <v:rect style="width:0;height:1.5pt" o:hralign="center" o:hrstd="t" o:hr="t"/>
        </w:pict>
      </w:r>
    </w:p>
    <w:p>
      <w:pPr>
        <w:pStyle w:val="Heading2"/>
      </w:pPr>
      <w:bookmarkStart w:id="21" w:name="executive-summary"/>
      <w:r>
        <w:t xml:space="preserve">EXECUTIVE SUMMARY</w:t>
      </w:r>
      <w:bookmarkEnd w:id="21"/>
    </w:p>
    <w:p>
      <w:pPr>
        <w:pStyle w:val="FirstParagraph"/>
      </w:pPr>
      <w:r>
        <w:t xml:space="preserve">Lunar Energy is one of the most structurally interesting companies in the residential energy storage sector — it is simultaneously a hardware manufacturer, a VPP software platform operator, a utility-facing B2B enterprise, and an international operator with footprints in North America, Japan, and Europe.</w:t>
      </w:r>
      <w:r>
        <w:t xml:space="preserve"> </w:t>
      </w:r>
      <w:r>
        <w:t xml:space="preserve">Lunar was founded on a simple thesis: electrification requires hardware, optimization requires software, and the future of affordable, reliable, and secure energy depends on both working together.</w:t>
      </w:r>
      <w:r>
        <w:t xml:space="preserve"> </w:t>
      </w:r>
      <w:r>
        <w:t xml:space="preserve">The February 2026 announcement of $232M in combined Series C and D funding —</w:t>
      </w:r>
      <w:r>
        <w:t xml:space="preserve"> </w:t>
      </w:r>
      <w:r>
        <w:t xml:space="preserve">bringing Lunar Energy’s total raised to more than $530 million since its founding in 2020</w:t>
      </w:r>
      <w:r>
        <w:t xml:space="preserve"> </w:t>
      </w:r>
      <w:r>
        <w:t xml:space="preserve">— marks an inflection point for scrutiny. This report maps exactly what Lunar has, what it has built, what it acquired, and where the critical risks lie.</w:t>
      </w:r>
    </w:p>
    <w:p>
      <w:r>
        <w:pict>
          <v:rect style="width:0;height:1.5pt" o:hralign="center" o:hrstd="t" o:hr="t"/>
        </w:pict>
      </w:r>
    </w:p>
    <w:p>
      <w:pPr>
        <w:pStyle w:val="Heading2"/>
      </w:pPr>
      <w:bookmarkStart w:id="22" w:name="Xcc63fb1028c12e9343a7e6b680286cb0be53bac"/>
      <w:r>
        <w:t xml:space="preserve">SECTION 1: GRIDSHARE PLATFORM — TECHNICAL ARCHITECTURE</w:t>
      </w:r>
      <w:bookmarkEnd w:id="22"/>
    </w:p>
    <w:p>
      <w:pPr>
        <w:pStyle w:val="Heading3"/>
      </w:pPr>
      <w:bookmarkStart w:id="23" w:name="Xc959ceb5c207e766bc9fc52f3ecb88f83a1ad37"/>
      <w:r>
        <w:t xml:space="preserve">A) Platform Capabilities: Full Stack Mapping</w:t>
      </w:r>
      <w:bookmarkEnd w:id="23"/>
    </w:p>
    <w:p>
      <w:pPr>
        <w:pStyle w:val="FirstParagraph"/>
      </w:pPr>
      <w:r>
        <w:rPr>
          <w:b/>
        </w:rPr>
        <w:t xml:space="preserve">Platform Identity and Core Function</w:t>
      </w:r>
    </w:p>
    <w:p>
      <w:pPr>
        <w:pStyle w:val="BodyText"/>
      </w:pPr>
      <w:r>
        <w:t xml:space="preserve">Lunar’s Gridshare platform is a cloud-based home energy management system (HEMS) and VPP service that connects to third-party DERs and optimizes them to simultaneously deliver value for customers and the grid.</w:t>
      </w:r>
      <w:r>
        <w:t xml:space="preserve"> </w:t>
      </w:r>
      <w:r>
        <w:t xml:space="preserve">Gridshare operates simultaneously as a</w:t>
      </w:r>
      <w:r>
        <w:t xml:space="preserve"> </w:t>
      </w:r>
      <w:r>
        <w:rPr>
          <w:b/>
        </w:rPr>
        <w:t xml:space="preserve">HEMS</w:t>
      </w:r>
      <w:r>
        <w:t xml:space="preserve"> </w:t>
      </w:r>
      <w:r>
        <w:t xml:space="preserve">(home energy management), a</w:t>
      </w:r>
      <w:r>
        <w:t xml:space="preserve"> </w:t>
      </w:r>
      <w:r>
        <w:rPr>
          <w:b/>
        </w:rPr>
        <w:t xml:space="preserve">DERMS</w:t>
      </w:r>
      <w:r>
        <w:t xml:space="preserve"> </w:t>
      </w:r>
      <w:r>
        <w:t xml:space="preserve">(distributed energy resource management system), and a</w:t>
      </w:r>
      <w:r>
        <w:t xml:space="preserve"> </w:t>
      </w:r>
      <w:r>
        <w:rPr>
          <w:b/>
        </w:rPr>
        <w:t xml:space="preserve">VPP orchestration engine</w:t>
      </w:r>
      <w:r>
        <w:t xml:space="preserve"> </w:t>
      </w:r>
      <w:r>
        <w:t xml:space="preserve">— a rarer combination than the marketing suggests.</w:t>
      </w:r>
    </w:p>
    <w:p>
      <w:pPr>
        <w:pStyle w:val="BodyText"/>
      </w:pPr>
      <w:r>
        <w:t xml:space="preserve">Gridshare claims to be the only DERMS platform that natively co-optimizes VPP value and customer behind-the-meter savings.</w:t>
      </w:r>
      <w:r>
        <w:t xml:space="preserve"> </w:t>
      </w:r>
      <w:r>
        <w:t xml:space="preserve">This is a significant architectural claim: most VPP platforms optimize</w:t>
      </w:r>
      <w:r>
        <w:t xml:space="preserve"> </w:t>
      </w:r>
      <w:r>
        <w:rPr>
          <w:i/>
        </w:rPr>
        <w:t xml:space="preserve">either</w:t>
      </w:r>
      <w:r>
        <w:t xml:space="preserve"> </w:t>
      </w:r>
      <w:r>
        <w:t xml:space="preserve">for grid revenue extraction</w:t>
      </w:r>
      <w:r>
        <w:t xml:space="preserve"> </w:t>
      </w:r>
      <w:r>
        <w:rPr>
          <w:i/>
        </w:rPr>
        <w:t xml:space="preserve">or</w:t>
      </w:r>
      <w:r>
        <w:t xml:space="preserve"> </w:t>
      </w:r>
      <w:r>
        <w:t xml:space="preserve">for customer bill savings. Gridshare’s architecture attempts to solve both simultaneously in a single optimization loop.</w:t>
      </w:r>
    </w:p>
    <w:p>
      <w:pPr>
        <w:pStyle w:val="BodyText"/>
      </w:pPr>
      <w:r>
        <w:rPr>
          <w:b/>
        </w:rPr>
        <w:t xml:space="preserve">Cloud Infrastructure</w:t>
      </w:r>
    </w:p>
    <w:p>
      <w:pPr>
        <w:pStyle w:val="BodyText"/>
      </w:pPr>
      <w:r>
        <w:t xml:space="preserve">To help deliver this complex functionality at scale, Gridshare uses AWS.</w:t>
      </w:r>
      <w:r>
        <w:t xml:space="preserve"> </w:t>
      </w:r>
      <w:r>
        <w:t xml:space="preserve">This is confirmed in an official AWS partnership case study published in 2023. The platform is therefore built on AWS cloud infrastructure, giving it access to scalable compute, managed ML services (SageMaker), and global availability zones. This is a commercially sensible choice, though it creates vendor dependency.</w:t>
      </w:r>
    </w:p>
    <w:p>
      <w:pPr>
        <w:pStyle w:val="BodyText"/>
      </w:pPr>
      <w:r>
        <w:rPr>
          <w:b/>
        </w:rPr>
        <w:t xml:space="preserve">Forecasting and Optimization Engine</w:t>
      </w:r>
    </w:p>
    <w:p>
      <w:pPr>
        <w:pStyle w:val="BodyText"/>
      </w:pPr>
      <w:r>
        <w:t xml:space="preserve">Gridshare uses machine learning to generate detailed energy generation and consumption predictions. Gridshare’s artificial intelligence then creates an optimal control plan for the onsite assets aimed at reducing the customers’ utility bill or carbon footprint.</w:t>
      </w:r>
    </w:p>
    <w:p>
      <w:pPr>
        <w:pStyle w:val="BodyText"/>
      </w:pPr>
      <w:r>
        <w:t xml:space="preserve">The ML pipeline involves per-home time-series forecasting:</w:t>
      </w:r>
      <w:r>
        <w:t xml:space="preserve"> </w:t>
      </w:r>
      <w:r>
        <w:t xml:space="preserve">“</w:t>
      </w:r>
      <w:r>
        <w:t xml:space="preserve">We had to build a system that could digest a huge amount of data from every single home and then create machine learning predictions of every home’s consumption and solar generation,</w:t>
      </w:r>
      <w:r>
        <w:t xml:space="preserve">”</w:t>
      </w:r>
      <w:r>
        <w:t xml:space="preserve"> </w:t>
      </w:r>
      <w:r>
        <w:t xml:space="preserve">head of product Sam Wevers said.</w:t>
      </w:r>
      <w:r>
        <w:t xml:space="preserve"> </w:t>
      </w:r>
      <w:r>
        <w:t xml:space="preserve">This is a device-level prediction approach, not fleet-level averages — a key technical differentiator.</w:t>
      </w:r>
      <w:r>
        <w:t xml:space="preserve"> </w:t>
      </w:r>
      <w:r>
        <w:t xml:space="preserve">While most VPP management software operates at the fleet level, Gridshare manages fleets on the device level by employing a Home Energy Management System (HEMS) model that maps and evaluates value delivery for the device owner.</w:t>
      </w:r>
    </w:p>
    <w:p>
      <w:pPr>
        <w:pStyle w:val="BodyText"/>
      </w:pPr>
      <w:r>
        <w:t xml:space="preserve">The optimization layer factors in:</w:t>
      </w:r>
      <w:r>
        <w:t xml:space="preserve"> </w:t>
      </w:r>
      <w:r>
        <w:t xml:space="preserve">using machine learning, the platform creates solar generation and energy consumption predictions for every home based on its previous behavior and weather forecasts. With these inputs, and considering the customer’s time-of-use tariff and minimum backup reserve, Gridshare then generates a personalized charging plan every day for every customer.</w:t>
      </w:r>
    </w:p>
    <w:p>
      <w:pPr>
        <w:pStyle w:val="BodyText"/>
      </w:pPr>
      <w:r>
        <w:rPr>
          <w:b/>
        </w:rPr>
        <w:t xml:space="preserve">Data Ingestion Scale</w:t>
      </w:r>
    </w:p>
    <w:p>
      <w:pPr>
        <w:pStyle w:val="BodyText"/>
      </w:pPr>
      <w:r>
        <w:t xml:space="preserve">Lunar’s approach is based on its history with behind-the-meter energy management programs in Japan, where it receives 40 billion data points every month.</w:t>
      </w:r>
      <w:r>
        <w:t xml:space="preserve"> </w:t>
      </w:r>
      <w:r>
        <w:t xml:space="preserve">This is an extraordinary volume — approximately 1.3 billion data points per day from the Japan fleet alone. At 73,000 devices globally (as of recent case studies), this implies telemetry intervals of approximately 1–5 minutes per device.</w:t>
      </w:r>
    </w:p>
    <w:p>
      <w:pPr>
        <w:pStyle w:val="BodyText"/>
      </w:pPr>
      <w:r>
        <w:rPr>
          <w:b/>
        </w:rPr>
        <w:t xml:space="preserve">Real-Time Dispatch Latency</w:t>
      </w:r>
    </w:p>
    <w:p>
      <w:pPr>
        <w:pStyle w:val="BodyText"/>
      </w:pPr>
      <w:r>
        <w:t xml:space="preserve">Because of its robust architecture, the engine is also able to run within a few minutes of delivery across a large fleet of homes. This shortened response time facilitates more advanced trading and revenue generation.</w:t>
      </w:r>
      <w:r>
        <w:t xml:space="preserve"> </w:t>
      </w:r>
      <w:r>
        <w:t xml:space="preserve">The</w:t>
      </w:r>
      <w:r>
        <w:t xml:space="preserve"> </w:t>
      </w:r>
      <w:r>
        <w:t xml:space="preserve">“</w:t>
      </w:r>
      <w:r>
        <w:t xml:space="preserve">within a few minutes</w:t>
      </w:r>
      <w:r>
        <w:t xml:space="preserve">”</w:t>
      </w:r>
      <w:r>
        <w:t xml:space="preserve"> </w:t>
      </w:r>
      <w:r>
        <w:t xml:space="preserve">claim is notable. For frequency regulation services, sub-second response is typically required; for demand response and capacity markets, minutes is acceptable. This positions Gridshare primarily as a</w:t>
      </w:r>
      <w:r>
        <w:t xml:space="preserve"> </w:t>
      </w:r>
      <w:r>
        <w:rPr>
          <w:b/>
        </w:rPr>
        <w:t xml:space="preserve">demand response and economic dispatch</w:t>
      </w:r>
      <w:r>
        <w:t xml:space="preserve"> </w:t>
      </w:r>
      <w:r>
        <w:t xml:space="preserve">tool rather than a frequency regulation resource — at least for the residential segment.</w:t>
      </w:r>
    </w:p>
    <w:p>
      <w:pPr>
        <w:pStyle w:val="BodyText"/>
      </w:pPr>
      <w:r>
        <w:rPr>
          <w:b/>
        </w:rPr>
        <w:t xml:space="preserve">Device Onboarding Speed</w:t>
      </w:r>
    </w:p>
    <w:p>
      <w:pPr>
        <w:pStyle w:val="BodyText"/>
      </w:pPr>
      <w:r>
        <w:t xml:space="preserve">When onboarding a new energy service provider, Gridshare added its fleet of 20,000 residential batteries to the platform in a month.</w:t>
      </w:r>
      <w:r>
        <w:t xml:space="preserve"> </w:t>
      </w:r>
      <w:r>
        <w:t xml:space="preserve">This is a meaningful operational metric — one month to integrate 20,000 devices at scale. For the Sunrun integration, the process was similarly rapid:</w:t>
      </w:r>
      <w:r>
        <w:t xml:space="preserve"> </w:t>
      </w:r>
      <w:r>
        <w:t xml:space="preserve">the Lunar team hit the ground running by integrating thousands of Sunrun’s home batteries and their data into the Gridshare platform, where the AI-powered software can make device-specific predictions of energy availability.</w:t>
      </w:r>
    </w:p>
    <w:p>
      <w:pPr>
        <w:pStyle w:val="BodyText"/>
      </w:pPr>
      <w:r>
        <w:rPr>
          <w:b/>
        </w:rPr>
        <w:t xml:space="preserve">VPP Grid Services Taxonomy</w:t>
      </w:r>
    </w:p>
    <w:p>
      <w:pPr>
        <w:pStyle w:val="BodyText"/>
      </w:pPr>
      <w:r>
        <w:t xml:space="preserve">These services can serve multiple purposes: reducing congestion on local lines; addressing overvoltage issues; balancing supply to demand at a transmission level; and providing cost savings or revenue opportunities to retailers in the wholesale market.</w:t>
      </w:r>
      <w:r>
        <w:t xml:space="preserve"> </w:t>
      </w:r>
      <w:r>
        <w:t xml:space="preserve">In Japan, Gridshare has been validated across two specific market types:</w:t>
      </w:r>
      <w:r>
        <w:t xml:space="preserve"> </w:t>
      </w:r>
      <w:r>
        <w:t xml:space="preserve">the nascent Balancing Market (ancillary services for dynamically managing system balance) and the Capacity Market (which ensures security of supply with reserve capacity).</w:t>
      </w:r>
    </w:p>
    <w:p>
      <w:pPr>
        <w:pStyle w:val="BodyText"/>
      </w:pPr>
      <w:r>
        <w:rPr>
          <w:b/>
        </w:rPr>
        <w:t xml:space="preserve">Co-Optimization Architecture</w:t>
      </w:r>
    </w:p>
    <w:p>
      <w:pPr>
        <w:pStyle w:val="BodyText"/>
      </w:pPr>
      <w:r>
        <w:t xml:space="preserve">This is technically the most distinctive claim:</w:t>
      </w:r>
      <w:r>
        <w:t xml:space="preserve"> </w:t>
      </w:r>
      <w:r>
        <w:t xml:space="preserve">because Gridshare is an HEMS as well as a VPP, Lunar can deliver aggregated VPP services in an optimal way considering each device’s power conversion efficiency — alongside cost to the end customer.</w:t>
      </w:r>
      <w:r>
        <w:t xml:space="preserve"> </w:t>
      </w:r>
      <w:r>
        <w:t xml:space="preserve">This means the dispatch algorithm is not simply maximizing MW exported to the grid — it accounts for each battery’s actual efficiency curve, so batteries that are less efficient at a given state-of-charge are dispatched less aggressively. This is an engineering refinement that has measurable commercial consequences:</w:t>
      </w:r>
      <w:r>
        <w:t xml:space="preserve"> </w:t>
      </w:r>
      <w:r>
        <w:t xml:space="preserve">in one program for Southern California Edison, Gridshare delivered 60% more energy from Sunrun’s devices than previously possible, thanks to its highly accurate predictions of fleet energy availability and optimal dispatch of devices based on their efficiency curves.</w:t>
      </w:r>
    </w:p>
    <w:p>
      <w:pPr>
        <w:pStyle w:val="BodyText"/>
      </w:pPr>
      <w:r>
        <w:rPr>
          <w:b/>
        </w:rPr>
        <w:t xml:space="preserve">Weather Integration</w:t>
      </w:r>
    </w:p>
    <w:p>
      <w:pPr>
        <w:pStyle w:val="BodyText"/>
      </w:pPr>
      <w:r>
        <w:t xml:space="preserve">When Hurricane Hilary hit California as a tropical storm in the early weeks of the PG&amp;E pilot, Lunar integrated National Weather Service data into its Gridshare platform to make sure that batteries in the storm’s path prioritized maintaining power for homes.</w:t>
      </w:r>
      <w:r>
        <w:t xml:space="preserve"> </w:t>
      </w:r>
      <w:r>
        <w:t xml:space="preserve">Similarly in Japan:</w:t>
      </w:r>
      <w:r>
        <w:t xml:space="preserve"> </w:t>
      </w:r>
      <w:r>
        <w:t xml:space="preserve">Gridshare also actively tracks severe weather alerts from the Japanese Meteorological Agency to ensure the batteries can deliver whole-home backup during a grid outage.</w:t>
      </w:r>
    </w:p>
    <w:p>
      <w:pPr>
        <w:pStyle w:val="BodyText"/>
      </w:pPr>
      <w:r>
        <w:rPr>
          <w:b/>
        </w:rPr>
        <w:t xml:space="preserve">Customer-Facing Apps &amp; White Label</w:t>
      </w:r>
    </w:p>
    <w:p>
      <w:pPr>
        <w:pStyle w:val="BodyText"/>
      </w:pPr>
      <w:r>
        <w:t xml:space="preserve">Gridshare gives customers their go-to energy app, using Gridshare’s white-label app or using an API to feed client apps across all the devices supported.</w:t>
      </w:r>
      <w:r>
        <w:t xml:space="preserve"> </w:t>
      </w:r>
      <w:r>
        <w:t xml:space="preserve">The Honda integration demonstrates the API approach:</w:t>
      </w:r>
      <w:r>
        <w:t xml:space="preserve"> </w:t>
      </w:r>
      <w:r>
        <w:t xml:space="preserve">in Lunar’s work with Honda, while the smart charging of the cars is handled by Gridshare, data is exposed to customers through Honda’s app.</w:t>
      </w:r>
    </w:p>
    <w:p>
      <w:pPr>
        <w:pStyle w:val="BodyText"/>
      </w:pPr>
      <w:r>
        <w:rPr>
          <w:b/>
        </w:rPr>
        <w:t xml:space="preserve">Scalability Architecture</w:t>
      </w:r>
    </w:p>
    <w:p>
      <w:pPr>
        <w:pStyle w:val="BodyText"/>
      </w:pPr>
      <w:r>
        <w:t xml:space="preserve">Gridshare’s data architecture is built for speed and scale; the platform’s device-level optimization can easily manage millions of devices.</w:t>
      </w:r>
      <w:r>
        <w:t xml:space="preserve"> </w:t>
      </w:r>
      <w:r>
        <w:t xml:space="preserve">This claim — millions of devices — is aspirational given the current ~73,000–150,000 range. The architecture may support it, but it has not been demonstrated at that scale.</w:t>
      </w:r>
    </w:p>
    <w:p>
      <w:r>
        <w:pict>
          <v:rect style="width:0;height:1.5pt" o:hralign="center" o:hrstd="t" o:hr="t"/>
        </w:pict>
      </w:r>
    </w:p>
    <w:p>
      <w:pPr>
        <w:pStyle w:val="Heading3"/>
      </w:pPr>
      <w:bookmarkStart w:id="24" w:name="Xb5fc7011643918a2f265252b69ad2293c6a3050"/>
      <w:r>
        <w:t xml:space="preserve">B) Device-Agnostic Claims: What Does It Actually Mean?</w:t>
      </w:r>
      <w:bookmarkEnd w:id="24"/>
    </w:p>
    <w:p>
      <w:pPr>
        <w:pStyle w:val="FirstParagraph"/>
      </w:pPr>
      <w:r>
        <w:rPr>
          <w:b/>
        </w:rPr>
        <w:t xml:space="preserve">Known Integrated Third-Party Devices</w:t>
      </w:r>
    </w:p>
    <w:p>
      <w:pPr>
        <w:pStyle w:val="BodyText"/>
      </w:pPr>
      <w:r>
        <w:t xml:space="preserve">The confirmed device integrations, based on publicly documented partnerships, include: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Device Category</w:t>
            </w:r>
          </w:p>
        </w:tc>
        <w:tc>
          <w:tcPr>
            <w:tcBorders>
              <w:bottom w:val="single"/>
            </w:tcBorders>
            <w:vAlign w:val="bottom"/>
          </w:tcPr>
          <w:p>
            <w:pPr>
              <w:pStyle w:val="Compact"/>
              <w:jc w:val="left"/>
            </w:pPr>
            <w:r>
              <w:t xml:space="preserve">Specific Devices/Partners</w:t>
            </w:r>
          </w:p>
        </w:tc>
      </w:tr>
      <w:tr>
        <w:tc>
          <w:p>
            <w:pPr>
              <w:pStyle w:val="Compact"/>
              <w:jc w:val="left"/>
            </w:pPr>
            <w:r>
              <w:t xml:space="preserve">Home batteries (Japan)</w:t>
            </w:r>
          </w:p>
        </w:tc>
        <w:tc>
          <w:p>
            <w:pPr>
              <w:pStyle w:val="Compact"/>
              <w:jc w:val="left"/>
            </w:pPr>
            <w:r>
              <w:t xml:space="preserve">ITOCHU Smart Star 9.8kWh ESS</w:t>
            </w:r>
          </w:p>
        </w:tc>
      </w:tr>
      <w:tr>
        <w:tc>
          <w:p>
            <w:pPr>
              <w:pStyle w:val="Compact"/>
              <w:jc w:val="left"/>
            </w:pPr>
            <w:r>
              <w:t xml:space="preserve">Home batteries (US, via Sunrun)</w:t>
            </w:r>
          </w:p>
        </w:tc>
        <w:tc>
          <w:p>
            <w:pPr>
              <w:pStyle w:val="Compact"/>
              <w:jc w:val="left"/>
            </w:pPr>
            <w:r>
              <w:t xml:space="preserve">Multiple manufacturers (Sunrun fleet includes multiple brands)</w:t>
            </w:r>
          </w:p>
        </w:tc>
      </w:tr>
      <w:tr>
        <w:tc>
          <w:p>
            <w:pPr>
              <w:pStyle w:val="Compact"/>
              <w:jc w:val="left"/>
            </w:pPr>
            <w:r>
              <w:t xml:space="preserve">EV charging (UK)</w:t>
            </w:r>
          </w:p>
        </w:tc>
        <w:tc>
          <w:p>
            <w:pPr>
              <w:pStyle w:val="Compact"/>
              <w:jc w:val="left"/>
            </w:pPr>
            <w:r>
              <w:t xml:space="preserve">Honda electric vehicles (e:PROGRESS program)</w:t>
            </w:r>
          </w:p>
        </w:tc>
      </w:tr>
      <w:tr>
        <w:tc>
          <w:p>
            <w:pPr>
              <w:pStyle w:val="Compact"/>
              <w:jc w:val="left"/>
            </w:pPr>
            <w:r>
              <w:t xml:space="preserve">Smart breakers</w:t>
            </w:r>
          </w:p>
        </w:tc>
        <w:tc>
          <w:p>
            <w:pPr>
              <w:pStyle w:val="Compact"/>
              <w:jc w:val="left"/>
            </w:pPr>
            <w:r>
              <w:t xml:space="preserve">Eaton AbleEdge</w:t>
            </w:r>
          </w:p>
        </w:tc>
      </w:tr>
      <w:tr>
        <w:tc>
          <w:p>
            <w:pPr>
              <w:pStyle w:val="Compact"/>
              <w:jc w:val="left"/>
            </w:pPr>
            <w:r>
              <w:t xml:space="preserve">Commercial EV fleets</w:t>
            </w:r>
          </w:p>
        </w:tc>
        <w:tc>
          <w:p>
            <w:pPr>
              <w:pStyle w:val="Compact"/>
              <w:jc w:val="left"/>
            </w:pPr>
            <w:r>
              <w:t xml:space="preserve">UPS electric vehicle fleet (UK)</w:t>
            </w:r>
          </w:p>
        </w:tc>
      </w:tr>
      <w:tr>
        <w:tc>
          <w:p>
            <w:pPr>
              <w:pStyle w:val="Compact"/>
              <w:jc w:val="left"/>
            </w:pPr>
            <w:r>
              <w:t xml:space="preserve">C&amp;I resources</w:t>
            </w:r>
          </w:p>
        </w:tc>
        <w:tc>
          <w:p>
            <w:pPr>
              <w:pStyle w:val="Compact"/>
              <w:jc w:val="left"/>
            </w:pPr>
            <w:r>
              <w:t xml:space="preserve">General aggregation capability</w:t>
            </w:r>
          </w:p>
        </w:tc>
      </w:tr>
    </w:tbl>
    <w:p>
      <w:pPr>
        <w:pStyle w:val="BodyText"/>
      </w:pPr>
      <w:r>
        <w:t xml:space="preserve">Gridshare can bring together home batteries, electric vehicles, chargers, thermostats, heating and cooling devices, and C&amp;I resources and integrate them into enterprise DERMS or other software systems.</w:t>
      </w:r>
      <w:r>
        <w:t xml:space="preserve"> </w:t>
      </w:r>
      <w:r>
        <w:t xml:space="preserve">The list is credible but should be understood as a</w:t>
      </w:r>
      <w:r>
        <w:t xml:space="preserve"> </w:t>
      </w:r>
      <w:r>
        <w:rPr>
          <w:i/>
        </w:rPr>
        <w:t xml:space="preserve">capability claim</w:t>
      </w:r>
      <w:r>
        <w:t xml:space="preserve">, not a confirmed list of individually certified integrations.</w:t>
      </w:r>
    </w:p>
    <w:p>
      <w:pPr>
        <w:pStyle w:val="BodyText"/>
      </w:pPr>
      <w:r>
        <w:rPr>
          <w:b/>
        </w:rPr>
        <w:t xml:space="preserve">Japan Specifics</w:t>
      </w:r>
    </w:p>
    <w:p>
      <w:pPr>
        <w:pStyle w:val="BodyText"/>
      </w:pPr>
      <w:r>
        <w:t xml:space="preserve">ITOCHU, one of the largest Japanese general trading companies, has deployed more than 36,000 of its Smart Star Energy Storage Systems (ESS) in homes across Japan. Each ITOCHU Smart Star battery is equipped with Lunar Gridshare.</w:t>
      </w:r>
      <w:r>
        <w:t xml:space="preserve"> </w:t>
      </w:r>
      <w:r>
        <w:t xml:space="preserve">This means Japan is essentially a</w:t>
      </w:r>
      <w:r>
        <w:t xml:space="preserve"> </w:t>
      </w:r>
      <w:r>
        <w:rPr>
          <w:b/>
        </w:rPr>
        <w:t xml:space="preserve">single-manufacturer fleet</w:t>
      </w:r>
      <w:r>
        <w:t xml:space="preserve"> </w:t>
      </w:r>
      <w:r>
        <w:t xml:space="preserve">— ITOCHU Smart Star. It is device-agnostic in that it’s not Lunar hardware, but it is not the multi-brand complexity of the US market.</w:t>
      </w:r>
    </w:p>
    <w:p>
      <w:pPr>
        <w:pStyle w:val="BodyText"/>
      </w:pPr>
      <w:r>
        <w:rPr>
          <w:b/>
        </w:rPr>
        <w:t xml:space="preserve">UK Specifics</w:t>
      </w:r>
    </w:p>
    <w:p>
      <w:pPr>
        <w:pStyle w:val="BodyText"/>
      </w:pPr>
      <w:r>
        <w:t xml:space="preserve">The UK deployments include Moixa’s original hardware customers (legacy), Honda EV smart charging, and UPS fleet electrification.</w:t>
      </w:r>
      <w:r>
        <w:t xml:space="preserve"> </w:t>
      </w:r>
      <w:r>
        <w:t xml:space="preserve">There are 1,600 connected in Europe</w:t>
      </w:r>
      <w:r>
        <w:t xml:space="preserve"> </w:t>
      </w:r>
      <w:r>
        <w:t xml:space="preserve">— a notably small number compared to Japan’s 35,000+ and the US’s growing Sunrun fleet.</w:t>
      </w:r>
    </w:p>
    <w:p>
      <w:pPr>
        <w:pStyle w:val="BodyText"/>
      </w:pPr>
      <w:r>
        <w:rPr>
          <w:b/>
        </w:rPr>
        <w:t xml:space="preserve">Honest Assessment of</w:t>
      </w:r>
      <w:r>
        <w:rPr>
          <w:b/>
        </w:rPr>
        <w:t xml:space="preserve"> </w:t>
      </w:r>
      <w:r>
        <w:rPr>
          <w:b/>
        </w:rPr>
        <w:t xml:space="preserve">“</w:t>
      </w:r>
      <w:r>
        <w:rPr>
          <w:b/>
        </w:rPr>
        <w:t xml:space="preserve">Device-Agnostic</w:t>
      </w:r>
      <w:r>
        <w:rPr>
          <w:b/>
        </w:rPr>
        <w:t xml:space="preserve">”</w:t>
      </w:r>
    </w:p>
    <w:p>
      <w:pPr>
        <w:pStyle w:val="BodyText"/>
      </w:pPr>
      <w:r>
        <w:t xml:space="preserve">The device-agnostic claim is</w:t>
      </w:r>
      <w:r>
        <w:t xml:space="preserve"> </w:t>
      </w:r>
      <w:r>
        <w:rPr>
          <w:i/>
        </w:rPr>
        <w:t xml:space="preserve">partially</w:t>
      </w:r>
      <w:r>
        <w:t xml:space="preserve"> </w:t>
      </w:r>
      <w:r>
        <w:t xml:space="preserve">true but requires nuance. Integrating a new device type requires building a specific protocol bridge (Modbus, SunSpec, proprietary cloud API, or manufacturer-provided SDK).</w:t>
      </w:r>
      <w:r>
        <w:t xml:space="preserve"> </w:t>
      </w:r>
      <w:r>
        <w:t xml:space="preserve">Gridshare integrates with device types from various manufacturers, consolidates their data, and presents it in a standardized way. This means you can continue to get the benefits of Gridshare in the future as you procure new batteries, EV chargers, or heat pumps.</w:t>
      </w:r>
      <w:r>
        <w:t xml:space="preserve"> </w:t>
      </w:r>
      <w:r>
        <w:t xml:space="preserve">But</w:t>
      </w:r>
      <w:r>
        <w:t xml:space="preserve"> </w:t>
      </w:r>
      <w:r>
        <w:t xml:space="preserve">“</w:t>
      </w:r>
      <w:r>
        <w:t xml:space="preserve">integrating</w:t>
      </w:r>
      <w:r>
        <w:t xml:space="preserve">”</w:t>
      </w:r>
      <w:r>
        <w:t xml:space="preserve"> </w:t>
      </w:r>
      <w:r>
        <w:t xml:space="preserve">is not</w:t>
      </w:r>
      <w:r>
        <w:t xml:space="preserve"> </w:t>
      </w:r>
      <w:r>
        <w:t xml:space="preserve">“</w:t>
      </w:r>
      <w:r>
        <w:t xml:space="preserve">plug and play.</w:t>
      </w:r>
      <w:r>
        <w:t xml:space="preserve">”</w:t>
      </w:r>
      <w:r>
        <w:t xml:space="preserve"> </w:t>
      </w:r>
      <w:r>
        <w:t xml:space="preserve">Each manufacturer integration likely requires weeks of engineering work for API negotiation, data normalization, and control validation. The platform supports</w:t>
      </w:r>
      <w:r>
        <w:t xml:space="preserve"> </w:t>
      </w:r>
      <w:r>
        <w:rPr>
          <w:i/>
        </w:rPr>
        <w:t xml:space="preserve">pre-integrated</w:t>
      </w:r>
      <w:r>
        <w:t xml:space="preserve"> </w:t>
      </w:r>
      <w:r>
        <w:t xml:space="preserve">devices, not arbitrary new hardware.</w:t>
      </w:r>
    </w:p>
    <w:p>
      <w:r>
        <w:pict>
          <v:rect style="width:0;height:1.5pt" o:hralign="center" o:hrstd="t" o:hr="t"/>
        </w:pict>
      </w:r>
    </w:p>
    <w:p>
      <w:pPr>
        <w:pStyle w:val="Heading3"/>
      </w:pPr>
      <w:bookmarkStart w:id="25" w:name="c-vpp-market-participation"/>
      <w:r>
        <w:t xml:space="preserve">C) VPP Market Participation</w:t>
      </w:r>
      <w:bookmarkEnd w:id="25"/>
    </w:p>
    <w:p>
      <w:pPr>
        <w:pStyle w:val="FirstParagraph"/>
      </w:pPr>
      <w:r>
        <w:rPr>
          <w:b/>
        </w:rPr>
        <w:t xml:space="preserve">US Markets</w:t>
      </w:r>
    </w:p>
    <w:p>
      <w:pPr>
        <w:pStyle w:val="BodyText"/>
      </w:pPr>
      <w:r>
        <w:t xml:space="preserve">Sunrun leverages Lunar’s Gridshare platform for its distributed power plants across a dozen markets, including New England, Hawaii, and Puerto Rico. Lunar Gridshare is also used by California Community Choice Aggregators to develop and deploy new distributed power programs across the state, and utilities and energy retailers in Europe and Asia similarly work with Lunar to accelerate the energy transition.</w:t>
      </w:r>
    </w:p>
    <w:p>
      <w:pPr>
        <w:pStyle w:val="BodyText"/>
      </w:pPr>
      <w:r>
        <w:t xml:space="preserve">Specifically confirmed market programs:</w:t>
      </w:r>
      <w:r>
        <w:t xml:space="preserve"> </w:t>
      </w:r>
      <w:r>
        <w:t xml:space="preserve">-</w:t>
      </w:r>
      <w:r>
        <w:t xml:space="preserve"> </w:t>
      </w:r>
      <w:r>
        <w:rPr>
          <w:b/>
        </w:rPr>
        <w:t xml:space="preserve">California DSGS (Demand Side Grid Support)</w:t>
      </w:r>
      <w:r>
        <w:t xml:space="preserve">:</w:t>
      </w:r>
      <w:r>
        <w:t xml:space="preserve"> </w:t>
      </w:r>
      <w:r>
        <w:t xml:space="preserve">Last summer, Gridshare aggregated a portion of Sunrun’s 500-megawatt fleet of home batteries that participated in California’s Demand Side Grid Support program.</w:t>
      </w:r>
    </w:p>
    <w:p>
      <w:pPr>
        <w:numPr>
          <w:ilvl w:val="0"/>
          <w:numId w:val="1001"/>
        </w:numPr>
      </w:pPr>
      <w:r>
        <w:rPr>
          <w:b/>
        </w:rPr>
        <w:t xml:space="preserve">Southern California Edison (SCE)</w:t>
      </w:r>
      <w:r>
        <w:t xml:space="preserve">: VPP program delivering 60% more energy than prior methods</w:t>
      </w:r>
    </w:p>
    <w:p>
      <w:pPr>
        <w:numPr>
          <w:ilvl w:val="0"/>
          <w:numId w:val="1001"/>
        </w:numPr>
      </w:pPr>
      <w:r>
        <w:rPr>
          <w:b/>
        </w:rPr>
        <w:t xml:space="preserve">PG&amp;E SAVE Program</w:t>
      </w:r>
      <w:r>
        <w:t xml:space="preserve">:</w:t>
      </w:r>
      <w:r>
        <w:t xml:space="preserve"> </w:t>
      </w:r>
      <w:r>
        <w:t xml:space="preserve">Sunrun leverages Lunar Energy’s AI-enabled forecasting through its Gridshare software platform to precisely dispatch various non-Tesla battery types to meet local grid needs.</w:t>
      </w:r>
    </w:p>
    <w:p>
      <w:pPr>
        <w:numPr>
          <w:ilvl w:val="0"/>
          <w:numId w:val="1001"/>
        </w:numPr>
      </w:pPr>
      <w:r>
        <w:rPr>
          <w:b/>
        </w:rPr>
        <w:t xml:space="preserve">Peninsula Clean Energy (PCE) and Silicon Valley Clean Energy (SVCE)</w:t>
      </w:r>
      <w:r>
        <w:t xml:space="preserve">:</w:t>
      </w:r>
      <w:r>
        <w:t xml:space="preserve"> </w:t>
      </w:r>
      <w:r>
        <w:t xml:space="preserve">Lunar Gridshare will enable new battery programs with Peninsula Clean Energy and Silicon Valley Clean Energy to reduce customer bills and emissions.</w:t>
      </w:r>
    </w:p>
    <w:p>
      <w:pPr>
        <w:numPr>
          <w:ilvl w:val="0"/>
          <w:numId w:val="1001"/>
        </w:numPr>
      </w:pPr>
      <w:r>
        <w:rPr>
          <w:b/>
        </w:rPr>
        <w:t xml:space="preserve">Ava Community Energy</w:t>
      </w:r>
      <w:r>
        <w:t xml:space="preserve">:</w:t>
      </w:r>
      <w:r>
        <w:t xml:space="preserve"> </w:t>
      </w:r>
      <w:r>
        <w:t xml:space="preserve">Ava has partnered with Lunar Energy to execute their Virtual Power Plant (VPP) strategy, aimed at helping its 2M customers optimize their energy investments while relieving stress on the grid.</w:t>
      </w:r>
    </w:p>
    <w:p>
      <w:pPr>
        <w:pStyle w:val="FirstParagraph"/>
      </w:pPr>
      <w:r>
        <w:rPr>
          <w:b/>
        </w:rPr>
        <w:t xml:space="preserve">Japan Markets</w:t>
      </w:r>
    </w:p>
    <w:p>
      <w:pPr>
        <w:pStyle w:val="BodyText"/>
      </w:pPr>
      <w:r>
        <w:t xml:space="preserve">The Lunar team delivered six concurrent trials over an 8-month period with Japanese power companies Tokyo Electric Power Co (TEPCO), Chubu Electric Power Co, Kyushu Electric Power Co., Tohoku Electric Power Co. Inc, and Shizen Energy, as well as the C&amp;I aggregator Eneres.</w:t>
      </w:r>
    </w:p>
    <w:p>
      <w:pPr>
        <w:pStyle w:val="BodyText"/>
      </w:pPr>
      <w:r>
        <w:t xml:space="preserve">Starting in 2026, residential distributed energy resources, such as those enabled by Gridshare, will be eligible to participate in Japan’s transmission-level capacity market and balancing markets, unlocking new VPP revenue opportunities and accelerating the transition to a more distributed, flexible grid.</w:t>
      </w:r>
      <w:r>
        <w:t xml:space="preserve"> </w:t>
      </w:r>
      <w:r>
        <w:t xml:space="preserve">This is a significant inflection point for Japan operations — commercial VPP revenue in Japan has been largely TOU arbitrage; full market participation begins in 2026.</w:t>
      </w:r>
    </w:p>
    <w:p>
      <w:pPr>
        <w:pStyle w:val="BodyText"/>
      </w:pPr>
      <w:r>
        <w:rPr>
          <w:b/>
        </w:rPr>
        <w:t xml:space="preserve">TEPCO Commercial Rollout</w:t>
      </w:r>
    </w:p>
    <w:p>
      <w:pPr>
        <w:pStyle w:val="BodyText"/>
      </w:pPr>
      <w:r>
        <w:t xml:space="preserve">More than 12,000 TEPCO EP customer batteries are already on the Gridshare platform. Together with partners ITOCHU and Gridshare Japan, Lunar has delivered successful Virtual Power Plant (VPP) trials to TEPCO EP, which helped set the stage for this commercial rollout, and a similar service for Tohoku Electric Power.</w:t>
      </w:r>
    </w:p>
    <w:p>
      <w:pPr>
        <w:pStyle w:val="BodyText"/>
      </w:pPr>
      <w:r>
        <w:rPr>
          <w:b/>
        </w:rPr>
        <w:t xml:space="preserve">Europe</w:t>
      </w:r>
    </w:p>
    <w:p>
      <w:pPr>
        <w:pStyle w:val="BodyText"/>
      </w:pPr>
      <w:r>
        <w:t xml:space="preserve">EDP used simulations from Gridshare to roll out new customer offers in Spain and Portugal.</w:t>
      </w:r>
      <w:r>
        <w:t xml:space="preserve"> </w:t>
      </w:r>
      <w:r>
        <w:t xml:space="preserve">The European footprint remains limited — 1,600 connected devices — and appears primarily in consulting/simulation mode rather than active fleet management at scale.</w:t>
      </w:r>
    </w:p>
    <w:p>
      <w:pPr>
        <w:pStyle w:val="BodyText"/>
      </w:pPr>
      <w:r>
        <w:rPr>
          <w:b/>
        </w:rPr>
        <w:t xml:space="preserve">Grid Service Types Confirmed</w:t>
      </w:r>
      <w:r>
        <w:t xml:space="preserve"> </w:t>
      </w:r>
      <w:r>
        <w:t xml:space="preserve">- Energy arbitrage (time-of-use optimization)</w:t>
      </w:r>
      <w:r>
        <w:t xml:space="preserve"> </w:t>
      </w:r>
      <w:r>
        <w:t xml:space="preserve">- Demand response (DSGS, capacity programs)</w:t>
      </w:r>
      <w:r>
        <w:t xml:space="preserve"> </w:t>
      </w:r>
      <w:r>
        <w:t xml:space="preserve">- Capacity market participation (Japan Balancing Market trials)</w:t>
      </w:r>
      <w:r>
        <w:t xml:space="preserve"> </w:t>
      </w:r>
      <w:r>
        <w:t xml:space="preserve">- Congestion relief (SCE, PG&amp;E distribution deferral)</w:t>
      </w:r>
      <w:r>
        <w:t xml:space="preserve"> </w:t>
      </w:r>
      <w:r>
        <w:t xml:space="preserve">- Weather-triggered backup mode (automated resilience)</w:t>
      </w:r>
      <w:r>
        <w:t xml:space="preserve"> </w:t>
      </w:r>
      <w:r>
        <w:t xml:space="preserve">- Wholesale cost management (TEPCO Carbon Neutral Program)</w:t>
      </w:r>
    </w:p>
    <w:p>
      <w:pPr>
        <w:pStyle w:val="BodyText"/>
      </w:pPr>
      <w:r>
        <w:rPr>
          <w:b/>
        </w:rPr>
        <w:t xml:space="preserve">What Is NOT Yet Confirmed</w:t>
      </w:r>
      <w:r>
        <w:t xml:space="preserve"> </w:t>
      </w:r>
      <w:r>
        <w:t xml:space="preserve">- Frequency regulation (sub-second response) — residential batteries are generally too slow</w:t>
      </w:r>
      <w:r>
        <w:t xml:space="preserve"> </w:t>
      </w:r>
      <w:r>
        <w:t xml:space="preserve">- ERCOT participation (mentioned as expansion target, not confirmed)</w:t>
      </w:r>
      <w:r>
        <w:t xml:space="preserve"> </w:t>
      </w:r>
      <w:r>
        <w:t xml:space="preserve">- ISO-NE wholesale market registration</w:t>
      </w:r>
    </w:p>
    <w:p>
      <w:r>
        <w:pict>
          <v:rect style="width:0;height:1.5pt" o:hralign="center" o:hrstd="t" o:hr="t"/>
        </w:pict>
      </w:r>
    </w:p>
    <w:p>
      <w:pPr>
        <w:pStyle w:val="Heading3"/>
      </w:pPr>
      <w:bookmarkStart w:id="26" w:name="Xa1b022b9077721d8825d3831c3120ea42b72eef"/>
      <w:r>
        <w:t xml:space="preserve">D) Performance Data: Decomposition and Scrutiny</w:t>
      </w:r>
      <w:bookmarkEnd w:id="26"/>
    </w:p>
    <w:p>
      <w:pPr>
        <w:pStyle w:val="FirstParagraph"/>
      </w:pPr>
      <w:r>
        <w:rPr>
          <w:b/>
        </w:rPr>
        <w:t xml:space="preserve">The $464/Year VPP Earnings</w:t>
      </w:r>
    </w:p>
    <w:p>
      <w:pPr>
        <w:pStyle w:val="BodyText"/>
      </w:pPr>
      <w:r>
        <w:t xml:space="preserve">Data from the subset of Lunar Energy systems in VPPs under its own control shows that customers earn an average of $464 per year by participating in those programs. That’s on top of the $338 that Lunar Energy customers save on average each year by fine-tuning their home energy systems to consume grid power when it’s at its cheapest and most plentiful.</w:t>
      </w:r>
    </w:p>
    <w:p>
      <w:pPr>
        <w:pStyle w:val="BodyText"/>
      </w:pPr>
      <w:r>
        <w:rPr>
          <w:b/>
        </w:rPr>
        <w:t xml:space="preserve">Critical Caveats the Marketing Omits:</w:t>
      </w:r>
      <w:r>
        <w:t xml:space="preserve"> </w:t>
      </w:r>
      <w:r>
        <w:t xml:space="preserve">1. This is described as a</w:t>
      </w:r>
      <w:r>
        <w:t xml:space="preserve"> </w:t>
      </w:r>
      <w:r>
        <w:rPr>
          <w:i/>
        </w:rPr>
        <w:t xml:space="preserve">subset</w:t>
      </w:r>
      <w:r>
        <w:t xml:space="preserve"> </w:t>
      </w:r>
      <w:r>
        <w:t xml:space="preserve">of systems</w:t>
      </w:r>
      <w:r>
        <w:t xml:space="preserve"> </w:t>
      </w:r>
      <w:r>
        <w:t xml:space="preserve">“</w:t>
      </w:r>
      <w:r>
        <w:t xml:space="preserve">under its own control</w:t>
      </w:r>
      <w:r>
        <w:t xml:space="preserve">”</w:t>
      </w:r>
      <w:r>
        <w:t xml:space="preserve"> </w:t>
      </w:r>
      <w:r>
        <w:t xml:space="preserve">— this is</w:t>
      </w:r>
      <w:r>
        <w:t xml:space="preserve"> </w:t>
      </w:r>
      <w:r>
        <w:rPr>
          <w:b/>
        </w:rPr>
        <w:t xml:space="preserve">Lunar hardware customers in California VPP programs</w:t>
      </w:r>
      <w:r>
        <w:t xml:space="preserve">, not the full Gridshare fleet</w:t>
      </w:r>
      <w:r>
        <w:t xml:space="preserve"> </w:t>
      </w:r>
      <w:r>
        <w:t xml:space="preserve">2. The $464 figure almost certainly reflects California programs (DSGS, SCE, PCE), which pay premium rates for VPP participation; these rates are not reproducible nationally</w:t>
      </w:r>
      <w:r>
        <w:t xml:space="preserve"> </w:t>
      </w:r>
      <w:r>
        <w:t xml:space="preserve">3. For context,</w:t>
      </w:r>
      <w:r>
        <w:t xml:space="preserve"> </w:t>
      </w:r>
      <w:r>
        <w:t xml:space="preserve">Sunrun said it pays US$150 per battery per dispatching season, while Tesla is thought to have paid around US$9.9 million to VPP customers enrolled in its own aggregation programmes around the world in 2024.</w:t>
      </w:r>
      <w:r>
        <w:t xml:space="preserve"> </w:t>
      </w:r>
      <w:r>
        <w:t xml:space="preserve">Sunrun’s $150/season figure is far below Lunar’s claimed $464/year, suggesting Lunar’s number either reflects more intensive dispatch events, a different program structure, or cherry-picked participants</w:t>
      </w:r>
      <w:r>
        <w:t xml:space="preserve"> </w:t>
      </w:r>
      <w:r>
        <w:t xml:space="preserve">4.</w:t>
      </w:r>
      <w:r>
        <w:t xml:space="preserve"> </w:t>
      </w:r>
      <w:r>
        <w:t xml:space="preserve">Sunrun had enrolled more than 56,000 customers with solar-battery systems to participate in California VPP programs as of May, the majority of them in DSGS. The company offered participants up to $150 per battery enrolled in the 2025 season.</w:t>
      </w:r>
      <w:r>
        <w:t xml:space="preserve"> </w:t>
      </w:r>
      <w:r>
        <w:t xml:space="preserve">This is a maximum, not average</w:t>
      </w:r>
    </w:p>
    <w:p>
      <w:pPr>
        <w:pStyle w:val="BodyText"/>
      </w:pPr>
      <w:r>
        <w:t xml:space="preserve">The $338/year savings from</w:t>
      </w:r>
      <w:r>
        <w:t xml:space="preserve"> </w:t>
      </w:r>
      <w:r>
        <w:t xml:space="preserve">“</w:t>
      </w:r>
      <w:r>
        <w:t xml:space="preserve">AI optimization alone</w:t>
      </w:r>
      <w:r>
        <w:t xml:space="preserve">”</w:t>
      </w:r>
      <w:r>
        <w:t xml:space="preserve"> </w:t>
      </w:r>
      <w:r>
        <w:t xml:space="preserve">— described as savings versus standard battery operating mode — is more defensible:</w:t>
      </w:r>
      <w:r>
        <w:t xml:space="preserve"> </w:t>
      </w:r>
      <w:r>
        <w:t xml:space="preserve">ITOCHU customers in Japan save an extra 14 percent on their energy bill compared with relying on their battery’s default mode.</w:t>
      </w:r>
      <w:r>
        <w:t xml:space="preserve"> </w:t>
      </w:r>
      <w:r>
        <w:t xml:space="preserve">The 14% savings in Japan provides independent third-party validation that AI optimization does deliver measurable savings over default modes.</w:t>
      </w:r>
    </w:p>
    <w:p>
      <w:pPr>
        <w:pStyle w:val="BodyText"/>
      </w:pPr>
      <w:r>
        <w:rPr>
          <w:b/>
        </w:rPr>
        <w:t xml:space="preserve">The DSGS Funding Problem</w:t>
      </w:r>
    </w:p>
    <w:p>
      <w:pPr>
        <w:pStyle w:val="BodyText"/>
      </w:pPr>
      <w:r>
        <w:t xml:space="preserve">This is a critical risk:</w:t>
      </w:r>
      <w:r>
        <w:t xml:space="preserve"> </w:t>
      </w:r>
      <w:r>
        <w:t xml:space="preserve">Funding for DSGS has since been vetoed by Gov. Gavin Newsom, so it won’t be continuing.</w:t>
      </w:r>
      <w:r>
        <w:t xml:space="preserve"> </w:t>
      </w:r>
      <w:r>
        <w:t xml:space="preserve">The largest program that generated these revenue numbers has been defunded by California’s governor. This creates significant uncertainty about whether the $464 VPP earnings figure is reproducible in 2025–2026.</w:t>
      </w:r>
    </w:p>
    <w:p>
      <w:r>
        <w:pict>
          <v:rect style="width:0;height:1.5pt" o:hralign="center" o:hrstd="t" o:hr="t"/>
        </w:pict>
      </w:r>
    </w:p>
    <w:p>
      <w:pPr>
        <w:pStyle w:val="Heading2"/>
      </w:pPr>
      <w:bookmarkStart w:id="27" w:name="X6ea88fb74707919686ceb8144a25af99759e81b"/>
      <w:r>
        <w:t xml:space="preserve">SECTION 2: MOIXA ACQUISITION — WHAT WAS ACTUALLY ACQUIRED?</w:t>
      </w:r>
      <w:bookmarkEnd w:id="27"/>
    </w:p>
    <w:p>
      <w:pPr>
        <w:pStyle w:val="Heading3"/>
      </w:pPr>
      <w:bookmarkStart w:id="28" w:name="a-moixas-history-and-assets"/>
      <w:r>
        <w:t xml:space="preserve">A) Moixa’s History and Assets</w:t>
      </w:r>
      <w:bookmarkEnd w:id="28"/>
    </w:p>
    <w:p>
      <w:pPr>
        <w:pStyle w:val="FirstParagraph"/>
      </w:pPr>
      <w:r>
        <w:rPr>
          <w:b/>
        </w:rPr>
        <w:t xml:space="preserve">Founding and Trajectory</w:t>
      </w:r>
    </w:p>
    <w:p>
      <w:pPr>
        <w:pStyle w:val="BodyText"/>
      </w:pPr>
      <w:r>
        <w:t xml:space="preserve">Simon Daniel founded Moixa in 2006 with the aim of innovating energy technology. Moixa has now evolved to become the UK’s leading smart battery and AI software company.</w:t>
      </w:r>
      <w:r>
        <w:t xml:space="preserve"> </w:t>
      </w:r>
      <w:r>
        <w:t xml:space="preserve">Moixa co-founders were Simon Daniel and Chris Wright.</w:t>
      </w:r>
      <w:r>
        <w:t xml:space="preserve"> </w:t>
      </w:r>
      <w:r>
        <w:t xml:space="preserve">It’s been an amazing journey for Moixa, which Simon Daniel founded with Chris Wright in 2006. They initially launched USBCELL™ reusable and rechargeable batteries.</w:t>
      </w:r>
      <w:r>
        <w:t xml:space="preserve"> </w:t>
      </w:r>
      <w:r>
        <w:t xml:space="preserve">The company thus spent approximately 15 years evolving from consumer batteries to home energy storage to AI-driven VPP software before the acquisition.</w:t>
      </w:r>
    </w:p>
    <w:p>
      <w:pPr>
        <w:pStyle w:val="BodyText"/>
      </w:pPr>
      <w:r>
        <w:rPr>
          <w:b/>
        </w:rPr>
        <w:t xml:space="preserve">Pre-Acquisition Scale</w:t>
      </w:r>
    </w:p>
    <w:p>
      <w:pPr>
        <w:pStyle w:val="BodyText"/>
      </w:pPr>
      <w:r>
        <w:t xml:space="preserve">At time of acquisition announcement, GridShare software was deployed at scale across 35,000 homes (330MWh of batteries) via ITOCHU in Japan.</w:t>
      </w:r>
      <w:r>
        <w:t xml:space="preserve"> </w:t>
      </w:r>
      <w:r>
        <w:t xml:space="preserve">It also supported Honda EV charging in the UK and UPS fleet electrification. This was genuine commercial scale, not pilot stage.</w:t>
      </w:r>
    </w:p>
    <w:p>
      <w:pPr>
        <w:pStyle w:val="BodyText"/>
      </w:pPr>
      <w:r>
        <w:rPr>
          <w:b/>
        </w:rPr>
        <w:t xml:space="preserve">What IP Was Acquired</w:t>
      </w:r>
    </w:p>
    <w:p>
      <w:pPr>
        <w:pStyle w:val="BodyText"/>
      </w:pPr>
      <w:r>
        <w:t xml:space="preserve">Moixa had a substantive patent portfolio built over 15 years.</w:t>
      </w:r>
      <w:r>
        <w:t xml:space="preserve"> </w:t>
      </w:r>
      <w:r>
        <w:t xml:space="preserve">Moixa was awarded new international patents including US10447042 and AU2017279784, relating to managing clusters of batteries on a distribution power network, as a collective resource in aggregate to provide grid storage services. They join additional</w:t>
      </w:r>
      <w:r>
        <w:t xml:space="preserve"> </w:t>
      </w:r>
      <w:r>
        <w:t xml:space="preserve">‘</w:t>
      </w:r>
      <w:r>
        <w:t xml:space="preserve">battery aggregation</w:t>
      </w:r>
      <w:r>
        <w:t xml:space="preserve">’</w:t>
      </w:r>
      <w:r>
        <w:t xml:space="preserve"> </w:t>
      </w:r>
      <w:r>
        <w:t xml:space="preserve">patent grants in the US, UK and the European Union, together with patents arising from 2008 Smart Home technologies which are now cited by nearly 200 international companies.</w:t>
      </w:r>
    </w:p>
    <w:p>
      <w:pPr>
        <w:pStyle w:val="BodyText"/>
      </w:pPr>
      <w:r>
        <w:t xml:space="preserve">This is significant: Moixa’s 2008-vintage smart home patents are being cited by ~200 international companies, which suggests these are foundational prior art claims, not defensive filings. The Moixa IP therefore likely includes:</w:t>
      </w:r>
      <w:r>
        <w:t xml:space="preserve"> </w:t>
      </w:r>
      <w:r>
        <w:t xml:space="preserve">- Battery aggregation control algorithms (2012 priority, granted 2019)</w:t>
      </w:r>
      <w:r>
        <w:t xml:space="preserve"> </w:t>
      </w:r>
      <w:r>
        <w:t xml:space="preserve">- Smart home energy management (2008 priority)</w:t>
      </w:r>
      <w:r>
        <w:t xml:space="preserve"> </w:t>
      </w:r>
      <w:r>
        <w:t xml:space="preserve">- VPP dispatch optimization</w:t>
      </w:r>
      <w:r>
        <w:t xml:space="preserve"> </w:t>
      </w:r>
      <w:r>
        <w:t xml:space="preserve">- Likely UK/EU/AU/US multi-jurisdictional coverage</w:t>
      </w:r>
    </w:p>
    <w:p>
      <w:pPr>
        <w:pStyle w:val="BodyText"/>
      </w:pPr>
      <w:r>
        <w:rPr>
          <w:b/>
        </w:rPr>
        <w:t xml:space="preserve">Historical context on Moixa patents</w:t>
      </w:r>
      <w:r>
        <w:t xml:space="preserve">:</w:t>
      </w:r>
      <w:r>
        <w:t xml:space="preserve"> </w:t>
      </w:r>
      <w:r>
        <w:t xml:space="preserve">Moixa’s founder noted they secured patents around 10 years before the acquisition.</w:t>
      </w:r>
    </w:p>
    <w:p>
      <w:pPr>
        <w:pStyle w:val="BodyText"/>
      </w:pPr>
      <w:r>
        <w:rPr>
          <w:b/>
        </w:rPr>
        <w:t xml:space="preserve">Strategic Investors Who Became Lunar Shareholders</w:t>
      </w:r>
    </w:p>
    <w:p>
      <w:pPr>
        <w:pStyle w:val="BodyText"/>
      </w:pPr>
      <w:r>
        <w:t xml:space="preserve">Moixa’s investors ITOCHU and HONDA have now also become shareholders in Lunar, alongside lead investors Sunrun and SK Group.</w:t>
      </w:r>
      <w:r>
        <w:t xml:space="preserve"> </w:t>
      </w:r>
      <w:r>
        <w:t xml:space="preserve">This is a critical structural detail: the acquisition converted two major strategic partners (ITOCHU and Honda) into Lunar equity holders, aligning their commercial interests with Lunar’s success.</w:t>
      </w:r>
    </w:p>
    <w:p>
      <w:pPr>
        <w:pStyle w:val="BodyText"/>
      </w:pPr>
      <w:r>
        <w:rPr>
          <w:b/>
        </w:rPr>
        <w:t xml:space="preserve">Acquisition Price</w:t>
      </w:r>
    </w:p>
    <w:p>
      <w:pPr>
        <w:pStyle w:val="BodyText"/>
      </w:pPr>
      <w:r>
        <w:t xml:space="preserve">The acquisition price has not been publicly disclosed. The total $300M raised by Lunar at time of the acquisition was described as being used for:</w:t>
      </w:r>
      <w:r>
        <w:t xml:space="preserve"> </w:t>
      </w:r>
      <w:r>
        <w:t xml:space="preserve">the capital raised has been used to acquire Moixa, hire and invest in product development and manufacturing activities in order to bring Lunar’s first hardware product to market later this year.</w:t>
      </w:r>
      <w:r>
        <w:t xml:space="preserve"> </w:t>
      </w:r>
      <w:r>
        <w:t xml:space="preserve">Given Moixa’s commercial stage, Japan fleet scale, and strategic IP, a reasonable estimate might be in the $20–50M range, but this is unverifiable.</w:t>
      </w:r>
    </w:p>
    <w:p>
      <w:pPr>
        <w:pStyle w:val="BodyText"/>
      </w:pPr>
      <w:r>
        <w:rPr>
          <w:b/>
        </w:rPr>
        <w:t xml:space="preserve">Data Asset Acquired</w:t>
      </w:r>
    </w:p>
    <w:p>
      <w:pPr>
        <w:pStyle w:val="BodyText"/>
      </w:pPr>
      <w:r>
        <w:t xml:space="preserve">This may be the most underappreciated asset:</w:t>
      </w:r>
      <w:r>
        <w:t xml:space="preserve"> </w:t>
      </w:r>
      <w:r>
        <w:t xml:space="preserve">in 2021, Lunar bought Moixa, a company with a decade of machine learning expertise in distributed energy optimization. That acquisition brought us 150 million hours of real-world optimization data — the kind of experience you can’t replicate overnight.</w:t>
      </w:r>
      <w:r>
        <w:t xml:space="preserve"> </w:t>
      </w:r>
      <w:r>
        <w:t xml:space="preserve">150 million hours of real-world data across diverse homes, tariff structures, and weather conditions represents years of ML training advantage that a new entrant cannot acquire quickly.</w:t>
      </w:r>
    </w:p>
    <w:p>
      <w:r>
        <w:pict>
          <v:rect style="width:0;height:1.5pt" o:hralign="center" o:hrstd="t" o:hr="t"/>
        </w:pict>
      </w:r>
    </w:p>
    <w:p>
      <w:pPr>
        <w:pStyle w:val="Heading3"/>
      </w:pPr>
      <w:bookmarkStart w:id="29" w:name="b-integration-status"/>
      <w:r>
        <w:t xml:space="preserve">B) Integration Status</w:t>
      </w:r>
      <w:bookmarkEnd w:id="29"/>
    </w:p>
    <w:p>
      <w:pPr>
        <w:pStyle w:val="FirstParagraph"/>
      </w:pPr>
      <w:r>
        <w:rPr>
          <w:b/>
        </w:rPr>
        <w:t xml:space="preserve">UK Team</w:t>
      </w:r>
    </w:p>
    <w:p>
      <w:pPr>
        <w:pStyle w:val="BodyText"/>
      </w:pPr>
      <w:r>
        <w:t xml:space="preserve">The London team (formerly Moixa) has been rebranded under</w:t>
      </w:r>
      <w:r>
        <w:t xml:space="preserve"> </w:t>
      </w:r>
      <w:r>
        <w:t xml:space="preserve">“</w:t>
      </w:r>
      <w:r>
        <w:t xml:space="preserve">Lunar Energy Limited</w:t>
      </w:r>
      <w:r>
        <w:t xml:space="preserve">”</w:t>
      </w:r>
      <w:r>
        <w:t xml:space="preserve"> </w:t>
      </w:r>
      <w:r>
        <w:t xml:space="preserve">(Lunar UK) and continues to operate the software platform. The team appears semi-autonomous — responsible for software development, Japan operations, and European business development, while Mountain View handles hardware and US commercial operations.</w:t>
      </w:r>
      <w:r>
        <w:t xml:space="preserve"> </w:t>
      </w:r>
      <w:r>
        <w:t xml:space="preserve">ITOCHU’s press release explicitly refers to</w:t>
      </w:r>
      <w:r>
        <w:t xml:space="preserve"> </w:t>
      </w:r>
      <w:r>
        <w:t xml:space="preserve">“</w:t>
      </w:r>
      <w:r>
        <w:t xml:space="preserve">Moixa Technology, Inc. (currently Lunar Energy Limited, hereinafter</w:t>
      </w:r>
      <w:r>
        <w:t xml:space="preserve"> </w:t>
      </w:r>
      <w:r>
        <w:t xml:space="preserve">‘</w:t>
      </w:r>
      <w:r>
        <w:t xml:space="preserve">Lunar UK</w:t>
      </w:r>
      <w:r>
        <w:t xml:space="preserve">’</w:t>
      </w:r>
      <w:r>
        <w:t xml:space="preserve">)</w:t>
      </w:r>
      <w:r>
        <w:t xml:space="preserve">”</w:t>
      </w:r>
      <w:r>
        <w:t xml:space="preserve"> </w:t>
      </w:r>
      <w:r>
        <w:t xml:space="preserve">— confirming the legal entity is distinct from Lunar Energy Inc. in the US.</w:t>
      </w:r>
    </w:p>
    <w:p>
      <w:pPr>
        <w:pStyle w:val="BodyText"/>
      </w:pPr>
      <w:r>
        <w:t xml:space="preserve">There is no publicly disclosed evidence of organizational friction, though the dual-HQ model (Mountain View for hardware/US; London for software/international) is inherently complex. The Sunrun partnership serves as a connector:</w:t>
      </w:r>
      <w:r>
        <w:t xml:space="preserve"> </w:t>
      </w:r>
      <w:r>
        <w:t xml:space="preserve">Sunrun’s head of grid services said</w:t>
      </w:r>
      <w:r>
        <w:t xml:space="preserve"> </w:t>
      </w:r>
      <w:r>
        <w:t xml:space="preserve">“</w:t>
      </w:r>
      <w:r>
        <w:t xml:space="preserve">we can quickly optimize that fleet using our software provider Lunar to continue providing time of use bill savings, and also hit that grid services VPP dispatch for the utility.</w:t>
      </w:r>
      <w:r>
        <w:t xml:space="preserve">”</w:t>
      </w:r>
    </w:p>
    <w:p>
      <w:pPr>
        <w:pStyle w:val="BodyText"/>
      </w:pPr>
      <w:r>
        <w:rPr>
          <w:b/>
        </w:rPr>
        <w:t xml:space="preserve">Platform Integration with Lunar Hardware</w:t>
      </w:r>
    </w:p>
    <w:p>
      <w:pPr>
        <w:pStyle w:val="BodyText"/>
      </w:pPr>
      <w:r>
        <w:t xml:space="preserve">When Lunar Energy introduces its own battery in the coming months, Gridshare software will be built in and in the future homes will be able to enroll in VPP programs directly from the app.</w:t>
      </w:r>
      <w:r>
        <w:t xml:space="preserve"> </w:t>
      </w:r>
      <w:r>
        <w:t xml:space="preserve">The native integration of Gridshare into the Lunar hardware product appears to have been completed during the 2024–2025 hardware launch period. The current marketed system bundles hardware and software.</w:t>
      </w:r>
    </w:p>
    <w:p>
      <w:r>
        <w:pict>
          <v:rect style="width:0;height:1.5pt" o:hralign="center" o:hrstd="t" o:hr="t"/>
        </w:pict>
      </w:r>
    </w:p>
    <w:p>
      <w:pPr>
        <w:pStyle w:val="Heading3"/>
      </w:pPr>
      <w:bookmarkStart w:id="30" w:name="X75baa1d9feb781a22c613166e2f15f04d2be2b1"/>
      <w:r>
        <w:t xml:space="preserve">C) GridShare Japan — Corporate Structure Unraveled</w:t>
      </w:r>
      <w:bookmarkEnd w:id="30"/>
    </w:p>
    <w:p>
      <w:pPr>
        <w:pStyle w:val="FirstParagraph"/>
      </w:pPr>
      <w:r>
        <w:t xml:space="preserve">This is one of the most structurally complex and strategically interesting aspects of Lunar’s situation.</w:t>
      </w:r>
    </w:p>
    <w:p>
      <w:pPr>
        <w:pStyle w:val="BodyText"/>
      </w:pPr>
      <w:r>
        <w:rPr>
          <w:b/>
        </w:rPr>
        <w:t xml:space="preserve">What Happened in November/December 2025</w:t>
      </w:r>
    </w:p>
    <w:p>
      <w:pPr>
        <w:pStyle w:val="BodyText"/>
      </w:pPr>
      <w:r>
        <w:t xml:space="preserve">ITOCHU Corporation announced that it has reached an agreement regarding the participation of five new shareholders in its subsidiary GridShare Japan Corporation. The five participating companies are OMRON Social Solutions Co., Ltd., Kyushu Electric Power Co., Inc., Chubu Electric Power Miraiz Co., Inc., Tokyu Land Corporation, and Lunar Energy Inc. (U.S.). Together with these partners, ITOCHU aims to accelerate the expansion of GSJ’s distributed energy platform service.</w:t>
      </w:r>
    </w:p>
    <w:p>
      <w:pPr>
        <w:pStyle w:val="BodyText"/>
      </w:pPr>
      <w:r>
        <w:rPr>
          <w:b/>
        </w:rPr>
        <w:t xml:space="preserve">Key Structural Revelation</w:t>
      </w:r>
      <w:r>
        <w:t xml:space="preserve">: GridShare Japan Corporation (GSJ) is</w:t>
      </w:r>
      <w:r>
        <w:t xml:space="preserve"> </w:t>
      </w:r>
      <w:r>
        <w:rPr>
          <w:b/>
        </w:rPr>
        <w:t xml:space="preserve">ITOCHU’s subsidiary</w:t>
      </w:r>
      <w:r>
        <w:t xml:space="preserve">, not Lunar’s. ITOCHU established GSJ in 2018 when it acquired distribution rights to Gridshare in Japan.</w:t>
      </w:r>
      <w:r>
        <w:t xml:space="preserve"> </w:t>
      </w:r>
      <w:r>
        <w:t xml:space="preserve">In 2018, ITOCHU acquired the exclusive domestic sales rights in Japan for the</w:t>
      </w:r>
      <w:r>
        <w:t xml:space="preserve"> </w:t>
      </w:r>
      <w:r>
        <w:t xml:space="preserve">“</w:t>
      </w:r>
      <w:r>
        <w:t xml:space="preserve">gridshare</w:t>
      </w:r>
      <w:r>
        <w:t xml:space="preserve">”</w:t>
      </w:r>
      <w:r>
        <w:t xml:space="preserve"> </w:t>
      </w:r>
      <w:r>
        <w:t xml:space="preserve">service through its investment in Moixa Technology, Inc. (currently Lunar Energy Limited, hereinafter</w:t>
      </w:r>
      <w:r>
        <w:t xml:space="preserve"> </w:t>
      </w:r>
      <w:r>
        <w:t xml:space="preserve">“</w:t>
      </w:r>
      <w:r>
        <w:t xml:space="preserve">Lunar UK</w:t>
      </w:r>
      <w:r>
        <w:t xml:space="preserve">”</w:t>
      </w:r>
      <w:r>
        <w:t xml:space="preserve">).</w:t>
      </w:r>
    </w:p>
    <w:p>
      <w:pPr>
        <w:pStyle w:val="BodyText"/>
      </w:pPr>
      <w:r>
        <w:t xml:space="preserve">This means:</w:t>
      </w:r>
      <w:r>
        <w:t xml:space="preserve"> </w:t>
      </w:r>
      <w:r>
        <w:t xml:space="preserve">-</w:t>
      </w:r>
      <w:r>
        <w:t xml:space="preserve"> </w:t>
      </w:r>
      <w:r>
        <w:rPr>
          <w:b/>
        </w:rPr>
        <w:t xml:space="preserve">ITOCHU controls GSJ</w:t>
      </w:r>
      <w:r>
        <w:t xml:space="preserve"> </w:t>
      </w:r>
      <w:r>
        <w:t xml:space="preserve">(it’s their subsidiary)</w:t>
      </w:r>
      <w:r>
        <w:t xml:space="preserve"> </w:t>
      </w:r>
      <w:r>
        <w:t xml:space="preserve">-</w:t>
      </w:r>
      <w:r>
        <w:t xml:space="preserve"> </w:t>
      </w:r>
      <w:r>
        <w:rPr>
          <w:b/>
        </w:rPr>
        <w:t xml:space="preserve">Lunar UK</w:t>
      </w:r>
      <w:r>
        <w:t xml:space="preserve"> </w:t>
      </w:r>
      <w:r>
        <w:t xml:space="preserve">(the former Moixa entity) provides the technology that GSJ licenses and deploys</w:t>
      </w:r>
      <w:r>
        <w:t xml:space="preserve"> </w:t>
      </w:r>
      <w:r>
        <w:t xml:space="preserve">-</w:t>
      </w:r>
      <w:r>
        <w:t xml:space="preserve"> </w:t>
      </w:r>
      <w:r>
        <w:rPr>
          <w:b/>
        </w:rPr>
        <w:t xml:space="preserve">Lunar Energy Inc. (US)</w:t>
      </w:r>
      <w:r>
        <w:t xml:space="preserve"> </w:t>
      </w:r>
      <w:r>
        <w:t xml:space="preserve">has now taken a</w:t>
      </w:r>
      <w:r>
        <w:t xml:space="preserve"> </w:t>
      </w:r>
      <w:r>
        <w:rPr>
          <w:b/>
        </w:rPr>
        <w:t xml:space="preserve">corporate minority stake</w:t>
      </w:r>
      <w:r>
        <w:t xml:space="preserve"> </w:t>
      </w:r>
      <w:r>
        <w:t xml:space="preserve">in GSJ alongside four other new investors</w:t>
      </w:r>
      <w:r>
        <w:t xml:space="preserve"> </w:t>
      </w:r>
      <w:r>
        <w:t xml:space="preserve">- The new shareholders include major Japanese utilities and real estate (Kyushu Electric, Chubu Electric Miraiz, Tokyu Land) — strategic partners who will accelerate GSJ’s market reach</w:t>
      </w:r>
    </w:p>
    <w:p>
      <w:pPr>
        <w:pStyle w:val="BodyText"/>
      </w:pPr>
      <w:r>
        <w:rPr>
          <w:b/>
        </w:rPr>
        <w:t xml:space="preserve">Strategic Logic</w:t>
      </w:r>
    </w:p>
    <w:p>
      <w:pPr>
        <w:pStyle w:val="BodyText"/>
      </w:pPr>
      <w:r>
        <w:t xml:space="preserve">This structure is fascinating. By inviting Japanese utilities directly into GSJ’s ownership, ITOCHU is creating a vertically aligned consortium: the software provider (Lunar UK), the commercial integrator (ITOCHU/GSJ), and the end market customers (Kyushu, Chubu, TEPCO via existing contracts) are all aligned. Lunar’s minority stake in GSJ gives them financial upside from Japan’s scale without needing to operate it directly.</w:t>
      </w:r>
    </w:p>
    <w:p>
      <w:pPr>
        <w:pStyle w:val="BodyText"/>
      </w:pPr>
      <w:r>
        <w:t xml:space="preserve">Starting in 2026, residential distributed energy resources will be eligible to participate in Japan’s transmission-level capacity market and balancing markets.</w:t>
      </w:r>
      <w:r>
        <w:t xml:space="preserve"> </w:t>
      </w:r>
      <w:r>
        <w:t xml:space="preserve">Japan’s regulatory shift in 2026 opens commercial VPP revenue streams that haven’t existed before — making this the right moment to bring utility shareholders into GSJ who can facilitate market access.</w:t>
      </w:r>
    </w:p>
    <w:p>
      <w:pPr>
        <w:pStyle w:val="BodyText"/>
      </w:pPr>
      <w:r>
        <w:rPr>
          <w:b/>
        </w:rPr>
        <w:t xml:space="preserve">What This Signals About Lunar’s Strategy</w:t>
      </w:r>
    </w:p>
    <w:p>
      <w:pPr>
        <w:pStyle w:val="BodyText"/>
      </w:pPr>
      <w:r>
        <w:t xml:space="preserve">This is not a divestiture — Lunar is deepening its Japan commitment while sharing operational control. The structure allows Lunar to monetize Japan operations (technology licensing fees from GSJ, plus equity upside) without the management burden of operating a Japanese subsidiary. It’s a sophisticated capital-light model for international expansion.</w:t>
      </w:r>
    </w:p>
    <w:p>
      <w:r>
        <w:pict>
          <v:rect style="width:0;height:1.5pt" o:hralign="center" o:hrstd="t" o:hr="t"/>
        </w:pict>
      </w:r>
    </w:p>
    <w:p>
      <w:pPr>
        <w:pStyle w:val="Heading2"/>
      </w:pPr>
      <w:bookmarkStart w:id="31" w:name="section-3-patent-portfolio-analysis"/>
      <w:r>
        <w:t xml:space="preserve">SECTION 3: PATENT PORTFOLIO ANALYSIS</w:t>
      </w:r>
      <w:bookmarkEnd w:id="31"/>
    </w:p>
    <w:p>
      <w:pPr>
        <w:pStyle w:val="Heading3"/>
      </w:pPr>
      <w:bookmarkStart w:id="32" w:name="a-patent-mapping"/>
      <w:r>
        <w:t xml:space="preserve">A) Patent Mapping</w:t>
      </w:r>
      <w:bookmarkEnd w:id="32"/>
    </w:p>
    <w:p>
      <w:pPr>
        <w:pStyle w:val="FirstParagraph"/>
      </w:pPr>
      <w:r>
        <w:t xml:space="preserve">Lunar Energy has filed 58 patents.</w:t>
      </w:r>
      <w:r>
        <w:t xml:space="preserve"> </w:t>
      </w:r>
      <w:r>
        <w:t xml:space="preserve">This portfolio originates from two sources: Moixa’s historical IP (including their 2008 and 2012-vintage patents) and Lunar’s own filings since 2020.</w:t>
      </w:r>
    </w:p>
    <w:p>
      <w:pPr>
        <w:pStyle w:val="BodyText"/>
      </w:pPr>
      <w:r>
        <w:rPr>
          <w:b/>
        </w:rPr>
        <w:t xml:space="preserve">Moixa-Originated Patents (Confirmed)</w:t>
      </w:r>
    </w:p>
    <w:p>
      <w:pPr>
        <w:pStyle w:val="BodyText"/>
      </w:pPr>
      <w:r>
        <w:t xml:space="preserve">Moixa’s key patents include US10447042 and AU2017279784, relating to managing clusters of batteries on a distribution power network as a collective resource to provide grid storage services. They join additional</w:t>
      </w:r>
      <w:r>
        <w:t xml:space="preserve"> </w:t>
      </w:r>
      <w:r>
        <w:t xml:space="preserve">‘</w:t>
      </w:r>
      <w:r>
        <w:t xml:space="preserve">battery aggregation</w:t>
      </w:r>
      <w:r>
        <w:t xml:space="preserve">’</w:t>
      </w:r>
      <w:r>
        <w:t xml:space="preserve"> </w:t>
      </w:r>
      <w:r>
        <w:t xml:space="preserve">patent grants in the US, UK and European Union, together with patents arising from 2008 Smart Home technologies, which are now cited by nearly 200 international companies.</w:t>
      </w:r>
    </w:p>
    <w:p>
      <w:pPr>
        <w:pStyle w:val="BodyText"/>
      </w:pPr>
      <w:r>
        <w:t xml:space="preserve">The 2008 smart home patent family is potentially the most valuable: a patent with 200+ citing companies is either:</w:t>
      </w:r>
      <w:r>
        <w:t xml:space="preserve"> </w:t>
      </w:r>
      <w:r>
        <w:t xml:space="preserve">1. A genuinely foundational innovation that competitors cannot design around, OR</w:t>
      </w:r>
      <w:r>
        <w:t xml:space="preserve"> </w:t>
      </w:r>
      <w:r>
        <w:t xml:space="preserve">2. A broad prior art reference that subsequent innovators have acknowledged</w:t>
      </w:r>
    </w:p>
    <w:p>
      <w:pPr>
        <w:pStyle w:val="BodyText"/>
      </w:pPr>
      <w:r>
        <w:t xml:space="preserve">The citation count alone suggests commercial relevance.</w:t>
      </w:r>
    </w:p>
    <w:p>
      <w:pPr>
        <w:pStyle w:val="BodyText"/>
      </w:pPr>
      <w:r>
        <w:rPr>
          <w:b/>
        </w:rPr>
        <w:t xml:space="preserve">Lunar’s Own Hardware Patents</w:t>
      </w:r>
    </w:p>
    <w:p>
      <w:pPr>
        <w:pStyle w:val="BodyText"/>
      </w:pPr>
      <w:r>
        <w:t xml:space="preserve">Based on Lunar’s hardware product line, probable patent domains include:</w:t>
      </w:r>
      <w:r>
        <w:t xml:space="preserve"> </w:t>
      </w:r>
      <w:r>
        <w:t xml:space="preserve">- DC-coupled solar-battery inverter architecture</w:t>
      </w:r>
      <w:r>
        <w:t xml:space="preserve"> </w:t>
      </w:r>
      <w:r>
        <w:t xml:space="preserve">- Modular battery stacking and thermal management</w:t>
      </w:r>
      <w:r>
        <w:t xml:space="preserve"> </w:t>
      </w:r>
      <w:r>
        <w:t xml:space="preserve">- Smart panel / load management integration (Bridge)</w:t>
      </w:r>
      <w:r>
        <w:t xml:space="preserve"> </w:t>
      </w:r>
      <w:r>
        <w:t xml:space="preserve">- Panel-level power optimizer design (Maximizer)</w:t>
      </w:r>
      <w:r>
        <w:t xml:space="preserve"> </w:t>
      </w:r>
      <w:r>
        <w:t xml:space="preserve">- Battery management system algorithms</w:t>
      </w:r>
    </w:p>
    <w:p>
      <w:pPr>
        <w:pStyle w:val="BodyText"/>
      </w:pPr>
      <w:r>
        <w:rPr>
          <w:b/>
        </w:rPr>
        <w:t xml:space="preserve">Trademark Evidence</w:t>
      </w:r>
    </w:p>
    <w:p>
      <w:pPr>
        <w:pStyle w:val="BodyText"/>
      </w:pPr>
      <w:r>
        <w:t xml:space="preserve">Lunar’s LUNAR trademark covers residential energy storage systems consisting of batteries, an integrated inverter, and a home energy gateway; solar batteries; downloadable computer software for use in connection with solar batteries; downloadable computer software for the purpose of aggregating and dispatching assets for energy grid services.</w:t>
      </w:r>
      <w:r>
        <w:t xml:space="preserve"> </w:t>
      </w:r>
      <w:r>
        <w:t xml:space="preserve">The trademark scope suggests Lunar views the software-hardware integration as a unified branded product.</w:t>
      </w:r>
    </w:p>
    <w:p>
      <w:pPr>
        <w:pStyle w:val="BodyText"/>
      </w:pPr>
      <w:r>
        <w:rPr>
          <w:b/>
        </w:rPr>
        <w:t xml:space="preserve">Simon Daniel’s Historical Patent Activity</w:t>
      </w:r>
    </w:p>
    <w:p>
      <w:pPr>
        <w:pStyle w:val="BodyText"/>
      </w:pPr>
      <w:r>
        <w:t xml:space="preserve">Moixa developed various innovations, patents and energy technologies, pioneering home electrification.</w:t>
      </w:r>
      <w:r>
        <w:t xml:space="preserve"> </w:t>
      </w:r>
      <w:r>
        <w:t xml:space="preserve">Daniel has explicitly mentioned patents from 2008 and 2012 in interviews, spanning DC microgrid technology and battery aggregation algorithms. The multi-jurisdictional coverage (US, UK, EU, Australia) suggests deliberate international prosecution strategy.</w:t>
      </w:r>
    </w:p>
    <w:p>
      <w:pPr>
        <w:pStyle w:val="Heading3"/>
      </w:pPr>
      <w:bookmarkStart w:id="33" w:name="b-defensive-and-offensive-value"/>
      <w:r>
        <w:t xml:space="preserve">B) Defensive and Offensive Value</w:t>
      </w:r>
      <w:bookmarkEnd w:id="33"/>
    </w:p>
    <w:p>
      <w:pPr>
        <w:pStyle w:val="FirstParagraph"/>
      </w:pPr>
      <w:r>
        <w:rPr>
          <w:b/>
        </w:rPr>
        <w:t xml:space="preserve">Defensive Value: Moderate-to-High</w:t>
      </w:r>
    </w:p>
    <w:p>
      <w:pPr>
        <w:pStyle w:val="BodyText"/>
      </w:pPr>
      <w:r>
        <w:t xml:space="preserve">The battery aggregation patents (priority from 2012) cover the core technical approach of using residential batteries as grid resources. Any competitor building a residential VPP platform will need to operate in this technical space. Whether the claims are broad enough to matter depends on claim scope.</w:t>
      </w:r>
    </w:p>
    <w:p>
      <w:pPr>
        <w:pStyle w:val="BodyText"/>
      </w:pPr>
      <w:r>
        <w:t xml:space="preserve">The 2008 smart home patents, with their 200+ citations, likely serve more as prior art that narrows others’ ability to claim broad foundational IP — but they may also contain specific method claims relevant to today’s products.</w:t>
      </w:r>
    </w:p>
    <w:p>
      <w:pPr>
        <w:pStyle w:val="BodyText"/>
      </w:pPr>
      <w:r>
        <w:rPr>
          <w:b/>
        </w:rPr>
        <w:t xml:space="preserve">Offensive Value: Unknown</w:t>
      </w:r>
    </w:p>
    <w:p>
      <w:pPr>
        <w:pStyle w:val="BodyText"/>
      </w:pPr>
      <w:r>
        <w:t xml:space="preserve">No public evidence of Lunar asserting patents offensively or engaging in patent litigation. Given the company’s growth stage, this is not surprising — litigation is expensive and distracting.</w:t>
      </w:r>
    </w:p>
    <w:p>
      <w:pPr>
        <w:pStyle w:val="BodyText"/>
      </w:pPr>
      <w:r>
        <w:rPr>
          <w:b/>
        </w:rPr>
        <w:t xml:space="preserve">Comparison to Tesla Energy / Enphase</w:t>
      </w:r>
    </w:p>
    <w:p>
      <w:pPr>
        <w:pStyle w:val="BodyText"/>
      </w:pPr>
      <w:r>
        <w:t xml:space="preserve">Tesla has filed thousands of energy storage and software patents. Enphase has hundreds focused on microinverter architecture, monitoring, and energy management. Lunar’s 58 patents is a modest portfolio relative to these companies but is proportionate to a younger company. The Moixa-contributed IP is the most strategically valuable given its age (prior art status) and citation history.</w:t>
      </w:r>
    </w:p>
    <w:p>
      <w:pPr>
        <w:pStyle w:val="Heading3"/>
      </w:pPr>
      <w:bookmarkStart w:id="34" w:name="c-ip-gaps"/>
      <w:r>
        <w:t xml:space="preserve">C) IP Gaps</w:t>
      </w:r>
      <w:bookmarkEnd w:id="34"/>
    </w:p>
    <w:p>
      <w:pPr>
        <w:pStyle w:val="FirstParagraph"/>
      </w:pPr>
      <w:r>
        <w:t xml:space="preserve">Notable potential gaps:</w:t>
      </w:r>
      <w:r>
        <w:t xml:space="preserve"> </w:t>
      </w:r>
      <w:r>
        <w:t xml:space="preserve">-</w:t>
      </w:r>
      <w:r>
        <w:t xml:space="preserve"> </w:t>
      </w:r>
      <w:r>
        <w:rPr>
          <w:b/>
        </w:rPr>
        <w:t xml:space="preserve">V2G/V2H protocols</w:t>
      </w:r>
      <w:r>
        <w:t xml:space="preserve">: As EVs become grid resources, bidirectional EV charging management will be critical. No confirmed Lunar V2G patents</w:t>
      </w:r>
      <w:r>
        <w:t xml:space="preserve"> </w:t>
      </w:r>
      <w:r>
        <w:t xml:space="preserve">-</w:t>
      </w:r>
      <w:r>
        <w:t xml:space="preserve"> </w:t>
      </w:r>
      <w:r>
        <w:rPr>
          <w:b/>
        </w:rPr>
        <w:t xml:space="preserve">Commercial/industrial DERMS</w:t>
      </w:r>
      <w:r>
        <w:t xml:space="preserve">: If Lunar moves into C&amp;I markets, different IP is needed</w:t>
      </w:r>
      <w:r>
        <w:t xml:space="preserve"> </w:t>
      </w:r>
      <w:r>
        <w:t xml:space="preserve">-</w:t>
      </w:r>
      <w:r>
        <w:t xml:space="preserve"> </w:t>
      </w:r>
      <w:r>
        <w:rPr>
          <w:b/>
        </w:rPr>
        <w:t xml:space="preserve">Frequency regulation algorithms</w:t>
      </w:r>
      <w:r>
        <w:t xml:space="preserve">: Residential batteries are not typically used for frequency regulation, but if response times improve, this could matter</w:t>
      </w:r>
      <w:r>
        <w:t xml:space="preserve"> </w:t>
      </w:r>
      <w:r>
        <w:t xml:space="preserve">-</w:t>
      </w:r>
      <w:r>
        <w:t xml:space="preserve"> </w:t>
      </w:r>
      <w:r>
        <w:rPr>
          <w:b/>
        </w:rPr>
        <w:t xml:space="preserve">Tariff optimization for complex rate structures</w:t>
      </w:r>
      <w:r>
        <w:t xml:space="preserve">: The claim of handling 288 California rate structures implies sophisticated tariff modeling — patentability of specific optimization methods would be valuable</w:t>
      </w:r>
    </w:p>
    <w:p>
      <w:r>
        <w:pict>
          <v:rect style="width:0;height:1.5pt" o:hralign="center" o:hrstd="t" o:hr="t"/>
        </w:pict>
      </w:r>
    </w:p>
    <w:p>
      <w:pPr>
        <w:pStyle w:val="Heading2"/>
      </w:pPr>
      <w:bookmarkStart w:id="35" w:name="section-4-hardware-technology-assessment"/>
      <w:r>
        <w:t xml:space="preserve">SECTION 4: HARDWARE TECHNOLOGY ASSESSMENT</w:t>
      </w:r>
      <w:bookmarkEnd w:id="35"/>
    </w:p>
    <w:p>
      <w:pPr>
        <w:pStyle w:val="Heading3"/>
      </w:pPr>
      <w:bookmarkStart w:id="36" w:name="a-dc-architecture-what-it-actually-means"/>
      <w:r>
        <w:t xml:space="preserve">A) DC Architecture — What It Actually Means</w:t>
      </w:r>
      <w:bookmarkEnd w:id="36"/>
    </w:p>
    <w:p>
      <w:pPr>
        <w:pStyle w:val="FirstParagraph"/>
      </w:pPr>
      <w:r>
        <w:rPr>
          <w:b/>
        </w:rPr>
        <w:t xml:space="preserve">Technical Definition</w:t>
      </w:r>
    </w:p>
    <w:p>
      <w:pPr>
        <w:pStyle w:val="BodyText"/>
      </w:pPr>
      <w:r>
        <w:t xml:space="preserve">Lunar’s DC architecture refers to a design where solar panels, the battery, and the inverter share a common DC bus. Solar energy flows from panels → through DC optimizers (Maximizers) → to the DC bus → directly into the battery in DC form. Only when energy is needed for home use or export is a single DC-to-AC inversion step performed.</w:t>
      </w:r>
    </w:p>
    <w:p>
      <w:pPr>
        <w:pStyle w:val="BodyText"/>
      </w:pPr>
      <w:r>
        <w:rPr>
          <w:b/>
        </w:rPr>
        <w:t xml:space="preserve">Why This Matters</w:t>
      </w:r>
    </w:p>
    <w:p>
      <w:pPr>
        <w:pStyle w:val="BodyText"/>
      </w:pPr>
      <w:r>
        <w:t xml:space="preserve">In an AC-coupled system (Enphase’s architecture), each solar panel has its own microinverter converting DC to AC at the panel. When this AC energy charges a battery, it must be converted back to DC and then back to AC again when discharged — three conversion steps, each with losses.</w:t>
      </w:r>
    </w:p>
    <w:p>
      <w:pPr>
        <w:pStyle w:val="BodyText"/>
      </w:pPr>
      <w:r>
        <w:t xml:space="preserve">By enabling a direct DC-to-DC transfer from the solar panels to the battery, the DC-coupled Powerwall 3 avoids an entire conversion cycle that is necessary in an AC-coupled system. This results in a tangible efficiency gain; Tesla’s direct solar-to-grid efficiency is rated at 97.5%, whereas Enphase’s AC round-trip efficiency is 90%.</w:t>
      </w:r>
    </w:p>
    <w:p>
      <w:pPr>
        <w:pStyle w:val="BodyText"/>
      </w:pPr>
      <w:r>
        <w:t xml:space="preserve">Lunar’s architecture is similar in principle to Tesla Powerwall 3 (also DC-coupled with integrated inverter), though Lunar uses separate-but-integrated optimizer + inverter + battery rather than Tesla’s fully monolithic approach.</w:t>
      </w:r>
    </w:p>
    <w:p>
      <w:pPr>
        <w:pStyle w:val="BodyText"/>
      </w:pPr>
      <w:r>
        <w:rPr>
          <w:b/>
        </w:rPr>
        <w:t xml:space="preserve">Is DC Coupling a Genuine Differentiator?</w:t>
      </w:r>
    </w:p>
    <w:p>
      <w:pPr>
        <w:pStyle w:val="BodyText"/>
      </w:pPr>
      <w:r>
        <w:t xml:space="preserve">Both Tesla Powerwall 3 and Lunar Energy use DC-coupled architectures. The efficiency advantage over Enphase (AC-coupled) is real — approximately 5–7 percentage points of round-trip efficiency. However, DC coupling’s limitation is that it requires a</w:t>
      </w:r>
      <w:r>
        <w:t xml:space="preserve"> </w:t>
      </w:r>
      <w:r>
        <w:rPr>
          <w:i/>
        </w:rPr>
        <w:t xml:space="preserve">new</w:t>
      </w:r>
      <w:r>
        <w:t xml:space="preserve"> </w:t>
      </w:r>
      <w:r>
        <w:t xml:space="preserve">system design; retrofitting existing AC-coupled solar with DC-coupled storage is more complex than adding an AC-coupled battery. Lunar is thus advantaged for</w:t>
      </w:r>
      <w:r>
        <w:t xml:space="preserve"> </w:t>
      </w:r>
      <w:r>
        <w:rPr>
          <w:i/>
        </w:rPr>
        <w:t xml:space="preserve">new installations</w:t>
      </w:r>
      <w:r>
        <w:t xml:space="preserve"> </w:t>
      </w:r>
      <w:r>
        <w:t xml:space="preserve">but at a relative disadvantage for retrofits.</w:t>
      </w:r>
    </w:p>
    <w:p>
      <w:pPr>
        <w:pStyle w:val="BodyText"/>
      </w:pPr>
      <w:r>
        <w:t xml:space="preserve">For a new system, integrating the inverter and battery into a single unit reduces the number of components mounted on the wall and can simplify the installation process. Tesla’s DC-coupled architecture achieves superior energy efficiency by minimizing power conversions, a tangible long-term financial benefit.</w:t>
      </w:r>
      <w:r>
        <w:t xml:space="preserve"> </w:t>
      </w:r>
      <w:r>
        <w:t xml:space="preserve">Lunar makes similar efficiency claims.</w:t>
      </w:r>
    </w:p>
    <w:p>
      <w:pPr>
        <w:pStyle w:val="Heading3"/>
      </w:pPr>
      <w:bookmarkStart w:id="37" w:name="b-integrated-system-design"/>
      <w:r>
        <w:t xml:space="preserve">B) Integrated System Design</w:t>
      </w:r>
      <w:bookmarkEnd w:id="37"/>
    </w:p>
    <w:p>
      <w:pPr>
        <w:pStyle w:val="FirstParagraph"/>
      </w:pPr>
      <w:r>
        <w:rPr>
          <w:b/>
        </w:rPr>
        <w:t xml:space="preserve">The Bridge Smart Panel</w:t>
      </w:r>
    </w:p>
    <w:p>
      <w:pPr>
        <w:pStyle w:val="BodyText"/>
      </w:pPr>
      <w:r>
        <w:t xml:space="preserve">The Lunar Bridge connects your home to the grid and acts as your smart panel. When an outage hits, you stay in control and prioritize power to your most important loads, right from the app. The Bridge keeps the power flowing.</w:t>
      </w:r>
    </w:p>
    <w:p>
      <w:pPr>
        <w:pStyle w:val="BodyText"/>
      </w:pPr>
      <w:r>
        <w:t xml:space="preserve">Its digitally controllable circuit breakers mean that homeowners can use a smartphone app to control which household circuits solar and battery power flow to; this can be useful for emergency backup or to save on utility bills on a daily basis.</w:t>
      </w:r>
    </w:p>
    <w:p>
      <w:pPr>
        <w:pStyle w:val="BodyText"/>
      </w:pPr>
      <w:r>
        <w:t xml:space="preserve">The Bridge integrates with Eaton’s AbleEdge smart breakers:</w:t>
      </w:r>
      <w:r>
        <w:t xml:space="preserve"> </w:t>
      </w:r>
      <w:r>
        <w:t xml:space="preserve">Eaton’s AbleEdge smart breakers will add load management functionality to the Lunar System in new construction and retrofit projects. The Eaton smart breakers can be added to the Lunar Bridge, any Eaton BR loadcenter or meter breaker.</w:t>
      </w:r>
    </w:p>
    <w:p>
      <w:pPr>
        <w:pStyle w:val="BodyText"/>
      </w:pPr>
      <w:r>
        <w:rPr>
          <w:b/>
        </w:rPr>
        <w:t xml:space="preserve">Comparison to Span.io</w:t>
      </w:r>
      <w:r>
        <w:t xml:space="preserve">: The Span smart panel does similar load management with circuit-level control. The difference is that Span is a</w:t>
      </w:r>
      <w:r>
        <w:t xml:space="preserve"> </w:t>
      </w:r>
      <w:r>
        <w:rPr>
          <w:i/>
        </w:rPr>
        <w:t xml:space="preserve">standalone</w:t>
      </w:r>
      <w:r>
        <w:t xml:space="preserve"> </w:t>
      </w:r>
      <w:r>
        <w:t xml:space="preserve">smart panel that integrates with other batteries, while the Lunar Bridge is native to the Lunar system. The Eaton AbleEdge partnership gives Lunar similar circuit-level intelligence without the cost and complexity of designing a fully proprietary smart panel from scratch.</w:t>
      </w:r>
    </w:p>
    <w:p>
      <w:pPr>
        <w:pStyle w:val="BodyText"/>
      </w:pPr>
      <w:r>
        <w:rPr>
          <w:b/>
        </w:rPr>
        <w:t xml:space="preserve">The Maximizer Solar Optimizer</w:t>
      </w:r>
    </w:p>
    <w:p>
      <w:pPr>
        <w:pStyle w:val="BodyText"/>
      </w:pPr>
      <w:r>
        <w:t xml:space="preserve">On the roof, beneath each solar panel, Lunar Maximizers do what their name suggests: maximize power output. These compact devices generate 2–10% more energy than conventional inverters. That means more power from the same sunshine.</w:t>
      </w:r>
    </w:p>
    <w:p>
      <w:pPr>
        <w:pStyle w:val="BodyText"/>
      </w:pPr>
      <w:r>
        <w:t xml:space="preserve">The Maximizer is a DC-DC power optimizer — similar in function to SolarEdge optimizers (which also perform panel-level MPPT). SolarEdge’s S-Series optimizers achieve</w:t>
      </w:r>
      <w:r>
        <w:t xml:space="preserve"> </w:t>
      </w:r>
      <w:r>
        <w:t xml:space="preserve">99.5% efficiency.</w:t>
      </w:r>
      <w:r>
        <w:t xml:space="preserve"> </w:t>
      </w:r>
      <w:r>
        <w:t xml:space="preserve">Lunar’s claimed 2–10% improvement over</w:t>
      </w:r>
      <w:r>
        <w:t xml:space="preserve"> </w:t>
      </w:r>
      <w:r>
        <w:t xml:space="preserve">“</w:t>
      </w:r>
      <w:r>
        <w:t xml:space="preserve">conventional inverters</w:t>
      </w:r>
      <w:r>
        <w:t xml:space="preserve">”</w:t>
      </w:r>
      <w:r>
        <w:t xml:space="preserve"> </w:t>
      </w:r>
      <w:r>
        <w:t xml:space="preserve">is plausible for unoptimized string installations but modest compared to SolarEdge or Enphase in already-optimized systems. The Maximizer’s primary role in Lunar’s system is to enable individual panel optimization within the DC-coupled architecture, allowing flexible panel orientations and partial shading mitigation while maintaining the DC bus.</w:t>
      </w:r>
    </w:p>
    <w:p>
      <w:pPr>
        <w:pStyle w:val="BodyText"/>
      </w:pPr>
      <w:r>
        <w:rPr>
          <w:b/>
        </w:rPr>
        <w:t xml:space="preserve">The Battery and Inverter Stack</w:t>
      </w:r>
    </w:p>
    <w:p>
      <w:pPr>
        <w:pStyle w:val="BodyText"/>
      </w:pPr>
      <w:r>
        <w:t xml:space="preserve">The Lunar Battery and inverter stack vertically in a single elegant tower. You can choose 10, 15, 20, or 30kWh based on what fits your needs and your wall space.</w:t>
      </w:r>
      <w:r>
        <w:t xml:space="preserve"> </w:t>
      </w:r>
      <w:r>
        <w:t xml:space="preserve">The 5kWh modular approach (</w:t>
      </w:r>
      <w:r>
        <w:t xml:space="preserve"> </w:t>
      </w:r>
      <w:r>
        <w:t xml:space="preserve">5 kilowatt-hour modules between 15 kilowatt-hours and 30 kilowatt-hours</w:t>
      </w:r>
      <w:r>
        <w:t xml:space="preserve"> </w:t>
      </w:r>
      <w:r>
        <w:t xml:space="preserve">) competes with Tesla’s fixed 13.5kWh Powerwall and Enphase’s modular 5P batteries.</w:t>
      </w:r>
    </w:p>
    <w:p>
      <w:pPr>
        <w:pStyle w:val="BodyText"/>
      </w:pPr>
      <w:r>
        <w:t xml:space="preserve">By installing 25-kilowatt-hour battery systems in homes — roughly double the capacity of Tesla’s Powerwall — and networking them through cloud-based software, the company creates flexible capacity that can be deployed precisely when and where it’s needed.</w:t>
      </w:r>
      <w:r>
        <w:t xml:space="preserve"> </w:t>
      </w:r>
      <w:r>
        <w:t xml:space="preserve">The larger capacity (up to 30kWh vs Powerwall’s 13.5kWh) is a genuine differentiation point, especially as home electrification increases load requirements.</w:t>
      </w:r>
    </w:p>
    <w:p>
      <w:pPr>
        <w:pStyle w:val="BodyText"/>
      </w:pPr>
      <w:r>
        <w:rPr>
          <w:b/>
        </w:rPr>
        <w:t xml:space="preserve">Warranty</w:t>
      </w:r>
    </w:p>
    <w:p>
      <w:pPr>
        <w:pStyle w:val="BodyText"/>
      </w:pPr>
      <w:r>
        <w:t xml:space="preserve">The 12.5-year warranty is competitive with Tesla (10 years) and Enphase (up to 15 years).</w:t>
      </w:r>
    </w:p>
    <w:p>
      <w:pPr>
        <w:pStyle w:val="BodyText"/>
      </w:pPr>
      <w:r>
        <w:rPr>
          <w:b/>
        </w:rPr>
        <w:t xml:space="preserve">Manufacturing</w:t>
      </w:r>
    </w:p>
    <w:p>
      <w:pPr>
        <w:pStyle w:val="BodyText"/>
      </w:pPr>
      <w:r>
        <w:t xml:space="preserve">The Lunar System is designed in California and assembled in Georgia and Washington — bolstering America’s leadership in the energy transition and maintaining eligibility for clean energy investment tax credits.</w:t>
      </w:r>
      <w:r>
        <w:t xml:space="preserve"> </w:t>
      </w:r>
      <w:r>
        <w:t xml:space="preserve">This domestic assembly is strategically important for ITC eligibility and FEOC compliance.</w:t>
      </w:r>
    </w:p>
    <w:p>
      <w:r>
        <w:pict>
          <v:rect style="width:0;height:1.5pt" o:hralign="center" o:hrstd="t" o:hr="t"/>
        </w:pict>
      </w:r>
    </w:p>
    <w:p>
      <w:pPr>
        <w:pStyle w:val="Heading2"/>
      </w:pPr>
      <w:bookmarkStart w:id="38" w:name="section-5-data-assets-network-effects"/>
      <w:r>
        <w:t xml:space="preserve">SECTION 5: DATA ASSETS &amp; NETWORK EFFECTS</w:t>
      </w:r>
      <w:bookmarkEnd w:id="38"/>
    </w:p>
    <w:p>
      <w:pPr>
        <w:pStyle w:val="Heading3"/>
      </w:pPr>
      <w:bookmarkStart w:id="39" w:name="the-scale-claim"/>
      <w:r>
        <w:t xml:space="preserve">The Scale Claim</w:t>
      </w:r>
      <w:bookmarkEnd w:id="39"/>
    </w:p>
    <w:p>
      <w:pPr>
        <w:pStyle w:val="FirstParagraph"/>
      </w:pPr>
      <w:r>
        <w:t xml:space="preserve">With thousands of systems deployed and 650 MW of devices under management across multiple continents, Lunar is proving integrated hardware and software delivers value at scale.</w:t>
      </w:r>
    </w:p>
    <w:p>
      <w:pPr>
        <w:pStyle w:val="BodyText"/>
      </w:pPr>
      <w:r>
        <w:t xml:space="preserve">The 650MW figure is a</w:t>
      </w:r>
      <w:r>
        <w:t xml:space="preserve"> </w:t>
      </w:r>
      <w:r>
        <w:rPr>
          <w:i/>
        </w:rPr>
        <w:t xml:space="preserve">managed capacity</w:t>
      </w:r>
      <w:r>
        <w:t xml:space="preserve"> </w:t>
      </w:r>
      <w:r>
        <w:t xml:space="preserve">claim (devices on Gridshare platform), not Lunar’s own hardware.</w:t>
      </w:r>
      <w:r>
        <w:t xml:space="preserve"> </w:t>
      </w:r>
      <w:r>
        <w:t xml:space="preserve">Today, Gridshare manages more than 73,000 home batteries across three continents, and it operates thousands of batteries across a dozen VPPs for Sunrun in the US.</w:t>
      </w:r>
    </w:p>
    <w:p>
      <w:pPr>
        <w:pStyle w:val="Heading3"/>
      </w:pPr>
      <w:bookmarkStart w:id="40" w:name="the-40-billion-data-pointsmonth"/>
      <w:r>
        <w:t xml:space="preserve">The 40 Billion Data Points/Month</w:t>
      </w:r>
      <w:bookmarkEnd w:id="40"/>
    </w:p>
    <w:p>
      <w:pPr>
        <w:pStyle w:val="FirstParagraph"/>
      </w:pPr>
      <w:r>
        <w:t xml:space="preserve">Lunar’s approach is based on its history with behind-the-meter energy management programs in Japan, where it receives 40 billion data points every month.</w:t>
      </w:r>
      <w:r>
        <w:t xml:space="preserve"> </w:t>
      </w:r>
      <w:r>
        <w:t xml:space="preserve">“</w:t>
      </w:r>
      <w:r>
        <w:t xml:space="preserve">We had to build a system that could digest a huge amount of data from every single home and then create machine learning predictions of every home’s consumption and solar generation.</w:t>
      </w:r>
      <w:r>
        <w:t xml:space="preserve">”</w:t>
      </w:r>
    </w:p>
    <w:p>
      <w:pPr>
        <w:pStyle w:val="BodyText"/>
      </w:pPr>
      <w:r>
        <w:t xml:space="preserve">At 40 billion data points/month from Japan’s ~35,000–40,000 devices, this implies approximately 1,143 data points per device per day — or roughly one data point every 75 seconds per device. This telemetry density enables high-fidelity per-home forecasting.</w:t>
      </w:r>
    </w:p>
    <w:p>
      <w:pPr>
        <w:pStyle w:val="BodyText"/>
      </w:pPr>
      <w:r>
        <w:rPr>
          <w:b/>
        </w:rPr>
        <w:t xml:space="preserve">What Data Is Being Collected</w:t>
      </w:r>
    </w:p>
    <w:p>
      <w:pPr>
        <w:pStyle w:val="BodyText"/>
      </w:pPr>
      <w:r>
        <w:t xml:space="preserve">Confirmed data streams based on described functionality:</w:t>
      </w:r>
      <w:r>
        <w:t xml:space="preserve"> </w:t>
      </w:r>
      <w:r>
        <w:t xml:space="preserve">- Energy production (solar panel output per panel via Maximizer)</w:t>
      </w:r>
      <w:r>
        <w:t xml:space="preserve"> </w:t>
      </w:r>
      <w:r>
        <w:t xml:space="preserve">- Energy consumption (household load in real time)</w:t>
      </w:r>
      <w:r>
        <w:t xml:space="preserve"> </w:t>
      </w:r>
      <w:r>
        <w:t xml:space="preserve">- Battery state of charge (continuous)</w:t>
      </w:r>
      <w:r>
        <w:t xml:space="preserve"> </w:t>
      </w:r>
      <w:r>
        <w:t xml:space="preserve">- Grid conditions (real-time pricing, TOU tariff schedules)</w:t>
      </w:r>
      <w:r>
        <w:t xml:space="preserve"> </w:t>
      </w:r>
      <w:r>
        <w:t xml:space="preserve">- Weather data (integrated from NWS and JMA)</w:t>
      </w:r>
      <w:r>
        <w:t xml:space="preserve"> </w:t>
      </w:r>
      <w:r>
        <w:t xml:space="preserve">- Device efficiency curves (for dispatch optimization)</w:t>
      </w:r>
      <w:r>
        <w:t xml:space="preserve"> </w:t>
      </w:r>
      <w:r>
        <w:t xml:space="preserve">- Outage alerts (from grid operators)</w:t>
      </w:r>
      <w:r>
        <w:t xml:space="preserve"> </w:t>
      </w:r>
      <w:r>
        <w:t xml:space="preserve">- Behavioral patterns (home occupancy proxies via consumption patterns)</w:t>
      </w:r>
    </w:p>
    <w:p>
      <w:pPr>
        <w:pStyle w:val="BodyText"/>
      </w:pPr>
      <w:r>
        <w:rPr>
          <w:b/>
        </w:rPr>
        <w:t xml:space="preserve">The Data Moat Question</w:t>
      </w:r>
    </w:p>
    <w:p>
      <w:pPr>
        <w:pStyle w:val="BodyText"/>
      </w:pPr>
      <w:r>
        <w:t xml:space="preserve">The network effect argument: more devices → more training data → better forecasts → more VPP revenue → more customers/partners → more devices. This is structurally real but the</w:t>
      </w:r>
      <w:r>
        <w:t xml:space="preserve"> </w:t>
      </w:r>
      <w:r>
        <w:rPr>
          <w:i/>
        </w:rPr>
        <w:t xml:space="preserve">steepness</w:t>
      </w:r>
      <w:r>
        <w:t xml:space="preserve"> </w:t>
      </w:r>
      <w:r>
        <w:t xml:space="preserve">of the advantage is debatable.</w:t>
      </w:r>
    </w:p>
    <w:p>
      <w:pPr>
        <w:pStyle w:val="BodyText"/>
      </w:pPr>
      <w:r>
        <w:t xml:space="preserve">In 2021, Lunar bought Moixa, a company with a decade of machine learning expertise in distributed energy optimization. That acquisition brought us 150 million hours of real-world optimization data — the kind of experience you can’t replicate overnight.</w:t>
      </w:r>
      <w:r>
        <w:t xml:space="preserve"> </w:t>
      </w:r>
      <w:r>
        <w:t xml:space="preserve">The 150M hours is the historical training corpus. The ongoing data generation is the continuing advantage.</w:t>
      </w:r>
    </w:p>
    <w:p>
      <w:pPr>
        <w:pStyle w:val="BodyText"/>
      </w:pPr>
      <w:r>
        <w:rPr>
          <w:b/>
        </w:rPr>
        <w:t xml:space="preserve">Comparison to Competitors</w:t>
      </w:r>
    </w:p>
    <w:p>
      <w:pPr>
        <w:numPr>
          <w:ilvl w:val="0"/>
          <w:numId w:val="1002"/>
        </w:numPr>
        <w:pStyle w:val="Compact"/>
      </w:pPr>
      <w:r>
        <w:rPr>
          <w:b/>
        </w:rPr>
        <w:t xml:space="preserve">Tesla</w:t>
      </w:r>
      <w:r>
        <w:t xml:space="preserve">:</w:t>
      </w:r>
      <w:r>
        <w:t xml:space="preserve"> </w:t>
      </w:r>
      <w:r>
        <w:t xml:space="preserve">Tesla’s Energy division continues to dominate residential storage with its Powerwall product, having installed more than 500,000 units globally since 2015.</w:t>
      </w:r>
      <w:r>
        <w:t xml:space="preserve"> </w:t>
      </w:r>
      <w:r>
        <w:t xml:space="preserve">Tesla has 6–7x more hardware units deployed, generating proportionally more telemetry data. Tesla’s data advantage is larger but used in a closed ecosystem.</w:t>
      </w:r>
    </w:p>
    <w:p>
      <w:pPr>
        <w:numPr>
          <w:ilvl w:val="0"/>
          <w:numId w:val="1002"/>
        </w:numPr>
        <w:pStyle w:val="Compact"/>
      </w:pPr>
      <w:r>
        <w:rPr>
          <w:b/>
        </w:rPr>
        <w:t xml:space="preserve">Enphase</w:t>
      </w:r>
      <w:r>
        <w:t xml:space="preserve">: Millions of microinverters deployed globally, primarily monitoring solar production rather than storage behavior.</w:t>
      </w:r>
    </w:p>
    <w:p>
      <w:pPr>
        <w:numPr>
          <w:ilvl w:val="0"/>
          <w:numId w:val="1002"/>
        </w:numPr>
        <w:pStyle w:val="Compact"/>
      </w:pPr>
      <w:r>
        <w:rPr>
          <w:b/>
        </w:rPr>
        <w:t xml:space="preserve">Lunar</w:t>
      </w:r>
      <w:r>
        <w:t xml:space="preserve">: Smaller scale but with device-level optimization data spanning multiple manufacturers, tariff structures, and geographies — potentially more</w:t>
      </w:r>
      <w:r>
        <w:t xml:space="preserve"> </w:t>
      </w:r>
      <w:r>
        <w:rPr>
          <w:i/>
        </w:rPr>
        <w:t xml:space="preserve">diverse</w:t>
      </w:r>
      <w:r>
        <w:t xml:space="preserve"> </w:t>
      </w:r>
      <w:r>
        <w:t xml:space="preserve">training data than Tesla, even if less voluminous</w:t>
      </w:r>
    </w:p>
    <w:p>
      <w:pPr>
        <w:pStyle w:val="FirstParagraph"/>
      </w:pPr>
      <w:r>
        <w:rPr>
          <w:b/>
        </w:rPr>
        <w:t xml:space="preserve">Can the Data Be Monetized Independently?</w:t>
      </w:r>
    </w:p>
    <w:p>
      <w:pPr>
        <w:pStyle w:val="BodyText"/>
      </w:pPr>
      <w:r>
        <w:t xml:space="preserve">The platform already provides fleet intelligence to utility partners:</w:t>
      </w:r>
      <w:r>
        <w:t xml:space="preserve"> </w:t>
      </w:r>
      <w:r>
        <w:t xml:space="preserve">Gridshare lets partners assess and improve fleet performance with device, site, and fleet level alerts and insights.</w:t>
      </w:r>
      <w:r>
        <w:t xml:space="preserve"> </w:t>
      </w:r>
      <w:r>
        <w:t xml:space="preserve">There is latent value in selling anonymized grid intelligence to researchers, policymakers, and utilities. No evidence that Lunar is pursuing this as an independent revenue line currently.</w:t>
      </w:r>
    </w:p>
    <w:p>
      <w:r>
        <w:pict>
          <v:rect style="width:0;height:1.5pt" o:hralign="center" o:hrstd="t" o:hr="t"/>
        </w:pict>
      </w:r>
    </w:p>
    <w:p>
      <w:pPr>
        <w:pStyle w:val="Heading2"/>
      </w:pPr>
      <w:bookmarkStart w:id="41" w:name="section-6-technology-roadmap-rd"/>
      <w:r>
        <w:t xml:space="preserve">SECTION 6: TECHNOLOGY ROADMAP &amp; R&amp;D</w:t>
      </w:r>
      <w:bookmarkEnd w:id="41"/>
    </w:p>
    <w:p>
      <w:pPr>
        <w:pStyle w:val="Heading3"/>
      </w:pPr>
      <w:bookmarkStart w:id="42" w:name="manufacturing-scale-plans"/>
      <w:r>
        <w:t xml:space="preserve">Manufacturing Scale Plans</w:t>
      </w:r>
      <w:bookmarkEnd w:id="42"/>
    </w:p>
    <w:p>
      <w:pPr>
        <w:pStyle w:val="FirstParagraph"/>
      </w:pPr>
      <w:r>
        <w:t xml:space="preserve">Lunar plans to use the funds to scale manufacturing to 20,000 units by the end of this year before ramping up to 100,000 by the end of 2028.</w:t>
      </w:r>
      <w:r>
        <w:t xml:space="preserve"> </w:t>
      </w:r>
      <w:r>
        <w:t xml:space="preserve">Current capacity is approximately 10,000 systems/year. The 10x target by 2028 is aggressive and will require significant capital allocation.</w:t>
      </w:r>
    </w:p>
    <w:p>
      <w:pPr>
        <w:pStyle w:val="Heading3"/>
      </w:pPr>
      <w:bookmarkStart w:id="43" w:name="us-geographic-expansion"/>
      <w:r>
        <w:t xml:space="preserve">US Geographic Expansion</w:t>
      </w:r>
      <w:bookmarkEnd w:id="43"/>
    </w:p>
    <w:p>
      <w:pPr>
        <w:pStyle w:val="FirstParagraph"/>
      </w:pPr>
      <w:r>
        <w:t xml:space="preserve">Girotra told Latitude Media that the company plans to quadruple its home battery manufacturing capacity in the coming years as it expands its customer base from California into other states including Illinois, Nevada, Texas, and Utah.</w:t>
      </w:r>
    </w:p>
    <w:p>
      <w:pPr>
        <w:pStyle w:val="Heading3"/>
      </w:pPr>
      <w:bookmarkStart w:id="44" w:name="v2g-and-honda-relationship"/>
      <w:r>
        <w:t xml:space="preserve">V2G and Honda Relationship</w:t>
      </w:r>
      <w:bookmarkEnd w:id="44"/>
    </w:p>
    <w:p>
      <w:pPr>
        <w:pStyle w:val="FirstParagraph"/>
      </w:pPr>
      <w:r>
        <w:t xml:space="preserve">Lunar’s collaboration with Honda led to e:PROGRESS, an intelligent home EV charging offer for Honda electric customers in the UK. Using Gridshare, e:PROGRESS lets customers reduce charging costs with minimal effort.</w:t>
      </w:r>
    </w:p>
    <w:p>
      <w:pPr>
        <w:pStyle w:val="BodyText"/>
      </w:pPr>
      <w:r>
        <w:t xml:space="preserve">Honda’s V2G ambitions are accelerating independently:</w:t>
      </w:r>
      <w:r>
        <w:t xml:space="preserve"> </w:t>
      </w:r>
      <w:r>
        <w:t xml:space="preserve">Honda outlined a plan at CES 2025 to turn future Honda and Acura EVs into what the company calls</w:t>
      </w:r>
      <w:r>
        <w:t xml:space="preserve"> </w:t>
      </w:r>
      <w:r>
        <w:t xml:space="preserve">“</w:t>
      </w:r>
      <w:r>
        <w:t xml:space="preserve">Virtual Power Plants.</w:t>
      </w:r>
      <w:r>
        <w:t xml:space="preserve">”</w:t>
      </w:r>
      <w:r>
        <w:t xml:space="preserve"> </w:t>
      </w:r>
      <w:r>
        <w:t xml:space="preserve">The concept envisions a car that charges itself when energy is inexpensive and renewable and then redistributes excess energy back to the home or grid when electricity demand spikes.</w:t>
      </w:r>
    </w:p>
    <w:p>
      <w:pPr>
        <w:pStyle w:val="BodyText"/>
      </w:pPr>
      <w:r>
        <w:t xml:space="preserve">However, Honda is pursuing V2G through</w:t>
      </w:r>
      <w:r>
        <w:t xml:space="preserve"> </w:t>
      </w:r>
      <w:r>
        <w:rPr>
          <w:b/>
        </w:rPr>
        <w:t xml:space="preserve">ChargeScape</w:t>
      </w:r>
      <w:r>
        <w:t xml:space="preserve"> </w:t>
      </w:r>
      <w:r>
        <w:t xml:space="preserve">(a joint venture with BMW, Ford, and Nissan):</w:t>
      </w:r>
      <w:r>
        <w:t xml:space="preserve"> </w:t>
      </w:r>
      <w:r>
        <w:t xml:space="preserve">ChargeScape, a vehicle-grid integration platform established through a joint venture between Honda, BMW, Ford and Nissan, will support the initiative on behalf of Honda. The ChargeScape software platform is designed to seamlessly integrate EVs into the electric grid.</w:t>
      </w:r>
    </w:p>
    <w:p>
      <w:pPr>
        <w:pStyle w:val="BodyText"/>
      </w:pPr>
      <w:r>
        <w:t xml:space="preserve">This is a</w:t>
      </w:r>
      <w:r>
        <w:t xml:space="preserve"> </w:t>
      </w:r>
      <w:r>
        <w:rPr>
          <w:b/>
        </w:rPr>
        <w:t xml:space="preserve">notable tension</w:t>
      </w:r>
      <w:r>
        <w:t xml:space="preserve">: Honda is a Lunar shareholder and historical Moixa partner for EV smart charging, but Honda’s primary V2G software infrastructure is being built through ChargeScape (with BMW, Ford, and Nissan as co-investors), not through Gridshare. This raises questions about whether Lunar will benefit from Honda’s V2G rollout or be bypassed.</w:t>
      </w:r>
    </w:p>
    <w:p>
      <w:pPr>
        <w:pStyle w:val="Heading3"/>
      </w:pPr>
      <w:bookmarkStart w:id="45" w:name="product-roadmap-signals"/>
      <w:r>
        <w:t xml:space="preserve">Product Roadmap Signals</w:t>
      </w:r>
      <w:bookmarkEnd w:id="45"/>
    </w:p>
    <w:p>
      <w:pPr>
        <w:pStyle w:val="FirstParagraph"/>
      </w:pPr>
      <w:r>
        <w:t xml:space="preserve">Lunar aims to leverage the popularity of its Gridshare platform to become a market maker, helping to shape the structure of VPP programs — as it’s already doing with the Community Choice Aggregators in California.</w:t>
      </w:r>
    </w:p>
    <w:p>
      <w:pPr>
        <w:pStyle w:val="BodyText"/>
      </w:pPr>
      <w:r>
        <w:t xml:space="preserve">Its VPP software can also control EV chargers and appliances, allowing it to both supply electrons while tamping down demand.</w:t>
      </w:r>
      <w:r>
        <w:t xml:space="preserve"> </w:t>
      </w:r>
      <w:r>
        <w:t xml:space="preserve">EV charger control (V1G smart charging) is a confirmed roadmap capability. Full V2G (bidirectional) would be a logical next step but requires compatible EVs, bidirectional hardware, and regulatory frameworks that are still maturing.</w:t>
      </w:r>
    </w:p>
    <w:p>
      <w:pPr>
        <w:pStyle w:val="Heading3"/>
      </w:pPr>
      <w:bookmarkStart w:id="46" w:name="doe-grants-research-partnerships"/>
      <w:r>
        <w:t xml:space="preserve">DOE Grants / Research Partnerships</w:t>
      </w:r>
      <w:bookmarkEnd w:id="46"/>
    </w:p>
    <w:p>
      <w:pPr>
        <w:pStyle w:val="FirstParagraph"/>
      </w:pPr>
      <w:r>
        <w:t xml:space="preserve">No public evidence of ARPA-E, DOE, or university research partnerships has emerged. The Japan trials were partly funded:</w:t>
      </w:r>
      <w:r>
        <w:t xml:space="preserve"> </w:t>
      </w:r>
      <w:r>
        <w:t xml:space="preserve">the trials were delivered with a mixture of private funding and support from the Ministry of Economy, Trade, and Industry.</w:t>
      </w:r>
      <w:r>
        <w:t xml:space="preserve"> </w:t>
      </w:r>
      <w:r>
        <w:t xml:space="preserve">This suggests Lunar UK has accessed Japanese government R&amp;D co-funding, which is a non-trivial advantage.</w:t>
      </w:r>
    </w:p>
    <w:p>
      <w:r>
        <w:pict>
          <v:rect style="width:0;height:1.5pt" o:hralign="center" o:hrstd="t" o:hr="t"/>
        </w:pict>
      </w:r>
    </w:p>
    <w:p>
      <w:pPr>
        <w:pStyle w:val="Heading2"/>
      </w:pPr>
      <w:bookmarkStart w:id="47" w:name="X8ee12a388403d77a34564ec44c0d8afdc89a64a"/>
      <w:r>
        <w:t xml:space="preserve">SECTION 7: PLATFORM STRATEGIC VALUE — ASSET OR DISTRACTION?</w:t>
      </w:r>
      <w:bookmarkEnd w:id="47"/>
    </w:p>
    <w:p>
      <w:pPr>
        <w:pStyle w:val="Heading3"/>
      </w:pPr>
      <w:bookmarkStart w:id="48" w:name="Xa67b6d6908340387b78e342df64ed29b2aa767d"/>
      <w:r>
        <w:t xml:space="preserve">The Case That Gridshare Is the Most Valuable Asset</w:t>
      </w:r>
      <w:bookmarkEnd w:id="48"/>
    </w:p>
    <w:p>
      <w:pPr>
        <w:pStyle w:val="FirstParagraph"/>
      </w:pPr>
      <w:r>
        <w:rPr>
          <w:b/>
        </w:rPr>
        <w:t xml:space="preserve">1. Proven Enterprise Revenue</w:t>
      </w:r>
    </w:p>
    <w:p>
      <w:pPr>
        <w:pStyle w:val="BodyText"/>
      </w:pPr>
      <w:r>
        <w:t xml:space="preserve">Gridshare generates B2B SaaS revenue from utilities and energy retailers in California, Japan, Spain, Portugal, and the UK. It operates programs for: Sunrun (nationwide), PCE, SVCE, Ava Community Energy, TEPCO EP, ITOCHU, and EDP (Spain/Portugal). This is a genuine recurring revenue stream — albeit undisclosed in size.</w:t>
      </w:r>
    </w:p>
    <w:p>
      <w:pPr>
        <w:pStyle w:val="BodyText"/>
      </w:pPr>
      <w:r>
        <w:rPr>
          <w:b/>
        </w:rPr>
        <w:t xml:space="preserve">2. Unique Positioning</w:t>
      </w:r>
    </w:p>
    <w:p>
      <w:pPr>
        <w:pStyle w:val="BodyText"/>
      </w:pPr>
      <w:r>
        <w:t xml:space="preserve">Girotra said what sets Lunar Energy apart is that it both makes its own batteries, and its software Gridshare can talk to devices that aren’t its own.</w:t>
      </w:r>
      <w:r>
        <w:t xml:space="preserve"> </w:t>
      </w:r>
      <w:r>
        <w:t xml:space="preserve">“</w:t>
      </w:r>
      <w:r>
        <w:t xml:space="preserve">What is unique is we’re the only company that makes our own hardware and has a software that also works with other people’s hardware. There are standalone software companies, standalone hardware companies, but none that exist that do this combination.</w:t>
      </w:r>
      <w:r>
        <w:t xml:space="preserve">”</w:t>
      </w:r>
      <w:r>
        <w:t xml:space="preserve"> </w:t>
      </w:r>
      <w:r>
        <w:t xml:space="preserve">This claim is essentially accurate as of early 2026 — no other company has both a serious residential battery product</w:t>
      </w:r>
      <w:r>
        <w:t xml:space="preserve"> </w:t>
      </w:r>
      <w:r>
        <w:rPr>
          <w:i/>
        </w:rPr>
        <w:t xml:space="preserve">and</w:t>
      </w:r>
      <w:r>
        <w:t xml:space="preserve"> </w:t>
      </w:r>
      <w:r>
        <w:t xml:space="preserve">a third-party VPP platform at commercial scale.</w:t>
      </w:r>
    </w:p>
    <w:p>
      <w:pPr>
        <w:pStyle w:val="BodyText"/>
      </w:pPr>
      <w:r>
        <w:rPr>
          <w:b/>
        </w:rPr>
        <w:t xml:space="preserve">3. The Android Analogy</w:t>
      </w:r>
    </w:p>
    <w:p>
      <w:pPr>
        <w:pStyle w:val="BodyText"/>
      </w:pPr>
      <w:r>
        <w:t xml:space="preserve">Lunar’s CEO articulated:</w:t>
      </w:r>
      <w:r>
        <w:t xml:space="preserve"> </w:t>
      </w:r>
      <w:r>
        <w:t xml:space="preserve">“</w:t>
      </w:r>
      <w:r>
        <w:t xml:space="preserve">We believe an Android-like software strategy is necessary for the grid to really prosper.</w:t>
      </w:r>
      <w:r>
        <w:t xml:space="preserve">”</w:t>
      </w:r>
      <w:r>
        <w:t xml:space="preserve"> </w:t>
      </w:r>
      <w:r>
        <w:t xml:space="preserve">That should make it easier for utilities to support VPPs in an environment where there are more and more differentiated home batteries and software systems out there.</w:t>
      </w:r>
      <w:r>
        <w:t xml:space="preserve"> </w:t>
      </w:r>
      <w:r>
        <w:t xml:space="preserve">If Gridshare can become the standard integration layer — the way Android integrates diverse hardware — the platform economics are extraordinary.</w:t>
      </w:r>
    </w:p>
    <w:p>
      <w:pPr>
        <w:pStyle w:val="BodyText"/>
      </w:pPr>
      <w:r>
        <w:rPr>
          <w:b/>
        </w:rPr>
        <w:t xml:space="preserve">4. Sticky Utility Relationships</w:t>
      </w:r>
    </w:p>
    <w:p>
      <w:pPr>
        <w:pStyle w:val="BodyText"/>
      </w:pPr>
      <w:r>
        <w:t xml:space="preserve">Utility contracts are characteristically multi-year and operationally embedded. Once Gridshare is integrated into a utility’s dispatch workflow, the switching cost is high.</w:t>
      </w:r>
      <w:r>
        <w:t xml:space="preserve"> </w:t>
      </w:r>
      <w:r>
        <w:t xml:space="preserve">Sunrun’s head of grid services specifically described Lunar as</w:t>
      </w:r>
      <w:r>
        <w:t xml:space="preserve"> </w:t>
      </w:r>
      <w:r>
        <w:t xml:space="preserve">“</w:t>
      </w:r>
      <w:r>
        <w:t xml:space="preserve">our software provider.</w:t>
      </w:r>
      <w:r>
        <w:t xml:space="preserve">”</w:t>
      </w:r>
    </w:p>
    <w:p>
      <w:pPr>
        <w:pStyle w:val="BodyText"/>
      </w:pPr>
      <w:r>
        <w:rPr>
          <w:b/>
        </w:rPr>
        <w:t xml:space="preserve">5. Japan Regulatory Inflection</w:t>
      </w:r>
    </w:p>
    <w:p>
      <w:pPr>
        <w:pStyle w:val="BodyText"/>
      </w:pPr>
      <w:r>
        <w:t xml:space="preserve">Starting in 2026, residential DERs will be eligible to participate in Japan’s transmission-level capacity market and balancing markets, unlocking new VPP revenue opportunities.</w:t>
      </w:r>
      <w:r>
        <w:t xml:space="preserve"> </w:t>
      </w:r>
      <w:r>
        <w:t xml:space="preserve">Japan’s market opening is a potential step-change in Gridshare revenue from a 73,000+ device fleet.</w:t>
      </w:r>
    </w:p>
    <w:p>
      <w:pPr>
        <w:pStyle w:val="Heading3"/>
      </w:pPr>
      <w:bookmarkStart w:id="49" w:name="the-case-that-gridshare-is-a-distraction"/>
      <w:r>
        <w:t xml:space="preserve">The Case That Gridshare Is a Distraction</w:t>
      </w:r>
      <w:bookmarkEnd w:id="49"/>
    </w:p>
    <w:p>
      <w:pPr>
        <w:pStyle w:val="FirstParagraph"/>
      </w:pPr>
      <w:r>
        <w:rPr>
          <w:b/>
        </w:rPr>
        <w:t xml:space="preserve">1. Go-to-Market Conflict</w:t>
      </w:r>
    </w:p>
    <w:p>
      <w:pPr>
        <w:pStyle w:val="BodyText"/>
      </w:pPr>
      <w:r>
        <w:t xml:space="preserve">Gridshare is sold enterprise B2B to utilities and aggregators. Lunar’s hardware is sold B2B2C through certified installers to homeowners. These require different sales teams, different relationship structures, and different product management priorities. A small company trying to excel at both is spreading thin.</w:t>
      </w:r>
    </w:p>
    <w:p>
      <w:pPr>
        <w:pStyle w:val="BodyText"/>
      </w:pPr>
      <w:r>
        <w:rPr>
          <w:b/>
        </w:rPr>
        <w:t xml:space="preserve">2. The Sunrun Dependency Risk</w:t>
      </w:r>
    </w:p>
    <w:p>
      <w:pPr>
        <w:pStyle w:val="BodyText"/>
      </w:pPr>
      <w:r>
        <w:t xml:space="preserve">The most significant Gridshare revenue relationship is with Sunrun — which also owns equity in Lunar.</w:t>
      </w:r>
      <w:r>
        <w:t xml:space="preserve"> </w:t>
      </w:r>
      <w:r>
        <w:t xml:space="preserve">Lunar provides the digital controls for thousands of Sunrun batteries in VPP contracts across the United States; it’s what Lunar head of product Sam Wevers calls a</w:t>
      </w:r>
      <w:r>
        <w:t xml:space="preserve"> </w:t>
      </w:r>
      <w:r>
        <w:t xml:space="preserve">“</w:t>
      </w:r>
      <w:r>
        <w:t xml:space="preserve">VPP SaaS service for Sunrun.</w:t>
      </w:r>
      <w:r>
        <w:t xml:space="preserve">”</w:t>
      </w:r>
      <w:r>
        <w:t xml:space="preserve"> </w:t>
      </w:r>
      <w:r>
        <w:t xml:space="preserve">If Sunrun builds internal VPP capability or chooses a different software vendor, this revenue line collapses. The equity alignment reduces this risk, but doesn’t eliminate it.</w:t>
      </w:r>
    </w:p>
    <w:p>
      <w:pPr>
        <w:pStyle w:val="BodyText"/>
      </w:pPr>
      <w:r>
        <w:rPr>
          <w:b/>
        </w:rPr>
        <w:t xml:space="preserve">3. Commoditization Threat</w:t>
      </w:r>
    </w:p>
    <w:p>
      <w:pPr>
        <w:pStyle w:val="BodyText"/>
      </w:pPr>
      <w:r>
        <w:t xml:space="preserve">The VPP software market is crowding fast. Major entrants include:</w:t>
      </w:r>
      <w:r>
        <w:t xml:space="preserve"> </w:t>
      </w:r>
      <w:r>
        <w:t xml:space="preserve">-</w:t>
      </w:r>
      <w:r>
        <w:t xml:space="preserve"> </w:t>
      </w:r>
      <w:r>
        <w:rPr>
          <w:b/>
        </w:rPr>
        <w:t xml:space="preserve">Voltus</w:t>
      </w:r>
      <w:r>
        <w:t xml:space="preserve">:</w:t>
      </w:r>
      <w:r>
        <w:t xml:space="preserve"> </w:t>
      </w:r>
      <w:r>
        <w:t xml:space="preserve">connects distributed energy resources to all nine wholesale markets in North America, with more than 7.5GW of DERs in operation</w:t>
      </w:r>
    </w:p>
    <w:p>
      <w:pPr>
        <w:numPr>
          <w:ilvl w:val="0"/>
          <w:numId w:val="1003"/>
        </w:numPr>
      </w:pPr>
      <w:r>
        <w:rPr>
          <w:b/>
        </w:rPr>
        <w:t xml:space="preserve">Octopus Energy/Kraken</w:t>
      </w:r>
      <w:r>
        <w:t xml:space="preserve">:</w:t>
      </w:r>
      <w:r>
        <w:t xml:space="preserve"> </w:t>
      </w:r>
      <w:r>
        <w:t xml:space="preserve">Octopus introduced Flexibility-as-a-Service to U.S. utility procurement in July 2025 with a pilot with SCE, engaging customers to</w:t>
      </w:r>
      <w:r>
        <w:t xml:space="preserve"> </w:t>
      </w:r>
      <w:r>
        <w:t xml:space="preserve">“</w:t>
      </w:r>
      <w:r>
        <w:t xml:space="preserve">demonstrate a whole home approach</w:t>
      </w:r>
      <w:r>
        <w:t xml:space="preserve">”</w:t>
      </w:r>
      <w:r>
        <w:t xml:space="preserve"> </w:t>
      </w:r>
      <w:r>
        <w:t xml:space="preserve">to consumer flexibility, co-optimizing EVs, home batteries, and smart thermostats.</w:t>
      </w:r>
    </w:p>
    <w:p>
      <w:pPr>
        <w:numPr>
          <w:ilvl w:val="0"/>
          <w:numId w:val="1003"/>
        </w:numPr>
      </w:pPr>
      <w:r>
        <w:rPr>
          <w:b/>
        </w:rPr>
        <w:t xml:space="preserve">Base Power</w:t>
      </w:r>
      <w:r>
        <w:t xml:space="preserve">:</w:t>
      </w:r>
      <w:r>
        <w:t xml:space="preserve"> </w:t>
      </w:r>
      <w:r>
        <w:t xml:space="preserve">In October 2025, Base Power raised US$1 billion in Series C financing. The company claims to have deployed more than 100MWh of residential battery capacity in under two years.</w:t>
      </w:r>
    </w:p>
    <w:p>
      <w:pPr>
        <w:pStyle w:val="FirstParagraph"/>
      </w:pPr>
      <w:r>
        <w:rPr>
          <w:b/>
        </w:rPr>
        <w:t xml:space="preserve">4. DSGS Defunding</w:t>
      </w:r>
    </w:p>
    <w:p>
      <w:pPr>
        <w:pStyle w:val="BodyText"/>
      </w:pPr>
      <w:r>
        <w:t xml:space="preserve">The most significant current VPP program that underpins Lunar’s performance claims — California’s DSGS — has been effectively defunded.</w:t>
      </w:r>
      <w:r>
        <w:t xml:space="preserve"> </w:t>
      </w:r>
      <w:r>
        <w:t xml:space="preserve">Funding for DSGS has since been vetoed by Gov. Gavin Newsom, so it won’t be continuing.</w:t>
      </w:r>
      <w:r>
        <w:t xml:space="preserve"> </w:t>
      </w:r>
      <w:r>
        <w:t xml:space="preserve">This creates direct near-term revenue risk for the Gridshare platform.</w:t>
      </w:r>
    </w:p>
    <w:p>
      <w:pPr>
        <w:pStyle w:val="BodyText"/>
      </w:pPr>
      <w:r>
        <w:rPr>
          <w:b/>
        </w:rPr>
        <w:t xml:space="preserve">5. Hardware Prioritization Pressure</w:t>
      </w:r>
    </w:p>
    <w:p>
      <w:pPr>
        <w:pStyle w:val="BodyText"/>
      </w:pPr>
      <w:r>
        <w:t xml:space="preserve">With $232M raised and a target of 100,000 units by 2028, hardware manufacturing and distribution will inevitably consume the majority of management attention and capital. Software platform development may be starved of resources.</w:t>
      </w:r>
    </w:p>
    <w:p>
      <w:pPr>
        <w:pStyle w:val="Heading3"/>
      </w:pPr>
      <w:bookmarkStart w:id="50" w:name="evidence-based-assessment"/>
      <w:r>
        <w:t xml:space="preserve">Evidence-Based Assessment</w:t>
      </w:r>
      <w:bookmarkEnd w:id="50"/>
    </w:p>
    <w:p>
      <w:pPr>
        <w:pStyle w:val="FirstParagraph"/>
      </w:pPr>
      <w:r>
        <w:rPr>
          <w:b/>
        </w:rPr>
        <w:t xml:space="preserve">Gridshare is both Lunar’s most valuable asset AND its most underexploited one.</w:t>
      </w:r>
      <w:r>
        <w:t xml:space="preserve"> </w:t>
      </w:r>
      <w:r>
        <w:t xml:space="preserve">The platform has demonstrated genuine technical differentiation (device-level optimization, co-optimization, multi-geography operation), genuine commercial scale (650MW managed, multiple enterprise contracts), and a unique market position. However:</w:t>
      </w:r>
    </w:p>
    <w:p>
      <w:pPr>
        <w:numPr>
          <w:ilvl w:val="0"/>
          <w:numId w:val="1004"/>
        </w:numPr>
        <w:pStyle w:val="Compact"/>
      </w:pPr>
      <w:r>
        <w:t xml:space="preserve">Revenue is not publicly disclosed, making it impossible to assess the SaaS vs. hardware revenue split</w:t>
      </w:r>
    </w:p>
    <w:p>
      <w:pPr>
        <w:numPr>
          <w:ilvl w:val="0"/>
          <w:numId w:val="1004"/>
        </w:numPr>
        <w:pStyle w:val="Compact"/>
      </w:pPr>
      <w:r>
        <w:t xml:space="preserve">The key US program (DSGS) has lost funding, threatening near-term US VPP economics</w:t>
      </w:r>
    </w:p>
    <w:p>
      <w:pPr>
        <w:numPr>
          <w:ilvl w:val="0"/>
          <w:numId w:val="1004"/>
        </w:numPr>
        <w:pStyle w:val="Compact"/>
      </w:pPr>
      <w:r>
        <w:t xml:space="preserve">The platform’s value is currently largely unlocked via the Sunrun partnership — a concentrated dependency</w:t>
      </w:r>
    </w:p>
    <w:p>
      <w:pPr>
        <w:numPr>
          <w:ilvl w:val="0"/>
          <w:numId w:val="1004"/>
        </w:numPr>
        <w:pStyle w:val="Compact"/>
      </w:pPr>
      <w:r>
        <w:t xml:space="preserve">Japan represents the largest scale and the most imminent revenue opportunity (2026 market opening), but Lunar holds it through a minority stake in a separately governed entity (GSJ)</w:t>
      </w:r>
    </w:p>
    <w:p>
      <w:pPr>
        <w:numPr>
          <w:ilvl w:val="0"/>
          <w:numId w:val="1004"/>
        </w:numPr>
        <w:pStyle w:val="Compact"/>
      </w:pPr>
      <w:r>
        <w:t xml:space="preserve">The</w:t>
      </w:r>
      <w:r>
        <w:t xml:space="preserve"> </w:t>
      </w:r>
      <w:r>
        <w:t xml:space="preserve">“</w:t>
      </w:r>
      <w:r>
        <w:t xml:space="preserve">Android for the grid</w:t>
      </w:r>
      <w:r>
        <w:t xml:space="preserve">”</w:t>
      </w:r>
      <w:r>
        <w:t xml:space="preserve"> </w:t>
      </w:r>
      <w:r>
        <w:t xml:space="preserve">vision is compelling but requires regulatory cooperation, standardization, and scale that no single company can drive alone</w:t>
      </w:r>
    </w:p>
    <w:p>
      <w:r>
        <w:pict>
          <v:rect style="width:0;height:1.5pt" o:hralign="center" o:hrstd="t" o:hr="t"/>
        </w:pict>
      </w:r>
    </w:p>
    <w:p>
      <w:pPr>
        <w:pStyle w:val="Heading2"/>
      </w:pPr>
      <w:bookmarkStart w:id="51" w:name="notable-anomalies"/>
      <w:r>
        <w:t xml:space="preserve">NOTABLE ANOMALIES</w:t>
      </w:r>
      <w:bookmarkEnd w:id="51"/>
    </w:p>
    <w:p>
      <w:pPr>
        <w:pStyle w:val="Heading3"/>
      </w:pPr>
      <w:bookmarkStart w:id="52" w:name="the-dsgs-funding-contradiction"/>
      <w:r>
        <w:t xml:space="preserve">1. The DSGS Funding Contradiction</w:t>
      </w:r>
      <w:bookmarkEnd w:id="52"/>
    </w:p>
    <w:p>
      <w:pPr>
        <w:pStyle w:val="FirstParagraph"/>
      </w:pPr>
      <w:r>
        <w:t xml:space="preserve">Lunar’s most-cited performance data point — $464/year VPP earnings — almost certainly derives primarily from California’s DSGS program. That program has been defunded by Governor Newsom’s veto. The marketing materials continue to cite this figure prominently without acknowledging that the program generating it no longer operates. This is a material misrepresentation risk, not a minor omission.</w:t>
      </w:r>
    </w:p>
    <w:p>
      <w:pPr>
        <w:pStyle w:val="Heading3"/>
      </w:pPr>
      <w:bookmarkStart w:id="53" w:name="X85aa2ee8e02860463dd6220e9ebaaafc0937a9c"/>
      <w:r>
        <w:t xml:space="preserve">2. Sunrun Owns Lunar — And Also Competes With It</w:t>
      </w:r>
      <w:bookmarkEnd w:id="53"/>
    </w:p>
    <w:p>
      <w:pPr>
        <w:pStyle w:val="FirstParagraph"/>
      </w:pPr>
      <w:r>
        <w:t xml:space="preserve">Sunrun is simultaneously Lunar’s largest investor, Lunar’s largest Gridshare customer, and a potential Lunar hardware competitor (Sunrun sells its own solar-storage systems). The equity alignment is meant to resolve this conflict, but it creates structural complexity. If Sunrun’s hardware attachment rates grow and they decide to internalize VPP software, Lunar loses its biggest software customer. If Sunrun distributes Lunar hardware at scale, Lunar wins on both hardware and software. This relationship is either Lunar’s greatest asset or its greatest single-point-of-failure, depending on how the relationship evolves.</w:t>
      </w:r>
    </w:p>
    <w:p>
      <w:pPr>
        <w:pStyle w:val="Heading3"/>
      </w:pPr>
      <w:bookmarkStart w:id="54" w:name="honda-is-building-v2g-without-gridshare"/>
      <w:r>
        <w:t xml:space="preserve">3. Honda Is Building V2G Without Gridshare</w:t>
      </w:r>
      <w:bookmarkEnd w:id="54"/>
    </w:p>
    <w:p>
      <w:pPr>
        <w:pStyle w:val="FirstParagraph"/>
      </w:pPr>
      <w:r>
        <w:t xml:space="preserve">Honda is a Lunar shareholder and Moixa’s historical EV smart charging partner. But Honda’s primary V2G strategy for its upcoming EVs runs through ChargeScape — a joint venture with BMW, Ford, and Nissan — not through Gridshare.</w:t>
      </w:r>
      <w:r>
        <w:t xml:space="preserve"> </w:t>
      </w:r>
      <w:r>
        <w:t xml:space="preserve">ChargeScape, a vehicle-grid integration platform established through a joint venture between Honda, BMW, Ford and Nissan, will support the initiative on behalf of Honda.</w:t>
      </w:r>
      <w:r>
        <w:t xml:space="preserve"> </w:t>
      </w:r>
      <w:r>
        <w:t xml:space="preserve">This suggests Gridshare may be excluded from Honda’s most commercially significant energy management opportunity going forward, despite the historical partnership and equity relationship.</w:t>
      </w:r>
    </w:p>
    <w:p>
      <w:pPr>
        <w:pStyle w:val="Heading3"/>
      </w:pPr>
      <w:bookmarkStart w:id="55" w:name="the-device-count-inconsistency"/>
      <w:r>
        <w:t xml:space="preserve">4. The Device Count Inconsistency</w:t>
      </w:r>
      <w:bookmarkEnd w:id="55"/>
    </w:p>
    <w:p>
      <w:pPr>
        <w:pStyle w:val="FirstParagraph"/>
      </w:pPr>
      <w:r>
        <w:t xml:space="preserve">Different sources cite different device counts for the Gridshare fleet:</w:t>
      </w:r>
      <w:r>
        <w:t xml:space="preserve"> </w:t>
      </w:r>
      <w:r>
        <w:t xml:space="preserve">-</w:t>
      </w:r>
      <w:r>
        <w:t xml:space="preserve"> </w:t>
      </w:r>
      <w:r>
        <w:t xml:space="preserve">“</w:t>
      </w:r>
      <w:r>
        <w:t xml:space="preserve">73,000 home batteries across three continents</w:t>
      </w:r>
      <w:r>
        <w:t xml:space="preserve">”</w:t>
      </w:r>
      <w:r>
        <w:t xml:space="preserve"> </w:t>
      </w:r>
      <w:r>
        <w:t xml:space="preserve">(Gridshare case study, recent)</w:t>
      </w:r>
      <w:r>
        <w:t xml:space="preserve"> </w:t>
      </w:r>
      <w:r>
        <w:t xml:space="preserve">-</w:t>
      </w:r>
      <w:r>
        <w:t xml:space="preserve"> </w:t>
      </w:r>
      <w:r>
        <w:t xml:space="preserve">“</w:t>
      </w:r>
      <w:r>
        <w:t xml:space="preserve">59,000 DERs</w:t>
      </w:r>
      <w:r>
        <w:t xml:space="preserve">”</w:t>
      </w:r>
      <w:r>
        <w:t xml:space="preserve"> </w:t>
      </w:r>
      <w:r>
        <w:t xml:space="preserve">(Sunrun case study, 2023)</w:t>
      </w:r>
      <w:r>
        <w:t xml:space="preserve"> </w:t>
      </w:r>
      <w:r>
        <w:t xml:space="preserve">-</w:t>
      </w:r>
      <w:r>
        <w:t xml:space="preserve"> </w:t>
      </w:r>
      <w:r>
        <w:t xml:space="preserve">“</w:t>
      </w:r>
      <w:r>
        <w:t xml:space="preserve">150,000+ devices</w:t>
      </w:r>
      <w:r>
        <w:t xml:space="preserve">”</w:t>
      </w:r>
      <w:r>
        <w:t xml:space="preserve"> </w:t>
      </w:r>
      <w:r>
        <w:t xml:space="preserve">(marketing claim in some contexts)</w:t>
      </w:r>
      <w:r>
        <w:t xml:space="preserve"> </w:t>
      </w:r>
      <w:r>
        <w:t xml:space="preserve">-</w:t>
      </w:r>
      <w:r>
        <w:t xml:space="preserve"> </w:t>
      </w:r>
      <w:r>
        <w:t xml:space="preserve">“</w:t>
      </w:r>
      <w:r>
        <w:t xml:space="preserve">650 MW of devices under management</w:t>
      </w:r>
      <w:r>
        <w:t xml:space="preserve">”</w:t>
      </w:r>
      <w:r>
        <w:t xml:space="preserve"> </w:t>
      </w:r>
      <w:r>
        <w:t xml:space="preserve">(Feb 2026 funding announcement)</w:t>
      </w:r>
    </w:p>
    <w:p>
      <w:pPr>
        <w:pStyle w:val="BodyText"/>
      </w:pPr>
      <w:r>
        <w:t xml:space="preserve">The 650 MW at average residential battery sizes (~10–15kWh, ~5–10kW power) would imply 65,000–130,000 devices — consistent with the</w:t>
      </w:r>
      <w:r>
        <w:t xml:space="preserve"> </w:t>
      </w:r>
      <w:r>
        <w:t xml:space="preserve">“</w:t>
      </w:r>
      <w:r>
        <w:t xml:space="preserve">73,000 batteries plus EVs and other devices</w:t>
      </w:r>
      <w:r>
        <w:t xml:space="preserve">”</w:t>
      </w:r>
      <w:r>
        <w:t xml:space="preserve"> </w:t>
      </w:r>
      <w:r>
        <w:t xml:space="preserve">interpretation. The</w:t>
      </w:r>
      <w:r>
        <w:t xml:space="preserve"> </w:t>
      </w:r>
      <w:r>
        <w:t xml:space="preserve">“</w:t>
      </w:r>
      <w:r>
        <w:t xml:space="preserve">150,000+</w:t>
      </w:r>
      <w:r>
        <w:t xml:space="preserve">”</w:t>
      </w:r>
      <w:r>
        <w:t xml:space="preserve"> </w:t>
      </w:r>
      <w:r>
        <w:t xml:space="preserve">appears to include all device types (batteries, EV chargers, smart thermostats, heat pumps), not just batteries. This is not dishonest but the inconsistency reflects marketing pressure to cite the largest plausible number.</w:t>
      </w:r>
    </w:p>
    <w:p>
      <w:pPr>
        <w:pStyle w:val="Heading3"/>
      </w:pPr>
      <w:bookmarkStart w:id="56" w:name="Xe3219dd98ea90e8ffcf8128a853fb1414abf246"/>
      <w:r>
        <w:t xml:space="preserve">5. The Japan Structure Is More Complex Than Marketed</w:t>
      </w:r>
      <w:bookmarkEnd w:id="56"/>
    </w:p>
    <w:p>
      <w:pPr>
        <w:pStyle w:val="FirstParagraph"/>
      </w:pPr>
      <w:r>
        <w:t xml:space="preserve">Lunar markets its Japan presence as managing</w:t>
      </w:r>
      <w:r>
        <w:t xml:space="preserve"> </w:t>
      </w:r>
      <w:r>
        <w:t xml:space="preserve">“</w:t>
      </w:r>
      <w:r>
        <w:t xml:space="preserve">35,000+ homes</w:t>
      </w:r>
      <w:r>
        <w:t xml:space="preserve">”</w:t>
      </w:r>
      <w:r>
        <w:t xml:space="preserve"> </w:t>
      </w:r>
      <w:r>
        <w:t xml:space="preserve">via ITOCHU. The reality is more nuanced: ITOCHU controls GridShare Japan (GSJ), which operates the fleet. Lunar UK (Moixa’s successor) provides the technology license. Lunar Inc. (US) has now taken a minority stake in GSJ. The commercial relationship is thus: Lunar UK earns licensing revenue from GSJ; Lunar Inc. has equity upside from GSJ’s growth. The Japan operations are not Lunar’s to control — they’re ITOCHU’s to operate. This is a meaningful distinction when assessing Lunar’s operational leverage and revenue concentration.</w:t>
      </w:r>
    </w:p>
    <w:p>
      <w:pPr>
        <w:pStyle w:val="Heading3"/>
      </w:pPr>
      <w:bookmarkStart w:id="57" w:name="moixas-2008-patents-may-be-undervalued"/>
      <w:r>
        <w:t xml:space="preserve">6. Moixa’s 2008 Patents May Be Undervalued</w:t>
      </w:r>
      <w:bookmarkEnd w:id="57"/>
    </w:p>
    <w:p>
      <w:pPr>
        <w:pStyle w:val="FirstParagraph"/>
      </w:pPr>
      <w:r>
        <w:t xml:space="preserve">The fact that Moixa’s 2008-vintage smart home energy patents are cited by ~200 international companies suggests these may be foundational IP. If the claims are broad enough to cover modern DER management approaches, these patents could have significant licensing value or defensive utility that Lunar has not publicly exploited. A thorough claim-by-claim analysis of US20100076615A1 (the 2008 smart home patent) would be a worthwhile IP investment for any acquirer or investor.</w:t>
      </w:r>
    </w:p>
    <w:p>
      <w:pPr>
        <w:pStyle w:val="Heading3"/>
      </w:pPr>
      <w:bookmarkStart w:id="58" w:name="Xbeb73a780e77a5235d67204e2818072249686bb"/>
      <w:r>
        <w:t xml:space="preserve">7. California Policy Risk Is Systematic, Not Idiosyncratic</w:t>
      </w:r>
      <w:bookmarkEnd w:id="58"/>
    </w:p>
    <w:p>
      <w:pPr>
        <w:pStyle w:val="FirstParagraph"/>
      </w:pPr>
      <w:r>
        <w:t xml:space="preserve">Gridshare’s US commercial performance is heavily dependent on California VPP programs.</w:t>
      </w:r>
      <w:r>
        <w:t xml:space="preserve"> </w:t>
      </w:r>
      <w:r>
        <w:t xml:space="preserve">Instead of expanding DSGS funding to achieve growth, state lawmakers cut it in 2025 in the face of budget shortfalls, just like they did last year.</w:t>
      </w:r>
      <w:r>
        <w:t xml:space="preserve"> </w:t>
      </w:r>
      <w:r>
        <w:t xml:space="preserve">This is a pattern, not a one-time event. California’s VPP program economics are structurally exposed to annual budget battles. Lunar’s growth plan to expand to Texas, Nevada, Illinois, and Utah — markets with very different regulatory frameworks — requires building new utility relationships essentially from scratch in each state.</w:t>
      </w:r>
    </w:p>
    <w:p>
      <w:pPr>
        <w:pStyle w:val="Heading3"/>
      </w:pPr>
      <w:bookmarkStart w:id="59" w:name="X910317a02081c16949c65b1de2ffa5043920b4f"/>
      <w:r>
        <w:t xml:space="preserve">8. The $802/Year Claim Obscures Market Specificity</w:t>
      </w:r>
      <w:bookmarkEnd w:id="59"/>
    </w:p>
    <w:p>
      <w:pPr>
        <w:pStyle w:val="FirstParagraph"/>
      </w:pPr>
      <w:r>
        <w:t xml:space="preserve">Last year, Lunar’s AI-driven software earned customers an average of $464 by participating in a VPP program, and saved customers an additional $338 compared to a standard home battery operating mode.</w:t>
      </w:r>
      <w:r>
        <w:t xml:space="preserve"> </w:t>
      </w:r>
      <w:r>
        <w:t xml:space="preserve">The combined ~$800/year figure is widely cited but applies to: (a) Lunar hardware customers, (b) in California, (c) enrolled in programs that may no longer be funded, (d) in the first commercial year of the product. The generalizability of this claim to other states, other hardware configurations, or future program structures is unproven.</w:t>
      </w:r>
    </w:p>
    <w:p>
      <w:pPr>
        <w:pStyle w:val="Heading3"/>
      </w:pPr>
      <w:bookmarkStart w:id="60" w:name="X2c688d61c810b4d56d83d45f1720975883756f7"/>
      <w:r>
        <w:t xml:space="preserve">9. Base Power’s $1B War Chest Is Directly Threatening</w:t>
      </w:r>
      <w:bookmarkEnd w:id="60"/>
    </w:p>
    <w:p>
      <w:pPr>
        <w:pStyle w:val="FirstParagraph"/>
      </w:pPr>
      <w:r>
        <w:t xml:space="preserve">In October 2025, Base Power raised $1 billion, less than six months after raising a $200 million round for its residential battery-based VPP.</w:t>
      </w:r>
      <w:r>
        <w:t xml:space="preserve"> </w:t>
      </w:r>
      <w:r>
        <w:t xml:space="preserve">Base Power’s model — providing batteries as a service to homeowners in Texas at low monthly rates in exchange for VPP dispatch rights — is a direct threat to Lunar’s hardware business model. At $1B in funding, Base Power can subsidize battery costs aggressively. Unlike Lunar, Base Power does not own manufacturing — they can source from any manufacturer. This capital position could allow Base Power to dominate Texas before Lunar establishes meaningful presence.</w:t>
      </w:r>
    </w:p>
    <w:p>
      <w:pPr>
        <w:pStyle w:val="Heading3"/>
      </w:pPr>
      <w:bookmarkStart w:id="61" w:name="X1f4ef43d0ee24f6da4da0255d5b998e961e11ad"/>
      <w:r>
        <w:t xml:space="preserve">10. Gridshare Runs on AWS — Which Is Not Trivial</w:t>
      </w:r>
      <w:bookmarkEnd w:id="61"/>
    </w:p>
    <w:p>
      <w:pPr>
        <w:pStyle w:val="FirstParagraph"/>
      </w:pPr>
      <w:r>
        <w:t xml:space="preserve">The AWS dependency (</w:t>
      </w:r>
      <w:r>
        <w:t xml:space="preserve"> </w:t>
      </w:r>
      <w:r>
        <w:t xml:space="preserve">Gridshare uses AWS</w:t>
      </w:r>
      <w:r>
        <w:t xml:space="preserve"> </w:t>
      </w:r>
      <w:r>
        <w:t xml:space="preserve">) is a double-edged fact. AWS provides scalability, managed ML services, and global infrastructure. But for a platform positioning itself as critical grid infrastructure, cloud vendor lock-in raises resilience questions. If AWS experiences an outage, Gridshare’s dispatch capability could be impaired. Grid operators and utilities increasingly require redundancy and cyber resilience standards that may mandate diversified cloud or on-premise options. There is no public disclosure of Lunar’s redundancy architecture.</w:t>
      </w:r>
    </w:p>
    <w:p>
      <w:pPr>
        <w:pStyle w:val="Heading3"/>
      </w:pPr>
      <w:bookmarkStart w:id="62" w:name="the-revenue-disclosure-gap"/>
      <w:r>
        <w:t xml:space="preserve">11. The Revenue Disclosure Gap</w:t>
      </w:r>
      <w:bookmarkEnd w:id="62"/>
    </w:p>
    <w:p>
      <w:pPr>
        <w:pStyle w:val="FirstParagraph"/>
      </w:pPr>
      <w:r>
        <w:t xml:space="preserve">Lunar Energy CEO Kunal Girotra declined to share the startup’s revenues or expectations for profitability.</w:t>
      </w:r>
      <w:r>
        <w:t xml:space="preserve"> </w:t>
      </w:r>
      <w:r>
        <w:t xml:space="preserve">At $530M raised and thousands of systems deployed, the continued lack of revenue disclosure is notable. A Series D company with a commercial platform (Gridshare), a hardware product line, and enterprise utility contracts should have meaningful revenue. The opacity suggests either (a) revenues are growing but still modest relative to the capital raised, or (b) the company is managing investor perception carefully ahead of a potential IPO or M&amp;A transaction.</w:t>
      </w:r>
    </w:p>
    <w:p>
      <w:pPr>
        <w:pStyle w:val="Heading3"/>
      </w:pPr>
      <w:bookmarkStart w:id="63" w:name="Xb35f1827ca6f966925144d3b70f59be990faf11"/>
      <w:r>
        <w:t xml:space="preserve">12. The Maximizer’s Position Relative to SolarEdge Is Unclear</w:t>
      </w:r>
      <w:bookmarkEnd w:id="63"/>
    </w:p>
    <w:p>
      <w:pPr>
        <w:pStyle w:val="FirstParagraph"/>
      </w:pPr>
      <w:r>
        <w:t xml:space="preserve">Lunar’s Maximizer is a solar power optimizer — directly competing with SolarEdge in the residential market.</w:t>
      </w:r>
      <w:r>
        <w:t xml:space="preserve"> </w:t>
      </w:r>
      <w:r>
        <w:t xml:space="preserve">SolarEdge maintains 60.5% of the U.S. residential solar market with over 52.6 GW shipped globally.</w:t>
      </w:r>
      <w:r>
        <w:t xml:space="preserve"> </w:t>
      </w:r>
      <w:r>
        <w:t xml:space="preserve">Entering this market against an incumbent with 3.7M+ installations, 25-year warranties, and deep installer relationships is a significant challenge. Lunar’s Maximizer is only competitive within the Lunar system — it’s not a standalone product that installers can use with other inverters. This limits addressable market but also creates system-level integration advantages.</w:t>
      </w:r>
    </w:p>
    <w:p>
      <w:r>
        <w:pict>
          <v:rect style="width:0;height:1.5pt" o:hralign="center" o:hrstd="t" o:hr="t"/>
        </w:pict>
      </w:r>
    </w:p>
    <w:p>
      <w:pPr>
        <w:pStyle w:val="Heading2"/>
      </w:pPr>
      <w:bookmarkStart w:id="64" w:name="final-assessment-matrix"/>
      <w:r>
        <w:t xml:space="preserve">FINAL ASSESSMENT MATRIX</w:t>
      </w:r>
      <w:bookmarkEnd w:id="6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Rating</w:t>
            </w:r>
          </w:p>
        </w:tc>
        <w:tc>
          <w:tcPr>
            <w:tcBorders>
              <w:bottom w:val="single"/>
            </w:tcBorders>
            <w:vAlign w:val="bottom"/>
          </w:tcPr>
          <w:p>
            <w:pPr>
              <w:pStyle w:val="Compact"/>
              <w:jc w:val="left"/>
            </w:pPr>
            <w:r>
              <w:t xml:space="preserve">Key Evidence</w:t>
            </w:r>
          </w:p>
        </w:tc>
      </w:tr>
      <w:tr>
        <w:tc>
          <w:p>
            <w:pPr>
              <w:pStyle w:val="Compact"/>
              <w:jc w:val="left"/>
            </w:pPr>
            <w:r>
              <w:t xml:space="preserve">Gridshare Technical Differentiation</w:t>
            </w:r>
          </w:p>
        </w:tc>
        <w:tc>
          <w:p>
            <w:pPr>
              <w:pStyle w:val="Compact"/>
              <w:jc w:val="left"/>
            </w:pPr>
            <w:r>
              <w:rPr>
                <w:b/>
              </w:rPr>
              <w:t xml:space="preserve">High</w:t>
            </w:r>
          </w:p>
        </w:tc>
        <w:tc>
          <w:p>
            <w:pPr>
              <w:pStyle w:val="Compact"/>
              <w:jc w:val="left"/>
            </w:pPr>
            <w:r>
              <w:t xml:space="preserve">Device-level optimization, co-optimization architecture, 40B data points/month</w:t>
            </w:r>
          </w:p>
        </w:tc>
      </w:tr>
      <w:tr>
        <w:tc>
          <w:p>
            <w:pPr>
              <w:pStyle w:val="Compact"/>
              <w:jc w:val="left"/>
            </w:pPr>
            <w:r>
              <w:t xml:space="preserve">Gridshare Commercial Validation</w:t>
            </w:r>
          </w:p>
        </w:tc>
        <w:tc>
          <w:p>
            <w:pPr>
              <w:pStyle w:val="Compact"/>
              <w:jc w:val="left"/>
            </w:pPr>
            <w:r>
              <w:rPr>
                <w:b/>
              </w:rPr>
              <w:t xml:space="preserve">Moderate-High</w:t>
            </w:r>
          </w:p>
        </w:tc>
        <w:tc>
          <w:p>
            <w:pPr>
              <w:pStyle w:val="Compact"/>
              <w:jc w:val="left"/>
            </w:pPr>
            <w:r>
              <w:t xml:space="preserve">Sunrun, Ava, PCE, SVCE, TEPCO contracts; 60% SCE performance improvement</w:t>
            </w:r>
          </w:p>
        </w:tc>
      </w:tr>
      <w:tr>
        <w:tc>
          <w:p>
            <w:pPr>
              <w:pStyle w:val="Compact"/>
              <w:jc w:val="left"/>
            </w:pPr>
            <w:r>
              <w:t xml:space="preserve">Hardware Differentiation</w:t>
            </w:r>
          </w:p>
        </w:tc>
        <w:tc>
          <w:p>
            <w:pPr>
              <w:pStyle w:val="Compact"/>
              <w:jc w:val="left"/>
            </w:pPr>
            <w:r>
              <w:rPr>
                <w:b/>
              </w:rPr>
              <w:t xml:space="preserve">Moderate</w:t>
            </w:r>
          </w:p>
        </w:tc>
        <w:tc>
          <w:p>
            <w:pPr>
              <w:pStyle w:val="Compact"/>
              <w:jc w:val="left"/>
            </w:pPr>
            <w:r>
              <w:t xml:space="preserve">DC architecture is real but not unique; Tesla Powerwall 3 is comparable</w:t>
            </w:r>
          </w:p>
        </w:tc>
      </w:tr>
      <w:tr>
        <w:tc>
          <w:p>
            <w:pPr>
              <w:pStyle w:val="Compact"/>
              <w:jc w:val="left"/>
            </w:pPr>
            <w:r>
              <w:t xml:space="preserve">Patent Portfolio Quality</w:t>
            </w:r>
          </w:p>
        </w:tc>
        <w:tc>
          <w:p>
            <w:pPr>
              <w:pStyle w:val="Compact"/>
              <w:jc w:val="left"/>
            </w:pPr>
            <w:r>
              <w:rPr>
                <w:b/>
              </w:rPr>
              <w:t xml:space="preserve">Moderate</w:t>
            </w:r>
          </w:p>
        </w:tc>
        <w:tc>
          <w:p>
            <w:pPr>
              <w:pStyle w:val="Compact"/>
              <w:jc w:val="left"/>
            </w:pPr>
            <w:r>
              <w:t xml:space="preserve">Moixa 2008 patents are historically significant; hardware IP less certain</w:t>
            </w:r>
          </w:p>
        </w:tc>
      </w:tr>
      <w:tr>
        <w:tc>
          <w:p>
            <w:pPr>
              <w:pStyle w:val="Compact"/>
              <w:jc w:val="left"/>
            </w:pPr>
            <w:r>
              <w:t xml:space="preserve">Data Moat</w:t>
            </w:r>
          </w:p>
        </w:tc>
        <w:tc>
          <w:p>
            <w:pPr>
              <w:pStyle w:val="Compact"/>
              <w:jc w:val="left"/>
            </w:pPr>
            <w:r>
              <w:rPr>
                <w:b/>
              </w:rPr>
              <w:t xml:space="preserve">Moderate</w:t>
            </w:r>
          </w:p>
        </w:tc>
        <w:tc>
          <w:p>
            <w:pPr>
              <w:pStyle w:val="Compact"/>
              <w:jc w:val="left"/>
            </w:pPr>
            <w:r>
              <w:t xml:space="preserve">150M hours of training data is real but Tesla has 6x more deployed units</w:t>
            </w:r>
          </w:p>
        </w:tc>
      </w:tr>
      <w:tr>
        <w:tc>
          <w:p>
            <w:pPr>
              <w:pStyle w:val="Compact"/>
              <w:jc w:val="left"/>
            </w:pPr>
            <w:r>
              <w:t xml:space="preserve">Revenue Visibility</w:t>
            </w:r>
          </w:p>
        </w:tc>
        <w:tc>
          <w:p>
            <w:pPr>
              <w:pStyle w:val="Compact"/>
              <w:jc w:val="left"/>
            </w:pPr>
            <w:r>
              <w:rPr>
                <w:b/>
              </w:rPr>
              <w:t xml:space="preserve">Low</w:t>
            </w:r>
          </w:p>
        </w:tc>
        <w:tc>
          <w:p>
            <w:pPr>
              <w:pStyle w:val="Compact"/>
              <w:jc w:val="left"/>
            </w:pPr>
            <w:r>
              <w:t xml:space="preserve">No disclosure; California program disruption creates uncertainty</w:t>
            </w:r>
          </w:p>
        </w:tc>
      </w:tr>
      <w:tr>
        <w:tc>
          <w:p>
            <w:pPr>
              <w:pStyle w:val="Compact"/>
              <w:jc w:val="left"/>
            </w:pPr>
            <w:r>
              <w:t xml:space="preserve">Competitive Threat</w:t>
            </w:r>
          </w:p>
        </w:tc>
        <w:tc>
          <w:p>
            <w:pPr>
              <w:pStyle w:val="Compact"/>
              <w:jc w:val="left"/>
            </w:pPr>
            <w:r>
              <w:rPr>
                <w:b/>
              </w:rPr>
              <w:t xml:space="preserve">High</w:t>
            </w:r>
          </w:p>
        </w:tc>
        <w:tc>
          <w:p>
            <w:pPr>
              <w:pStyle w:val="Compact"/>
              <w:jc w:val="left"/>
            </w:pPr>
            <w:r>
              <w:t xml:space="preserve">Base Power ($1.2B), Voltus-Octopus, Tesla VPP, ChargeScape</w:t>
            </w:r>
          </w:p>
        </w:tc>
      </w:tr>
      <w:tr>
        <w:tc>
          <w:p>
            <w:pPr>
              <w:pStyle w:val="Compact"/>
              <w:jc w:val="left"/>
            </w:pPr>
            <w:r>
              <w:t xml:space="preserve">Japan Opportunity</w:t>
            </w:r>
          </w:p>
        </w:tc>
        <w:tc>
          <w:p>
            <w:pPr>
              <w:pStyle w:val="Compact"/>
              <w:jc w:val="left"/>
            </w:pPr>
            <w:r>
              <w:rPr>
                <w:b/>
              </w:rPr>
              <w:t xml:space="preserve">High</w:t>
            </w:r>
          </w:p>
        </w:tc>
        <w:tc>
          <w:p>
            <w:pPr>
              <w:pStyle w:val="Compact"/>
              <w:jc w:val="left"/>
            </w:pPr>
            <w:r>
              <w:t xml:space="preserve">2026 market opening is real; GSJ structure is well-positioned</w:t>
            </w:r>
          </w:p>
        </w:tc>
      </w:tr>
      <w:tr>
        <w:tc>
          <w:p>
            <w:pPr>
              <w:pStyle w:val="Compact"/>
              <w:jc w:val="left"/>
            </w:pPr>
            <w:r>
              <w:t xml:space="preserve">V2G Positioning</w:t>
            </w:r>
          </w:p>
        </w:tc>
        <w:tc>
          <w:p>
            <w:pPr>
              <w:pStyle w:val="Compact"/>
              <w:jc w:val="left"/>
            </w:pPr>
            <w:r>
              <w:rPr>
                <w:b/>
              </w:rPr>
              <w:t xml:space="preserve">Low</w:t>
            </w:r>
          </w:p>
        </w:tc>
        <w:tc>
          <w:p>
            <w:pPr>
              <w:pStyle w:val="Compact"/>
              <w:jc w:val="left"/>
            </w:pPr>
            <w:r>
              <w:t xml:space="preserve">Honda partnership exists but ChargeScape is Honda’s primary V2G vehicle</w:t>
            </w:r>
          </w:p>
        </w:tc>
      </w:tr>
      <w:tr>
        <w:tc>
          <w:p>
            <w:pPr>
              <w:pStyle w:val="Compact"/>
              <w:jc w:val="left"/>
            </w:pPr>
            <w:r>
              <w:t xml:space="preserve">Management Execution Risk</w:t>
            </w:r>
          </w:p>
        </w:tc>
        <w:tc>
          <w:p>
            <w:pPr>
              <w:pStyle w:val="Compact"/>
              <w:jc w:val="left"/>
            </w:pPr>
            <w:r>
              <w:rPr>
                <w:b/>
              </w:rPr>
              <w:t xml:space="preserve">Moderate</w:t>
            </w:r>
          </w:p>
        </w:tc>
        <w:tc>
          <w:p>
            <w:pPr>
              <w:pStyle w:val="Compact"/>
              <w:jc w:val="left"/>
            </w:pPr>
            <w:r>
              <w:t xml:space="preserve">Dual hardware/software scaling is inherently complex</w:t>
            </w:r>
          </w:p>
        </w:tc>
      </w:tr>
    </w:tbl>
    <w:p>
      <w:pPr>
        <w:pStyle w:val="BodyText"/>
      </w:pPr>
      <w:r>
        <w:rPr>
          <w:b/>
        </w:rPr>
        <w:t xml:space="preserve">Bottom line</w:t>
      </w:r>
      <w:r>
        <w:t xml:space="preserve">: Gridshare is Lunar’s most differentiated asset, and its most undermonetized one. The hardware business is necessary to prove the software’s value but is competing in an intensely funded market. The Japan operation is the most concrete near-term revenue opportunity but is governed by a structure Lunar doesn’t control. The next 18 months — hardware scale-up, Japan 2026 market opening, post-DSGS US VPP program navigation, and Honda’s ChargeScape decisions — will determine whether the integrated hardware-software thesis produces a defensible market position or whether Lunar finds itself outgunned on both sides simultaneously.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2026-02-28T04:44:27Z</dcterms:created>
  <dcterms:modified xsi:type="dcterms:W3CDTF">2026-02-28T04:44:27Z</dcterms:modified>
</cp:coreProperties>
</file>

<file path=docProps/custom.xml><?xml version="1.0" encoding="utf-8"?>
<Properties xmlns="http://schemas.openxmlformats.org/officeDocument/2006/custom-properties" xmlns:vt="http://schemas.openxmlformats.org/officeDocument/2006/docPropsVTypes"/>
</file>