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c4185e4372f9ce331ec8cecda7a45b0cd30daa"/>
      <w:r>
        <w:t xml:space="preserve">COMPREHENSIVE REGULATORY ANALYSIS: LUNAR ENERGY (COMPRESSED)</w:t>
      </w:r>
      <w:bookmarkEnd w:id="20"/>
    </w:p>
    <w:p>
      <w:pPr>
        <w:pStyle w:val="Heading3"/>
      </w:pPr>
      <w:bookmarkStart w:id="21" w:name="february-2026"/>
      <w:r>
        <w:t xml:space="preserve">February 2026</w:t>
      </w:r>
      <w:bookmarkEnd w:id="21"/>
    </w:p>
    <w:p>
      <w:r>
        <w:pict>
          <v:rect style="width:0;height:1.5pt" o:hralign="center" o:hrstd="t" o:hr="t"/>
        </w:pict>
      </w:r>
    </w:p>
    <w:p>
      <w:pPr>
        <w:pStyle w:val="Heading2"/>
      </w:pPr>
      <w:bookmarkStart w:id="22" w:name="section-1-federal-itc-status-impact"/>
      <w:r>
        <w:t xml:space="preserve">SECTION 1: FEDERAL ITC — STATUS &amp; IMPACT</w:t>
      </w:r>
      <w:bookmarkEnd w:id="22"/>
    </w:p>
    <w:p>
      <w:pPr>
        <w:pStyle w:val="Heading3"/>
      </w:pPr>
      <w:bookmarkStart w:id="23" w:name="a.-section-25d-eliminated"/>
      <w:r>
        <w:t xml:space="preserve">1A. Section 25D Eliminated</w:t>
      </w:r>
      <w:bookmarkEnd w:id="23"/>
    </w:p>
    <w:p>
      <w:pPr>
        <w:pStyle w:val="FirstParagraph"/>
      </w:pPr>
      <w:r>
        <w:rPr>
          <w:b/>
        </w:rPr>
        <w:t xml:space="preserve">One Big Beautiful Bill Act</w:t>
      </w:r>
      <w:r>
        <w:t xml:space="preserve"> </w:t>
      </w:r>
      <w:r>
        <w:t xml:space="preserve">(P.L. 119-21) repealed the residential clean energy credit (RCEC) for expenditures after December 31, 2025 — nearly a decade ahead of schedule, no phase-down. Previously, gradual phase-down was to start 2033, expire end of 2034. Installation completion date triggers: if completed after Dec 31, 2025, no credit.</w:t>
      </w:r>
    </w:p>
    <w:p>
      <w:pPr>
        <w:pStyle w:val="BodyText"/>
      </w:pPr>
      <w:r>
        <w:rPr>
          <w:b/>
        </w:rPr>
        <w:t xml:space="preserve">Carryforward preserved</w:t>
      </w:r>
      <w:r>
        <w:t xml:space="preserve">: Taxpayers with qualifying pre-2025 expenditures may carry forward unused RCEC amounts.</w:t>
      </w:r>
    </w:p>
    <w:p>
      <w:pPr>
        <w:pStyle w:val="BodyText"/>
      </w:pPr>
      <w:r>
        <w:rPr>
          <w:b/>
        </w:rPr>
        <w:t xml:space="preserve">Section 48E for Third-Party Owners remains</w:t>
      </w:r>
      <w:r>
        <w:t xml:space="preserve">: 30%+ credit for business-owned panels (lease/PPA structures). Final OBBB version restored lease/PPA company eligibility.</w:t>
      </w:r>
      <w:r>
        <w:t xml:space="preserve"> </w:t>
      </w:r>
      <w:r>
        <w:rPr>
          <w:b/>
        </w:rPr>
        <w:t xml:space="preserve">48E credit for residential solar leases/PPAs effective through end of 2027.</w:t>
      </w:r>
      <w:r>
        <w:t xml:space="preserve"> </w:t>
      </w:r>
      <w:r>
        <w:t xml:space="preserve">However, 48E terminates for wind/solar placed in service after Dec 31, 2027 (with BOC exception: 12 months following enactment, July 4, 2026).</w:t>
      </w:r>
    </w:p>
    <w:p>
      <w:pPr>
        <w:pStyle w:val="BodyText"/>
      </w:pPr>
      <w:r>
        <w:rPr>
          <w:b/>
        </w:rPr>
        <w:t xml:space="preserve">Critical distinction — battery storage treated differently</w:t>
      </w:r>
      <w:r>
        <w:t xml:space="preserve">: Unlike solar/wind, credits for battery storage extended until 2033 (phaseout starting 2034 per original IRA schedule).</w:t>
      </w:r>
      <w:r>
        <w:t xml:space="preserve"> </w:t>
      </w:r>
      <w:r>
        <w:rPr>
          <w:b/>
        </w:rPr>
        <w:t xml:space="preserve">Decisive advantage for Lunar</w:t>
      </w:r>
      <w:r>
        <w:t xml:space="preserve"> </w:t>
      </w:r>
      <w:r>
        <w:t xml:space="preserve">as battery-centric company.</w:t>
      </w:r>
    </w:p>
    <w:p>
      <w:pPr>
        <w:pStyle w:val="Heading3"/>
      </w:pPr>
      <w:bookmarkStart w:id="24" w:name="dollar-impact-modeling"/>
      <w:r>
        <w:t xml:space="preserve">Dollar Impact Modeling</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Pre-2025</w:t>
            </w:r>
          </w:p>
        </w:tc>
        <w:tc>
          <w:tcPr>
            <w:tcBorders>
              <w:bottom w:val="single"/>
            </w:tcBorders>
            <w:vAlign w:val="bottom"/>
          </w:tcPr>
          <w:p>
            <w:pPr>
              <w:pStyle w:val="Compact"/>
              <w:jc w:val="left"/>
            </w:pPr>
            <w:r>
              <w:t xml:space="preserve">Post-2025</w:t>
            </w:r>
          </w:p>
        </w:tc>
      </w:tr>
      <w:tr>
        <w:tc>
          <w:p>
            <w:pPr>
              <w:pStyle w:val="Compact"/>
              <w:jc w:val="left"/>
            </w:pPr>
            <w:r>
              <w:t xml:space="preserve">Homeowner cash purchase ($25K system)</w:t>
            </w:r>
          </w:p>
        </w:tc>
        <w:tc>
          <w:p>
            <w:pPr>
              <w:pStyle w:val="Compact"/>
              <w:jc w:val="left"/>
            </w:pPr>
            <w:r>
              <w:t xml:space="preserve">$17,500 after 25D (30%)</w:t>
            </w:r>
          </w:p>
        </w:tc>
        <w:tc>
          <w:p>
            <w:pPr>
              <w:pStyle w:val="Compact"/>
              <w:jc w:val="left"/>
            </w:pPr>
            <w:r>
              <w:rPr>
                <w:b/>
              </w:rPr>
              <w:t xml:space="preserve">$25,000 (no credit)</w:t>
            </w:r>
            <w:r>
              <w:t xml:space="preserve"> </w:t>
            </w:r>
            <w:r>
              <w:t xml:space="preserve">— 43% increase</w:t>
            </w:r>
          </w:p>
        </w:tc>
      </w:tr>
      <w:tr>
        <w:tc>
          <w:p>
            <w:pPr>
              <w:pStyle w:val="Compact"/>
              <w:jc w:val="left"/>
            </w:pPr>
            <w:r>
              <w:t xml:space="preserve">Sunrun lease (48E, FEOC-compliant)</w:t>
            </w:r>
          </w:p>
        </w:tc>
        <w:tc>
          <w:p>
            <w:pPr>
              <w:pStyle w:val="Compact"/>
              <w:jc w:val="left"/>
            </w:pPr>
            <w:r>
              <w:t xml:space="preserve">48E not available for residential</w:t>
            </w:r>
          </w:p>
        </w:tc>
        <w:tc>
          <w:p>
            <w:pPr>
              <w:pStyle w:val="Compact"/>
              <w:jc w:val="left"/>
            </w:pPr>
            <w:r>
              <w:t xml:space="preserve">$7,500–$10,000 captured by Sunrun</w:t>
            </w:r>
          </w:p>
        </w:tc>
      </w:tr>
      <w:tr>
        <w:tc>
          <w:p>
            <w:pPr>
              <w:pStyle w:val="Compact"/>
              <w:jc w:val="left"/>
            </w:pPr>
            <w:r>
              <w:t xml:space="preserve">Battery standalone</w:t>
            </w:r>
          </w:p>
        </w:tc>
        <w:tc>
          <w:p>
            <w:pPr>
              <w:pStyle w:val="Compact"/>
              <w:jc w:val="left"/>
            </w:pPr>
            <w:r>
              <w:t xml:space="preserve">25D: 30% credit</w:t>
            </w:r>
          </w:p>
        </w:tc>
        <w:tc>
          <w:p>
            <w:pPr>
              <w:pStyle w:val="Compact"/>
              <w:jc w:val="left"/>
            </w:pPr>
            <w:r>
              <w:rPr>
                <w:b/>
              </w:rPr>
              <w:t xml:space="preserve">48E still applies through 2033</w:t>
            </w:r>
          </w:p>
        </w:tc>
      </w:tr>
    </w:tbl>
    <w:p>
      <w:pPr>
        <w:pStyle w:val="BodyText"/>
      </w:pPr>
      <w:r>
        <w:rPr>
          <w:b/>
        </w:rPr>
        <w:t xml:space="preserve">Structural shift</w:t>
      </w:r>
      <w:r>
        <w:t xml:space="preserve">: 25D elimination + 48E intact for storage through 2033 dramatically advantages Lunar’s Sunrun lease channel. In 2026, TPO is the only way homeowners access federal tax credit.</w:t>
      </w:r>
      <w:r>
        <w:t xml:space="preserve"> </w:t>
      </w:r>
      <w:r>
        <w:rPr>
          <w:b/>
        </w:rPr>
        <w:t xml:space="preserve">Tailwind</w:t>
      </w:r>
      <w:r>
        <w:t xml:space="preserve"> </w:t>
      </w:r>
      <w:r>
        <w:t xml:space="preserve">for B2B2C Sunrun channel;</w:t>
      </w:r>
      <w:r>
        <w:t xml:space="preserve"> </w:t>
      </w:r>
      <w:r>
        <w:rPr>
          <w:b/>
        </w:rPr>
        <w:t xml:space="preserve">headwind</w:t>
      </w:r>
      <w:r>
        <w:t xml:space="preserve"> </w:t>
      </w:r>
      <w:r>
        <w:t xml:space="preserve">for direct cash sales.</w:t>
      </w:r>
    </w:p>
    <w:p>
      <w:pPr>
        <w:pStyle w:val="BodyText"/>
      </w:pPr>
      <w:r>
        <w:rPr>
          <w:b/>
        </w:rPr>
        <w:t xml:space="preserve">Lease vs. PPA distinction (OBBB)</w:t>
      </w:r>
      <w:r>
        <w:t xml:space="preserve">: ITC/PTC disallowed for solar/wind property</w:t>
      </w:r>
      <w:r>
        <w:t xml:space="preserve"> </w:t>
      </w:r>
      <w:r>
        <w:rPr>
          <w:i/>
        </w:rPr>
        <w:t xml:space="preserve">leased</w:t>
      </w:r>
      <w:r>
        <w:t xml:space="preserve"> </w:t>
      </w:r>
      <w:r>
        <w:t xml:space="preserve">to residents. PPA structures appear unaffected. Sunrun/Lunar must ensure product is characterized as PPA, not lease — distinction worth up to $10,000/system.</w:t>
      </w:r>
    </w:p>
    <w:p>
      <w:pPr>
        <w:pStyle w:val="Heading3"/>
      </w:pPr>
      <w:bookmarkStart w:id="25" w:name="b.-domestic-content-bonus-credit"/>
      <w:r>
        <w:t xml:space="preserve">1B. Domestic Content Bonus Credit</w:t>
      </w:r>
      <w:bookmarkEnd w:id="25"/>
    </w:p>
    <w:p>
      <w:pPr>
        <w:pStyle w:val="FirstParagraph"/>
      </w:pPr>
      <w:r>
        <w:rPr>
          <w:b/>
        </w:rPr>
        <w:t xml:space="preserve">Mechanism</w:t>
      </w:r>
      <w:r>
        <w:t xml:space="preserve">: 10 percentage-point increase to 48E for projects meeting domestic content threshold. At $25K system: base 30% = $7,500 + domestic content 10% = $2,500 =</w:t>
      </w:r>
      <w:r>
        <w:t xml:space="preserve"> </w:t>
      </w:r>
      <w:r>
        <w:rPr>
          <w:b/>
        </w:rPr>
        <w:t xml:space="preserve">$10,000 total</w:t>
      </w:r>
      <w:r>
        <w:t xml:space="preserve">.</w:t>
      </w:r>
    </w:p>
    <w:p>
      <w:pPr>
        <w:pStyle w:val="BodyText"/>
      </w:pPr>
      <w:r>
        <w:rPr>
          <w:b/>
        </w:rPr>
        <w:t xml:space="preserve">Threshold schedule (post-OBBB)</w:t>
      </w:r>
      <w:r>
        <w:t xml:space="preserve">: 40% (pre-2025) → 45% (2025) → 50% (2026) →</w:t>
      </w:r>
      <w:r>
        <w:t xml:space="preserve"> </w:t>
      </w:r>
      <w:r>
        <w:rPr>
          <w:b/>
        </w:rPr>
        <w:t xml:space="preserve">55% (after 2026)</w:t>
      </w:r>
      <w:r>
        <w:t xml:space="preserve">. Notice 2025-08 revises BESS cost percentages specifically.</w:t>
      </w:r>
    </w:p>
    <w:p>
      <w:pPr>
        <w:pStyle w:val="BodyText"/>
      </w:pPr>
      <w:r>
        <w:rPr>
          <w:b/>
        </w:rPr>
        <w:t xml:space="preserve">Qualification difficulty</w:t>
      </w:r>
      <w:r>
        <w:t xml:space="preserve">: Proving hardest IRA bonus to claim. Requires actual material/labor costs from manufacturers — challenging documentation. If built, this capability becomes competitive moat.</w:t>
      </w:r>
    </w:p>
    <w:p>
      <w:pPr>
        <w:pStyle w:val="Heading3"/>
      </w:pPr>
      <w:bookmarkStart w:id="26" w:name="c.-feocpfe-rules"/>
      <w:r>
        <w:t xml:space="preserve">1C. FEOC/PFE Rules</w:t>
      </w:r>
      <w:bookmarkEnd w:id="26"/>
    </w:p>
    <w:p>
      <w:pPr>
        <w:pStyle w:val="FirstParagraph"/>
      </w:pPr>
      <w:r>
        <w:rPr>
          <w:b/>
        </w:rPr>
        <w:t xml:space="preserve">FEOC definition</w:t>
      </w:r>
      <w:r>
        <w:t xml:space="preserve">: Entities under jurisdiction of, or 25% owned/controlled by, China, Russia, North Korea, Iran governments. Also specific license/contract relationships.</w:t>
      </w:r>
    </w:p>
    <w:p>
      <w:pPr>
        <w:pStyle w:val="BodyText"/>
      </w:pPr>
      <w:r>
        <w:rPr>
          <w:b/>
        </w:rPr>
        <w:t xml:space="preserve">OBBB</w:t>
      </w:r>
      <w:r>
        <w:rPr>
          <w:b/>
        </w:rPr>
        <w:t xml:space="preserve"> </w:t>
      </w:r>
      <w:r>
        <w:rPr>
          <w:b/>
        </w:rPr>
        <w:t xml:space="preserve">“</w:t>
      </w:r>
      <w:r>
        <w:rPr>
          <w:b/>
        </w:rPr>
        <w:t xml:space="preserve">Prohibited Foreign Entity</w:t>
      </w:r>
      <w:r>
        <w:rPr>
          <w:b/>
        </w:rPr>
        <w:t xml:space="preserve">”</w:t>
      </w:r>
      <w:r>
        <w:rPr>
          <w:b/>
        </w:rPr>
        <w:t xml:space="preserve"> </w:t>
      </w:r>
      <w:r>
        <w:rPr>
          <w:b/>
        </w:rPr>
        <w:t xml:space="preserve">(PFE) framework</w:t>
      </w:r>
      <w:r>
        <w:t xml:space="preserve">:</w:t>
      </w:r>
      <w:r>
        <w:t xml:space="preserve"> </w:t>
      </w:r>
      <w:r>
        <w:t xml:space="preserve">“</w:t>
      </w:r>
      <w:r>
        <w:t xml:space="preserve">FEOC on steroids.</w:t>
      </w:r>
      <w:r>
        <w:t xml:space="preserve">”</w:t>
      </w:r>
      <w:r>
        <w:t xml:space="preserve"> </w:t>
      </w:r>
      <w:r>
        <w:t xml:space="preserve">Applies more broadly than Section 30D, reaches more deeply.</w:t>
      </w:r>
    </w:p>
    <w:p>
      <w:pPr>
        <w:pStyle w:val="BodyText"/>
      </w:pPr>
      <w:r>
        <w:rPr>
          <w:b/>
        </w:rPr>
        <w:t xml:space="preserve">Material Assistance Cost Ratio (MACR)</w:t>
      </w:r>
      <w:r>
        <w:t xml:space="preserve"> </w:t>
      </w:r>
      <w:r>
        <w:t xml:space="preserve">— Notice 2026-15 (Feb 12, 2026): MACR = (Total Direct Cost – PFE Direct Cost) / Total Direct Cost. Minimum 55% non-FEOC for 2026 projects, rising 5%/year to 75% in 2030+. Treasury safe harbour tables from domestic content can be used for FEOC calculations.</w:t>
      </w:r>
    </w:p>
    <w:p>
      <w:pPr>
        <w:pStyle w:val="BodyText"/>
      </w:pPr>
      <w:r>
        <w:rPr>
          <w:b/>
        </w:rPr>
        <w:t xml:space="preserve">Lunar’s FEOC risk layers</w:t>
      </w:r>
      <w:r>
        <w:t xml:space="preserve">:</w:t>
      </w:r>
      <w:r>
        <w:t xml:space="preserve"> </w:t>
      </w:r>
      <w:r>
        <w:t xml:space="preserve">1. SK On corporate: Likely clean (Korean, &lt;25% Chinese ownership)</w:t>
      </w:r>
      <w:r>
        <w:t xml:space="preserve"> </w:t>
      </w:r>
      <w:r>
        <w:t xml:space="preserve">2. Cathode materials: High risk — most precursors flow through Chinese processing</w:t>
      </w:r>
      <w:r>
        <w:t xml:space="preserve"> </w:t>
      </w:r>
      <w:r>
        <w:t xml:space="preserve">3. Transition relief: Temporary exclusion of certain battery materials from FEOC due diligence until 2027</w:t>
      </w:r>
      <w:r>
        <w:t xml:space="preserve"> </w:t>
      </w:r>
      <w:r>
        <w:t xml:space="preserve">4. Post-2027: If SK On upstream still touches Chinese processing, 48E storage credit at risk</w:t>
      </w:r>
    </w:p>
    <w:p>
      <w:pPr>
        <w:pStyle w:val="BodyText"/>
      </w:pPr>
      <w:r>
        <w:rPr>
          <w:b/>
        </w:rPr>
        <w:t xml:space="preserve">FEOC stranded asset risk</w:t>
      </w:r>
      <w:r>
        <w:t xml:space="preserve">: Tax-equity investors demand claw-back protection; asset becomes unfinanceable if mid-term non-compliant.</w:t>
      </w:r>
    </w:p>
    <w:p>
      <w:r>
        <w:pict>
          <v:rect style="width:0;height:1.5pt" o:hralign="center" o:hrstd="t" o:hr="t"/>
        </w:pict>
      </w:r>
    </w:p>
    <w:p>
      <w:pPr>
        <w:pStyle w:val="Heading2"/>
      </w:pPr>
      <w:bookmarkStart w:id="27" w:name="section-2-california-policy"/>
      <w:r>
        <w:t xml:space="preserve">SECTION 2: CALIFORNIA POLICY</w:t>
      </w:r>
      <w:bookmarkEnd w:id="27"/>
    </w:p>
    <w:p>
      <w:pPr>
        <w:pStyle w:val="Heading3"/>
      </w:pPr>
      <w:bookmarkStart w:id="28" w:name="a.-nem-3.0-net-billing-tariff"/>
      <w:r>
        <w:t xml:space="preserve">2A. NEM 3.0 (Net Billing Tariff)</w:t>
      </w:r>
      <w:bookmarkEnd w:id="28"/>
    </w:p>
    <w:p>
      <w:pPr>
        <w:pStyle w:val="FirstParagraph"/>
      </w:pPr>
      <w:r>
        <w:t xml:space="preserve">Effective April 15, 2023 (PG&amp;E, SCE, SDG&amp;E). Export compensation dropped from ~$0.30–0.35/kWh (NEM 2.0 retail) to ~$0.08/kWh (ACC wholesale) —</w:t>
      </w:r>
      <w:r>
        <w:t xml:space="preserve"> </w:t>
      </w:r>
      <w:r>
        <w:rPr>
          <w:b/>
        </w:rPr>
        <w:t xml:space="preserve">75% reduction</w:t>
      </w:r>
      <w:r>
        <w:t xml:space="preserve">. But peak summer evening exports can earn $0.52/kWh — nearly double NEM 2.0. System paybacks: 8–10 years solar-only,</w:t>
      </w:r>
      <w:r>
        <w:t xml:space="preserve"> </w:t>
      </w:r>
      <w:r>
        <w:rPr>
          <w:b/>
        </w:rPr>
        <w:t xml:space="preserve">7–8 years with storage</w:t>
      </w:r>
      <w:r>
        <w:t xml:space="preserve">.</w:t>
      </w:r>
    </w:p>
    <w:p>
      <w:pPr>
        <w:pStyle w:val="BodyText"/>
      </w:pPr>
      <w:r>
        <w:t xml:space="preserve">Battery attachment rates surged from 11% (pre-2023) to 50%+ by April 2024, some installers reporting 60–90%. NEM 2.0 customers can add battery storage and</w:t>
      </w:r>
      <w:r>
        <w:t xml:space="preserve"> </w:t>
      </w:r>
      <w:r>
        <w:rPr>
          <w:b/>
        </w:rPr>
        <w:t xml:space="preserve">retain NEM 2.0 status</w:t>
      </w:r>
      <w:r>
        <w:t xml:space="preserve"> </w:t>
      </w:r>
      <w:r>
        <w:t xml:space="preserve">— creates large retrofitting market (millions of grandfathered customers).</w:t>
      </w:r>
    </w:p>
    <w:p>
      <w:pPr>
        <w:pStyle w:val="Heading3"/>
      </w:pPr>
      <w:bookmarkStart w:id="29" w:name="b.-sgip-critical-finding"/>
      <w:r>
        <w:t xml:space="preserve">2B. SGIP — Critical Finding</w:t>
      </w:r>
      <w:bookmarkEnd w:id="29"/>
    </w:p>
    <w:p>
      <w:pPr>
        <w:pStyle w:val="FirstParagraph"/>
      </w:pPr>
      <w:r>
        <w:rPr>
          <w:b/>
        </w:rPr>
        <w:t xml:space="preserve">General market funding exhausted.</w:t>
      </w:r>
      <w:r>
        <w:t xml:space="preserve"> </w:t>
      </w:r>
      <w:r>
        <w:t xml:space="preserve">Ratepayer budgets closed to new applicants as of Dec 31, 2025. RSSE AB 209 budget fully reserved (waitlist only). Only equity/low-income budgets remain: $850/kWh (Equity) or $1,000/kWh (Equity Resilience). $280M authorized for RSSE. VPP enrollment required for SGIP recipients.</w:t>
      </w:r>
    </w:p>
    <w:p>
      <w:pPr>
        <w:pStyle w:val="BodyText"/>
      </w:pPr>
      <w:r>
        <w:rPr>
          <w:b/>
        </w:rPr>
        <w:t xml:space="preserve">Impact</w:t>
      </w:r>
      <w:r>
        <w:t xml:space="preserve">: SGIP no longer available for Lunar’s mainstream affluent homeowner demographic. Any investor model including standard SGIP for non-income-qualified customers is</w:t>
      </w:r>
      <w:r>
        <w:t xml:space="preserve"> </w:t>
      </w:r>
      <w:r>
        <w:rPr>
          <w:b/>
        </w:rPr>
        <w:t xml:space="preserve">materially incorrect</w:t>
      </w:r>
      <w:r>
        <w:t xml:space="preserve">.</w:t>
      </w:r>
    </w:p>
    <w:p>
      <w:pPr>
        <w:pStyle w:val="Heading3"/>
      </w:pPr>
      <w:bookmarkStart w:id="30" w:name="c.-cca-vpp-programs"/>
      <w:r>
        <w:t xml:space="preserve">2C. CCA VPP Programs</w:t>
      </w:r>
      <w:bookmarkEnd w:id="30"/>
    </w:p>
    <w:p>
      <w:pPr>
        <w:pStyle w:val="FirstParagraph"/>
      </w:pPr>
      <w:r>
        <w:t xml:space="preserve">Lunar partnerships: Peninsula Clean Energy, Silicon Valley Clean Energy, Ava Community Energy. Additional CCAs with programs: Central Coast Community Energy (3CE — battery rebates for 5–26 kWh systems), Marin Clean Energy, Sonoma Clean Power, East Bay Community Energy, CleanPowerSF, San Diego Community Power. Each has independent procurement authority. Expansion to SoCal CCAs is obvious next step.</w:t>
      </w:r>
    </w:p>
    <w:p>
      <w:pPr>
        <w:pStyle w:val="Heading3"/>
      </w:pPr>
      <w:bookmarkStart w:id="31" w:name="d.-california-utility-vpp"/>
      <w:r>
        <w:t xml:space="preserve">2D. California Utility VPP</w:t>
      </w:r>
      <w:bookmarkEnd w:id="31"/>
    </w:p>
    <w:p>
      <w:pPr>
        <w:pStyle w:val="FirstParagraph"/>
      </w:pPr>
      <w:r>
        <w:t xml:space="preserve">PG&amp;E ELRP, SCE demand response portfolio. SGIP now requires battery owners participate in utility demand response as rebate condition.</w:t>
      </w:r>
    </w:p>
    <w:p>
      <w:r>
        <w:pict>
          <v:rect style="width:0;height:1.5pt" o:hralign="center" o:hrstd="t" o:hr="t"/>
        </w:pict>
      </w:r>
    </w:p>
    <w:p>
      <w:pPr>
        <w:pStyle w:val="Heading2"/>
      </w:pPr>
      <w:bookmarkStart w:id="32" w:name="section-3-expansion-states"/>
      <w:r>
        <w:t xml:space="preserve">SECTION 3: EXPANSION STATES</w:t>
      </w:r>
      <w:bookmarkEnd w:id="32"/>
    </w:p>
    <w:p>
      <w:pPr>
        <w:pStyle w:val="Heading3"/>
      </w:pPr>
      <w:bookmarkStart w:id="33" w:name="texas-ercot"/>
      <w:r>
        <w:t xml:space="preserve">Texas (ERCOT)</w:t>
      </w:r>
      <w:bookmarkEnd w:id="33"/>
    </w:p>
    <w:p>
      <w:pPr>
        <w:pStyle w:val="FirstParagraph"/>
      </w:pPr>
      <w:r>
        <w:t xml:space="preserve">No statewide net metering. Deregulated retail market. ADER pilot: 3 VPPs totaling 25.5 MW approved. Expanding from 80 MW to 160 MW with elimination of load zone limits. December 2025: 1 GW VPP initiative announced (~200,000 homes). Tesla and sonnen already in ADER pilot. Tesla pays $10/Powerwall/month. Sonnen claims 60 MWh fleet, expects to overtake Tesla by end 2026. Grid-attached battery capacity in ERCOT: grown from hundreds of MW to ~14 GW. Regulators plan to expand VPP participation and standardize programs.</w:t>
      </w:r>
    </w:p>
    <w:p>
      <w:pPr>
        <w:pStyle w:val="BodyText"/>
      </w:pPr>
      <w:r>
        <w:rPr>
          <w:b/>
        </w:rPr>
        <w:t xml:space="preserve">Lunar gap</w:t>
      </w:r>
      <w:r>
        <w:t xml:space="preserve">: Not yet an ADER participant — strategic inconsistency given Texas is announced expansion market. Every month of delay = more Tesla/sonnen lock-in.</w:t>
      </w:r>
    </w:p>
    <w:p>
      <w:pPr>
        <w:pStyle w:val="Heading3"/>
      </w:pPr>
      <w:bookmarkStart w:id="34" w:name="utah-nevada"/>
      <w:r>
        <w:t xml:space="preserve">Utah, Nevada</w:t>
      </w:r>
      <w:bookmarkEnd w:id="34"/>
    </w:p>
    <w:p>
      <w:pPr>
        <w:pStyle w:val="FirstParagraph"/>
      </w:pPr>
      <w:r>
        <w:t xml:space="preserve">Mildly favorable but lack incentive stacking. No state VPP mandates. No storage incentive programs comparable to SGIP.</w:t>
      </w:r>
    </w:p>
    <w:p>
      <w:pPr>
        <w:pStyle w:val="Heading3"/>
      </w:pPr>
      <w:bookmarkStart w:id="35" w:name="illinois"/>
      <w:r>
        <w:t xml:space="preserve">Illinois</w:t>
      </w:r>
      <w:bookmarkEnd w:id="35"/>
    </w:p>
    <w:p>
      <w:pPr>
        <w:pStyle w:val="FirstParagraph"/>
      </w:pPr>
      <w:r>
        <w:t xml:space="preserve">Clean and Reliable Grid Affordability Act enacted — directs VPP program development. CEJA (2021) created distributed solar/storage incentives. Creates regulated Gridshare market entry in Midwest.</w:t>
      </w:r>
    </w:p>
    <w:p>
      <w:r>
        <w:pict>
          <v:rect style="width:0;height:1.5pt" o:hralign="center" o:hrstd="t" o:hr="t"/>
        </w:pict>
      </w:r>
    </w:p>
    <w:p>
      <w:pPr>
        <w:pStyle w:val="Heading2"/>
      </w:pPr>
      <w:bookmarkStart w:id="36" w:name="section-4-vpp-regulatory-national"/>
      <w:r>
        <w:t xml:space="preserve">SECTION 4: VPP REGULATORY — NATIONAL</w:t>
      </w:r>
      <w:bookmarkEnd w:id="36"/>
    </w:p>
    <w:p>
      <w:pPr>
        <w:pStyle w:val="Heading3"/>
      </w:pPr>
      <w:bookmarkStart w:id="37" w:name="ferc-order-2222"/>
      <w:r>
        <w:t xml:space="preserve">FERC Order 2222</w:t>
      </w:r>
      <w:bookmarkEnd w:id="37"/>
    </w:p>
    <w:p>
      <w:pPr>
        <w:pStyle w:val="FirstParagraph"/>
      </w:pPr>
      <w:r>
        <w:t xml:space="preserve">Issued Sept 2020, removes barriers for DER aggregation in wholesale markets. Implementation: CAISO (Nov 2024), NYISO (April 2024). Remaining: ISO-NE (Nov 2026), PJM (Feb 2028), MISO (June 2029), SPP (Q2 2030).</w:t>
      </w:r>
    </w:p>
    <w:p>
      <w:pPr>
        <w:pStyle w:val="BodyText"/>
      </w:pPr>
      <w:r>
        <w:rPr>
          <w:b/>
        </w:rPr>
        <w:t xml:space="preserve">Political risk</w:t>
      </w:r>
      <w:r>
        <w:t xml:space="preserve">: FERC Chair Christie stated he would</w:t>
      </w:r>
      <w:r>
        <w:t xml:space="preserve"> </w:t>
      </w:r>
      <w:r>
        <w:t xml:space="preserve">“</w:t>
      </w:r>
      <w:r>
        <w:t xml:space="preserve">love to put a one-year sunset</w:t>
      </w:r>
      <w:r>
        <w:t xml:space="preserve">”</w:t>
      </w:r>
      <w:r>
        <w:t xml:space="preserve"> </w:t>
      </w:r>
      <w:r>
        <w:t xml:space="preserve">on Order 2222. Material risk for Gridshare’s national wholesale market ambitions.</w:t>
      </w:r>
    </w:p>
    <w:p>
      <w:pPr>
        <w:pStyle w:val="BodyText"/>
      </w:pPr>
      <w:r>
        <w:rPr>
          <w:b/>
        </w:rPr>
        <w:t xml:space="preserve">Participation reality</w:t>
      </w:r>
      <w:r>
        <w:t xml:space="preserve">: NYISO and CAISO signing up less than 1 DER Aggregator/year. Other 4 organized markets have zero DER Aggregators under 2222. State-level VPP programs are</w:t>
      </w:r>
      <w:r>
        <w:t xml:space="preserve"> </w:t>
      </w:r>
      <w:r>
        <w:rPr>
          <w:b/>
        </w:rPr>
        <w:t xml:space="preserve">more commercially accessible</w:t>
      </w:r>
      <w:r>
        <w:t xml:space="preserve"> </w:t>
      </w:r>
      <w:r>
        <w:t xml:space="preserve">than federal wholesale markets.</w:t>
      </w:r>
    </w:p>
    <w:p>
      <w:pPr>
        <w:pStyle w:val="Heading3"/>
      </w:pPr>
      <w:bookmarkStart w:id="38" w:name="state-vpp-mandates"/>
      <w:r>
        <w:t xml:space="preserve">State VPP Mandates</w:t>
      </w:r>
      <w:bookmarkEnd w:id="38"/>
    </w:p>
    <w:p>
      <w:pPr>
        <w:pStyle w:val="FirstParagraph"/>
      </w:pPr>
      <w:r>
        <w:t xml:space="preserve">38 states + DC took 105 VPP/DER policy actions in 2024. North American VPP market: 37.5 GW flexible capacity (+14% YoY). Active deployments, programs, and offtakers each grew 33%+.</w:t>
      </w:r>
    </w:p>
    <w:p>
      <w:pPr>
        <w:pStyle w:val="BodyText"/>
      </w:pPr>
      <w:r>
        <w:rPr>
          <w:b/>
        </w:rPr>
        <w:t xml:space="preserve">Top Gridshare opportunities</w:t>
      </w:r>
      <w:r>
        <w:t xml:space="preserve">:</w:t>
      </w:r>
      <w:r>
        <w:t xml:space="preserve"> </w:t>
      </w:r>
      <w:r>
        <w:t xml:space="preserve">1.</w:t>
      </w:r>
      <w:r>
        <w:t xml:space="preserve"> </w:t>
      </w:r>
      <w:r>
        <w:rPr>
          <w:b/>
        </w:rPr>
        <w:t xml:space="preserve">Texas (ERCOT)</w:t>
      </w:r>
      <w:r>
        <w:t xml:space="preserve">: Live, 160 MW expansion, no FERC barriers</w:t>
      </w:r>
      <w:r>
        <w:t xml:space="preserve"> </w:t>
      </w:r>
      <w:r>
        <w:t xml:space="preserve">2.</w:t>
      </w:r>
      <w:r>
        <w:t xml:space="preserve"> </w:t>
      </w:r>
      <w:r>
        <w:rPr>
          <w:b/>
        </w:rPr>
        <w:t xml:space="preserve">Virginia</w:t>
      </w:r>
      <w:r>
        <w:t xml:space="preserve">: 450 MW mandated Dominion pilot — largest state VPP mandate</w:t>
      </w:r>
      <w:r>
        <w:t xml:space="preserve"> </w:t>
      </w:r>
      <w:r>
        <w:t xml:space="preserve">3.</w:t>
      </w:r>
      <w:r>
        <w:t xml:space="preserve"> </w:t>
      </w:r>
      <w:r>
        <w:rPr>
          <w:b/>
        </w:rPr>
        <w:t xml:space="preserve">Colorado</w:t>
      </w:r>
      <w:r>
        <w:t xml:space="preserve">: Xcel AVPP 25 MW/year x 5 years, third-party aggregators explicitly included</w:t>
      </w:r>
      <w:r>
        <w:t xml:space="preserve"> </w:t>
      </w:r>
      <w:r>
        <w:t xml:space="preserve">4.</w:t>
      </w:r>
      <w:r>
        <w:t xml:space="preserve"> </w:t>
      </w:r>
      <w:r>
        <w:rPr>
          <w:b/>
        </w:rPr>
        <w:t xml:space="preserve">Maryland</w:t>
      </w:r>
      <w:r>
        <w:t xml:space="preserve">: BGE VPP pilot, up to $100/month per residential participant</w:t>
      </w:r>
      <w:r>
        <w:t xml:space="preserve"> </w:t>
      </w:r>
      <w:r>
        <w:t xml:space="preserve">5.</w:t>
      </w:r>
      <w:r>
        <w:t xml:space="preserve"> </w:t>
      </w:r>
      <w:r>
        <w:rPr>
          <w:b/>
        </w:rPr>
        <w:t xml:space="preserve">Illinois</w:t>
      </w:r>
      <w:r>
        <w:t xml:space="preserve">: Legislative mandate, utility programs developing</w:t>
      </w:r>
    </w:p>
    <w:p>
      <w:pPr>
        <w:pStyle w:val="BodyText"/>
      </w:pPr>
      <w:r>
        <w:rPr>
          <w:b/>
        </w:rPr>
        <w:t xml:space="preserve">DOE target</w:t>
      </w:r>
      <w:r>
        <w:t xml:space="preserve">: 80–160 GW VPP by 2030 (3–5x today). Could save $10B in annual grid costs. At $50–100/kW-year =</w:t>
      </w:r>
      <w:r>
        <w:t xml:space="preserve"> </w:t>
      </w:r>
      <w:r>
        <w:rPr>
          <w:b/>
        </w:rPr>
        <w:t xml:space="preserve">$8–16B annual VPP compensation market</w:t>
      </w:r>
      <w:r>
        <w:t xml:space="preserve">.</w:t>
      </w:r>
    </w:p>
    <w:p>
      <w:r>
        <w:pict>
          <v:rect style="width:0;height:1.5pt" o:hralign="center" o:hrstd="t" o:hr="t"/>
        </w:pict>
      </w:r>
    </w:p>
    <w:p>
      <w:pPr>
        <w:pStyle w:val="Heading2"/>
      </w:pPr>
      <w:bookmarkStart w:id="39" w:name="section-5-international"/>
      <w:r>
        <w:t xml:space="preserve">SECTION 5: INTERNATIONAL</w:t>
      </w:r>
      <w:bookmarkEnd w:id="39"/>
    </w:p>
    <w:p>
      <w:pPr>
        <w:pStyle w:val="Heading3"/>
      </w:pPr>
      <w:bookmarkStart w:id="40" w:name="japan"/>
      <w:r>
        <w:t xml:space="preserve">Japan</w:t>
      </w:r>
      <w:bookmarkEnd w:id="40"/>
    </w:p>
    <w:p>
      <w:pPr>
        <w:pStyle w:val="FirstParagraph"/>
      </w:pPr>
      <w:r>
        <w:t xml:space="preserve">Market: $793.8M (2024) → $2.5B by 2035 (+11% CAGR). Tokyo 2025 regulation: solar required on new homes. VPP programs launching fiscal 2026. Gridshare validated with TEPCO, Chubu, Kyushu, Tohoku Electric over 8-month trials.</w:t>
      </w:r>
      <w:r>
        <w:t xml:space="preserve"> </w:t>
      </w:r>
      <w:r>
        <w:rPr>
          <w:b/>
        </w:rPr>
        <w:t xml:space="preserve">Gridshare dispatched 60% more energy than competitor</w:t>
      </w:r>
      <w:r>
        <w:t xml:space="preserve"> </w:t>
      </w:r>
      <w:r>
        <w:t xml:space="preserve">— 48-hour prediction capability key differentiator. METI selected 13 battery aggregators under JPY 9B ($58M) subsidy for 1.1+ GWh aggregated capacity. FIT phase-out creates 500K+ home retrofit opportunity.</w:t>
      </w:r>
    </w:p>
    <w:p>
      <w:pPr>
        <w:pStyle w:val="Heading3"/>
      </w:pPr>
      <w:bookmarkStart w:id="41" w:name="united-kingdom"/>
      <w:r>
        <w:t xml:space="preserve">United Kingdom</w:t>
      </w:r>
      <w:bookmarkEnd w:id="41"/>
    </w:p>
    <w:p>
      <w:pPr>
        <w:pStyle w:val="FirstParagraph"/>
      </w:pPr>
      <w:r>
        <w:t xml:space="preserve">Flexibility market: 9 GW contracted (2024). NESO target: 12 GW consumer-led flexibility by 2030. DFS transformed to year-round balancing tool (Nov 2024). 4M+ participants delivering 7 GWh flex. Ofgem P483 (Aug 2025) removed half-hourly settlement barrier — unlocks 345,000 households. MHHS migration began Oct 2025, 2M meters transitioning. Clean Flexibility Roadmap (July 2025): 55.2 GW by 2030, 204 GW by 2050. Gridshare already supporting UK Power Networks flexibility services.</w:t>
      </w:r>
    </w:p>
    <w:p>
      <w:r>
        <w:pict>
          <v:rect style="width:0;height:1.5pt" o:hralign="center" o:hrstd="t" o:hr="t"/>
        </w:pict>
      </w:r>
    </w:p>
    <w:p>
      <w:pPr>
        <w:pStyle w:val="Heading2"/>
      </w:pPr>
      <w:bookmarkStart w:id="42" w:name="section-6-political-risk-scenarios"/>
      <w:r>
        <w:t xml:space="preserve">SECTION 6: POLITICAL RISK SCENARIOS</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Impact</w:t>
            </w:r>
          </w:p>
        </w:tc>
      </w:tr>
      <w:tr>
        <w:tc>
          <w:p>
            <w:pPr>
              <w:pStyle w:val="Compact"/>
              <w:jc w:val="left"/>
            </w:pPr>
            <w:r>
              <w:t xml:space="preserve">48E storage credit eliminated</w:t>
            </w:r>
          </w:p>
        </w:tc>
        <w:tc>
          <w:p>
            <w:pPr>
              <w:pStyle w:val="Compact"/>
              <w:jc w:val="left"/>
            </w:pPr>
            <w:r>
              <w:t xml:space="preserve">Moderate (2027-28)</w:t>
            </w:r>
          </w:p>
        </w:tc>
        <w:tc>
          <w:p>
            <w:pPr>
              <w:pStyle w:val="Compact"/>
              <w:jc w:val="left"/>
            </w:pPr>
            <w:r>
              <w:t xml:space="preserve">Sunrun loses subsidy mechanism; +$7,500–$10,000 homeowner cost</w:t>
            </w:r>
          </w:p>
        </w:tc>
      </w:tr>
      <w:tr>
        <w:tc>
          <w:p>
            <w:pPr>
              <w:pStyle w:val="Compact"/>
              <w:jc w:val="left"/>
            </w:pPr>
            <w:r>
              <w:t xml:space="preserve">NEM 3.0 loosened</w:t>
            </w:r>
          </w:p>
        </w:tc>
        <w:tc>
          <w:p>
            <w:pPr>
              <w:pStyle w:val="Compact"/>
              <w:jc w:val="left"/>
            </w:pPr>
            <w:r>
              <w:t xml:space="preserve">Very Low</w:t>
            </w:r>
          </w:p>
        </w:tc>
        <w:tc>
          <w:p>
            <w:pPr>
              <w:pStyle w:val="Compact"/>
              <w:jc w:val="left"/>
            </w:pPr>
            <w:r>
              <w:t xml:space="preserve">Unlikely; more likely further rate tightening (strengthens battery)</w:t>
            </w:r>
          </w:p>
        </w:tc>
      </w:tr>
      <w:tr>
        <w:tc>
          <w:p>
            <w:pPr>
              <w:pStyle w:val="Compact"/>
              <w:jc w:val="left"/>
            </w:pPr>
            <w:r>
              <w:t xml:space="preserve">Tariff escalation on battery components</w:t>
            </w:r>
          </w:p>
        </w:tc>
        <w:tc>
          <w:p>
            <w:pPr>
              <w:pStyle w:val="Compact"/>
              <w:jc w:val="left"/>
            </w:pPr>
            <w:r>
              <w:t xml:space="preserve">High (materializing)</w:t>
            </w:r>
          </w:p>
        </w:tc>
        <w:tc>
          <w:p>
            <w:pPr>
              <w:pStyle w:val="Compact"/>
              <w:jc w:val="left"/>
            </w:pPr>
            <w:r>
              <w:t xml:space="preserve">SK On Korean cells likely exempt; double penalty for Chinese-sourced competitors</w:t>
            </w:r>
          </w:p>
        </w:tc>
      </w:tr>
      <w:tr>
        <w:tc>
          <w:p>
            <w:pPr>
              <w:pStyle w:val="Compact"/>
              <w:jc w:val="left"/>
            </w:pPr>
            <w:r>
              <w:t xml:space="preserve">FEOC tightening post-2027</w:t>
            </w:r>
          </w:p>
        </w:tc>
        <w:tc>
          <w:p>
            <w:pPr>
              <w:pStyle w:val="Compact"/>
              <w:jc w:val="left"/>
            </w:pPr>
            <w:r>
              <w:t xml:space="preserve">Medium-High</w:t>
            </w:r>
          </w:p>
        </w:tc>
        <w:tc>
          <w:p>
            <w:pPr>
              <w:pStyle w:val="Compact"/>
              <w:jc w:val="left"/>
            </w:pPr>
            <w:r>
              <w:t xml:space="preserve">MACR 55% (2026) → 75% (2030); SK On upstream risk</w:t>
            </w:r>
          </w:p>
        </w:tc>
      </w:tr>
      <w:tr>
        <w:tc>
          <w:p>
            <w:pPr>
              <w:pStyle w:val="Compact"/>
              <w:jc w:val="left"/>
            </w:pPr>
            <w:r>
              <w:t xml:space="preserve">VPP mandate expansion</w:t>
            </w:r>
          </w:p>
        </w:tc>
        <w:tc>
          <w:p>
            <w:pPr>
              <w:pStyle w:val="Compact"/>
              <w:jc w:val="left"/>
            </w:pPr>
            <w:r>
              <w:t xml:space="preserve">High (positive)</w:t>
            </w:r>
          </w:p>
        </w:tc>
        <w:tc>
          <w:p>
            <w:pPr>
              <w:pStyle w:val="Compact"/>
              <w:jc w:val="left"/>
            </w:pPr>
            <w:r>
              <w:t xml:space="preserve">12+ states considering legislation; 160 GW DOE target</w:t>
            </w:r>
          </w:p>
        </w:tc>
      </w:tr>
    </w:tbl>
    <w:p>
      <w:r>
        <w:pict>
          <v:rect style="width:0;height:1.5pt" o:hralign="center" o:hrstd="t" o:hr="t"/>
        </w:pict>
      </w:r>
    </w:p>
    <w:p>
      <w:pPr>
        <w:pStyle w:val="Heading2"/>
      </w:pPr>
      <w:bookmarkStart w:id="43" w:name="notable-anomalies"/>
      <w:r>
        <w:t xml:space="preserve">NOTABLE ANOMALIES</w:t>
      </w:r>
      <w:bookmarkEnd w:id="43"/>
    </w:p>
    <w:p>
      <w:pPr>
        <w:pStyle w:val="FirstParagraph"/>
      </w:pPr>
      <w:r>
        <w:rPr>
          <w:b/>
        </w:rPr>
        <w:t xml:space="preserve">1. Battery Storage Has Longer Tax Credit Runway Than Solar</w:t>
      </w:r>
      <w:r>
        <w:t xml:space="preserve">: 48E preserved for standalone storage through 2033 while eliminated for solar/wind by end 2027. Lunar’s battery-first model in uniquely protected position for 7+ years. Competitors leading with solar face accelerated elimination.</w:t>
      </w:r>
      <w:r>
        <w:t xml:space="preserve"> </w:t>
      </w:r>
      <w:r>
        <w:rPr>
          <w:b/>
        </w:rPr>
        <w:t xml:space="preserve">Most underreported regulatory fact.</w:t>
      </w:r>
    </w:p>
    <w:p>
      <w:pPr>
        <w:pStyle w:val="BodyText"/>
      </w:pPr>
      <w:r>
        <w:rPr>
          <w:b/>
        </w:rPr>
        <w:t xml:space="preserve">2. IRA Domestic Content</w:t>
      </w:r>
      <w:r>
        <w:rPr>
          <w:b/>
        </w:rPr>
        <w:t xml:space="preserve"> </w:t>
      </w:r>
      <w:r>
        <w:rPr>
          <w:b/>
        </w:rPr>
        <w:t xml:space="preserve">“</w:t>
      </w:r>
      <w:r>
        <w:rPr>
          <w:b/>
        </w:rPr>
        <w:t xml:space="preserve">Drafting Error</w:t>
      </w:r>
      <w:r>
        <w:rPr>
          <w:b/>
        </w:rPr>
        <w:t xml:space="preserve">”</w:t>
      </w:r>
      <w:r>
        <w:t xml:space="preserve">: IRA allowed 10% DC adder under 48E at 40% threshold instead of phased 55%. OBBB partially corrected, but Lunar may benefit from grandfathered project economics if certified during favorable window.</w:t>
      </w:r>
    </w:p>
    <w:p>
      <w:pPr>
        <w:pStyle w:val="BodyText"/>
      </w:pPr>
      <w:r>
        <w:rPr>
          <w:b/>
        </w:rPr>
        <w:t xml:space="preserve">3. SGIP Exhaustion Not Disclosed in Investor Materials</w:t>
      </w:r>
      <w:r>
        <w:t xml:space="preserve">: Lunar touts SGIP as incentive stacking opportunity. General market budgets closed. Only equity/low-income on waitlist. Material change from 18 months ago. Investor models including standard SGIP are incorrect.</w:t>
      </w:r>
    </w:p>
    <w:p>
      <w:pPr>
        <w:pStyle w:val="BodyText"/>
      </w:pPr>
      <w:r>
        <w:rPr>
          <w:b/>
        </w:rPr>
        <w:t xml:space="preserve">4. FERC Order 2222 Participation Vanishingly Thin</w:t>
      </w:r>
      <w:r>
        <w:t xml:space="preserve">: Less than 1 DER Aggregator/year in CAISO and NYISO. Zero in other 4 ISOs. Gridshare’s</w:t>
      </w:r>
      <w:r>
        <w:t xml:space="preserve"> </w:t>
      </w:r>
      <w:r>
        <w:t xml:space="preserve">“</w:t>
      </w:r>
      <w:r>
        <w:t xml:space="preserve">wholesale market access</w:t>
      </w:r>
      <w:r>
        <w:t xml:space="preserve">”</w:t>
      </w:r>
      <w:r>
        <w:t xml:space="preserve"> </w:t>
      </w:r>
      <w:r>
        <w:t xml:space="preserve">technically accurate but commercially trivial. Real revenue from CCA contracts and utility DR programs.</w:t>
      </w:r>
    </w:p>
    <w:p>
      <w:pPr>
        <w:pStyle w:val="BodyText"/>
      </w:pPr>
      <w:r>
        <w:rPr>
          <w:b/>
        </w:rPr>
        <w:t xml:space="preserve">5. OBBB Lease/PPA Distinction — Legal Ambiguity</w:t>
      </w:r>
      <w:r>
        <w:t xml:space="preserve">: If Sunrun’s Lunar product is characterized as</w:t>
      </w:r>
      <w:r>
        <w:t xml:space="preserve"> </w:t>
      </w:r>
      <w:r>
        <w:t xml:space="preserve">“</w:t>
      </w:r>
      <w:r>
        <w:t xml:space="preserve">lease</w:t>
      </w:r>
      <w:r>
        <w:t xml:space="preserve">”</w:t>
      </w:r>
      <w:r>
        <w:t xml:space="preserve"> </w:t>
      </w:r>
      <w:r>
        <w:t xml:space="preserve">rather than PPA, 48E storage credit at risk for combined solar+storage systems. Needs IRS guidance or private letter ruling. Apparently unaddressed.</w:t>
      </w:r>
    </w:p>
    <w:p>
      <w:pPr>
        <w:pStyle w:val="BodyText"/>
      </w:pPr>
      <w:r>
        <w:rPr>
          <w:b/>
        </w:rPr>
        <w:t xml:space="preserve">6. Texas FERC Exemption — Best US VPP Market</w:t>
      </w:r>
      <w:r>
        <w:t xml:space="preserve">: ERCOT independent of FERC. Order 2222 slow implementation and Chair Christie’s hostility irrelevant in Texas. Tesla and sonnen already live in ADER. Lunar absent despite Texas being announced expansion market —</w:t>
      </w:r>
      <w:r>
        <w:t xml:space="preserve"> </w:t>
      </w:r>
      <w:r>
        <w:rPr>
          <w:b/>
        </w:rPr>
        <w:t xml:space="preserve">strategic inconsistency requiring urgent resolution</w:t>
      </w:r>
      <w:r>
        <w:t xml:space="preserve">.</w:t>
      </w:r>
    </w:p>
    <w:p>
      <w:pPr>
        <w:pStyle w:val="BodyText"/>
      </w:pPr>
      <w:r>
        <w:rPr>
          <w:b/>
        </w:rPr>
        <w:t xml:space="preserve">7. Virginia 450 MW VPP Mandate</w:t>
      </w:r>
      <w:r>
        <w:t xml:space="preserve">: Dominion Energy required to propose pilot up to 450 MW across multiple geographic regions. One of the largest mandated VPP pilots nationally — immediate RFP opportunity for Gridshare.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2026-02-28T04:44:27Z</dcterms:created>
  <dcterms:modified xsi:type="dcterms:W3CDTF">2026-02-28T04:44:27Z</dcterms:modified>
</cp:coreProperties>
</file>

<file path=docProps/custom.xml><?xml version="1.0" encoding="utf-8"?>
<Properties xmlns="http://schemas.openxmlformats.org/officeDocument/2006/custom-properties" xmlns:vt="http://schemas.openxmlformats.org/officeDocument/2006/docPropsVTypes"/>
</file>