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a3b6b325f0fa60d6f9ab95849681da61359ab1"/>
      <w:r>
        <w:t xml:space="preserve">LUNAR ENERGY DEMAND CHAIN ANALYSIS (COMPRESSED)</w:t>
      </w:r>
      <w:bookmarkEnd w:id="20"/>
    </w:p>
    <w:p>
      <w:pPr>
        <w:pStyle w:val="FirstParagraph"/>
      </w:pPr>
      <w:r>
        <w:rPr>
          <w:b/>
        </w:rPr>
        <w:t xml:space="preserve">February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ection-1-end-customer-analysis"/>
      <w:r>
        <w:t xml:space="preserve">SECTION 1: END CUSTOMER ANALYSIS</w:t>
      </w:r>
      <w:bookmarkEnd w:id="21"/>
    </w:p>
    <w:p>
      <w:pPr>
        <w:pStyle w:val="Heading3"/>
      </w:pPr>
      <w:bookmarkStart w:id="22" w:name="demographics"/>
      <w:r>
        <w:t xml:space="preserve">Demographics</w:t>
      </w:r>
      <w:bookmarkEnd w:id="22"/>
    </w:p>
    <w:p>
      <w:pPr>
        <w:pStyle w:val="FirstParagraph"/>
      </w:pPr>
      <w:r>
        <w:t xml:space="preserve">Median income of solar adopters: $115K (2023), down from $141K (2010), but still above US median ($75K) and owner-occupied median ($94K). Battery adoption more income-skewed: households &lt;$50K had 6.4 kW solar with 6% battery storage; households &gt;$200K had 8.0 kW with 14% battery storage. Solar adopters more likely college-educated, middle-aged, non-Hispanic white, single-family home.</w:t>
      </w:r>
    </w:p>
    <w:p>
      <w:pPr>
        <w:pStyle w:val="Heading3"/>
      </w:pPr>
      <w:bookmarkStart w:id="23" w:name="purchase-motivations"/>
      <w:r>
        <w:t xml:space="preserve">Purchase Motivations</w:t>
      </w:r>
      <w:bookmarkEnd w:id="23"/>
    </w:p>
    <w:p>
      <w:pPr>
        <w:pStyle w:val="FirstParagraph"/>
      </w:pPr>
      <w:r>
        <w:rPr>
          <w:b/>
        </w:rPr>
        <w:t xml:space="preserve">Homeowners</w:t>
      </w:r>
      <w:r>
        <w:t xml:space="preserve">: Utility rate savings (30%), solar self-supply (29%), backup power (26%).</w:t>
      </w:r>
      <w:r>
        <w:t xml:space="preserve"> </w:t>
      </w:r>
      <w:r>
        <w:rPr>
          <w:b/>
        </w:rPr>
        <w:t xml:space="preserve">Installers pitch</w:t>
      </w:r>
      <w:r>
        <w:t xml:space="preserve">: 67% lead with resilience/backup, only 11% with financial savings.</w:t>
      </w:r>
      <w:r>
        <w:t xml:space="preserve"> </w:t>
      </w:r>
      <w:r>
        <w:rPr>
          <w:b/>
        </w:rPr>
        <w:t xml:space="preserve">This mismatch hurts Lunar</w:t>
      </w:r>
      <w:r>
        <w:t xml:space="preserve"> </w:t>
      </w:r>
      <w:r>
        <w:t xml:space="preserve">— its $802/year savings ($464 VPP + $338 software) is the most powerful customer argument but buried in specs rather than leading sales narrative.</w:t>
      </w:r>
    </w:p>
    <w:p>
      <w:pPr>
        <w:pStyle w:val="Heading3"/>
      </w:pPr>
      <w:bookmarkStart w:id="24" w:name="price-sensitivity"/>
      <w:r>
        <w:t xml:space="preserve">Price Sensitivity</w:t>
      </w:r>
      <w:bookmarkEnd w:id="24"/>
    </w:p>
    <w:p>
      <w:pPr>
        <w:pStyle w:val="FirstParagraph"/>
      </w:pPr>
      <w:r>
        <w:t xml:space="preserve">$25K median residential battery system cost. Post-25D elimination: homeowner cash purchase up 43% ($17.5K → $25K). Cost remains #1 barrier (55% of prospective buyers cite). Shift to TPO/lease: TPO accounted for 57% of market in Q3 2025, helps mitigate 25D expiration.</w:t>
      </w:r>
    </w:p>
    <w:p>
      <w:pPr>
        <w:pStyle w:val="Heading3"/>
      </w:pPr>
      <w:bookmarkStart w:id="25" w:name="vpp-engagement"/>
      <w:r>
        <w:t xml:space="preserve">VPP Engagement</w:t>
      </w:r>
      <w:bookmarkEnd w:id="25"/>
    </w:p>
    <w:p>
      <w:pPr>
        <w:pStyle w:val="FirstParagraph"/>
      </w:pPr>
      <w:r>
        <w:t xml:space="preserve">Lunar average: $464 VPP earnings + $338 bill savings = $802/year. DSGS specifically: up to $450 for 20 kWh system (max 35 events, May–Oct). Range likely $100–$600/year depending on market and dispatch. Sunrun: ~35% of batteries enrolled in VPP, growing. 106,000+ customers in VPP programs by end Q3 2025. 70% storage attachment on new Sunrun customers. Sunrun scaled to 100,000+ VPP enrollees in 2025, dispatched 18 GWh.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ection-2-installer-channel"/>
      <w:r>
        <w:t xml:space="preserve">SECTION 2: INSTALLER CHANNEL</w:t>
      </w:r>
      <w:bookmarkEnd w:id="26"/>
    </w:p>
    <w:p>
      <w:pPr>
        <w:pStyle w:val="Heading3"/>
      </w:pPr>
      <w:bookmarkStart w:id="27" w:name="economics"/>
      <w:r>
        <w:t xml:space="preserve">Economics</w:t>
      </w:r>
      <w:bookmarkEnd w:id="27"/>
    </w:p>
    <w:p>
      <w:pPr>
        <w:pStyle w:val="FirstParagraph"/>
      </w:pPr>
      <w:r>
        <w:t xml:space="preserve">15–25% gross margins on equipment + $1,500–$3,000 labor. For $20–30K Lunar project: equipment $12–18K wholesale, labor $1,500–$3,000, permitting $500–$1,500, installer margin $3,000–$6,000.</w:t>
      </w:r>
      <w:r>
        <w:t xml:space="preserve"> </w:t>
      </w:r>
      <w:r>
        <w:rPr>
          <w:b/>
        </w:rPr>
        <w:t xml:space="preserve">Lunar’s 3-hour install</w:t>
      </w:r>
      <w:r>
        <w:t xml:space="preserve"> </w:t>
      </w:r>
      <w:r>
        <w:t xml:space="preserve">vs. Powerwall 4–8 hours = 2 installs/day per crew vs. 1. This doubles effective capacity per technician — a unit economics advantage enabling higher installer margins at same wholesale price.</w:t>
      </w:r>
    </w:p>
    <w:p>
      <w:pPr>
        <w:pStyle w:val="Heading3"/>
      </w:pPr>
      <w:bookmarkStart w:id="28" w:name="installer-preferences-ranked"/>
      <w:r>
        <w:t xml:space="preserve">Installer Preferences (ranked)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Margin (most important)</w:t>
      </w:r>
    </w:p>
    <w:p>
      <w:pPr>
        <w:numPr>
          <w:ilvl w:val="0"/>
          <w:numId w:val="1001"/>
        </w:numPr>
        <w:pStyle w:val="Compact"/>
      </w:pPr>
      <w:r>
        <w:t xml:space="preserve">Installation ease/speed (Lunar’s clear advantage)</w:t>
      </w:r>
    </w:p>
    <w:p>
      <w:pPr>
        <w:numPr>
          <w:ilvl w:val="0"/>
          <w:numId w:val="1001"/>
        </w:numPr>
        <w:pStyle w:val="Compact"/>
      </w:pPr>
      <w:r>
        <w:t xml:space="preserve">Reliability/warranty support (Tesla/Enphase lead; Lunar unproven at scale)</w:t>
      </w:r>
    </w:p>
    <w:p>
      <w:pPr>
        <w:numPr>
          <w:ilvl w:val="0"/>
          <w:numId w:val="1001"/>
        </w:numPr>
        <w:pStyle w:val="Compact"/>
      </w:pPr>
      <w:r>
        <w:t xml:space="preserve">Customer demand/brand pull (Tesla dominant; Lunar essentially zero)</w:t>
      </w:r>
    </w:p>
    <w:p>
      <w:pPr>
        <w:numPr>
          <w:ilvl w:val="0"/>
          <w:numId w:val="1001"/>
        </w:numPr>
        <w:pStyle w:val="Compact"/>
      </w:pPr>
      <w:r>
        <w:t xml:space="preserve">Financing availability</w:t>
      </w:r>
    </w:p>
    <w:p>
      <w:pPr>
        <w:numPr>
          <w:ilvl w:val="0"/>
          <w:numId w:val="1001"/>
        </w:numPr>
        <w:pStyle w:val="Compact"/>
      </w:pPr>
      <w:r>
        <w:t xml:space="preserve">Training and support quality</w:t>
      </w:r>
    </w:p>
    <w:p>
      <w:pPr>
        <w:pStyle w:val="FirstParagraph"/>
      </w:pPr>
      <w:r>
        <w:rPr>
          <w:b/>
        </w:rPr>
        <w:t xml:space="preserve">Installer feedback on Lunar</w:t>
      </w:r>
      <w:r>
        <w:t xml:space="preserve">: Positive — compact modular form, 3-hour install, beautiful aesthetics, app demos well. Concerns — limited brand awareness, unproven warranty track record, California-only footprint.</w:t>
      </w:r>
    </w:p>
    <w:p>
      <w:pPr>
        <w:pStyle w:val="Heading3"/>
      </w:pPr>
      <w:bookmarkStart w:id="29" w:name="network-scale"/>
      <w:r>
        <w:t xml:space="preserve">Network Scale</w:t>
      </w:r>
      <w:bookmarkEnd w:id="29"/>
    </w:p>
    <w:p>
      <w:pPr>
        <w:pStyle w:val="FirstParagraph"/>
      </w:pPr>
      <w:r>
        <w:t xml:space="preserve">Lunar: ~40 certified partners, ~2,000 systems (50/partner average; many likely &lt;10). Tesla: thousands nationally + direct crews. Enphase: tens of thousands. FranklinWH: 3,000+. Lunar needs 200–300 partners for 20K units, currently has 40.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ection-3-sunrun-channel"/>
      <w:r>
        <w:t xml:space="preserve">SECTION 3: SUNRUN CHANNEL</w:t>
      </w:r>
      <w:bookmarkEnd w:id="30"/>
    </w:p>
    <w:p>
      <w:pPr>
        <w:pStyle w:val="Heading3"/>
      </w:pPr>
      <w:bookmarkStart w:id="31" w:name="scale-battery-trajectory"/>
      <w:r>
        <w:t xml:space="preserve">Scale &amp; Battery Trajectory</w:t>
      </w:r>
      <w:bookmarkEnd w:id="31"/>
    </w:p>
    <w:p>
      <w:pPr>
        <w:pStyle w:val="FirstParagraph"/>
      </w:pPr>
      <w:r>
        <w:t xml:space="preserve">Sunrun: record 71% storage attachment rate Q4 2025. 237,000+ battery customers total. 392 MWh batteries installed Q2 2025 (+48% YoY). Attachment rate trajectory: 18% (Q2 2023) → 54% (Q2 2024) → 70% (Q3 2025).</w:t>
      </w:r>
    </w:p>
    <w:p>
      <w:pPr>
        <w:pStyle w:val="Heading3"/>
      </w:pPr>
      <w:bookmarkStart w:id="32" w:name="dual-relationship"/>
      <w:r>
        <w:t xml:space="preserve">Dual Relationship</w:t>
      </w:r>
      <w:bookmarkEnd w:id="3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Hardware</w:t>
      </w:r>
      <w:r>
        <w:t xml:space="preserve">: Sunrun installs Lunar Systems in portfolio alongside Tesla Powerwall and others. Exact Lunar share undisclosed.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Software (Gridshare)</w:t>
      </w:r>
      <w:r>
        <w:t xml:space="preserve">: Manages ALL of Sunrun’s VPPs — ~130,000 batteries across 12+ markets (New England, Hawaii, Puerto Rico), most non-Lunar hardware. Sunrun owns equity stake in Lunar.</w:t>
      </w:r>
    </w:p>
    <w:p>
      <w:pPr>
        <w:pStyle w:val="Heading3"/>
      </w:pPr>
      <w:bookmarkStart w:id="33" w:name="business-model-alignment"/>
      <w:r>
        <w:t xml:space="preserve">Business Model Alignment</w:t>
      </w:r>
      <w:bookmarkEnd w:id="33"/>
    </w:p>
    <w:p>
      <w:pPr>
        <w:pStyle w:val="FirstParagraph"/>
      </w:pPr>
      <w:r>
        <w:t xml:space="preserve">Sunrun lease model: Sunrun owns equipment, claims ITC (available through 2027–28), sells to customer via lease/PPA. Sunrun’s 4 GWh networked storage capacity across 18 VPP programs, 425 MW grid dispatch at peak.</w:t>
      </w:r>
    </w:p>
    <w:p>
      <w:pPr>
        <w:pStyle w:val="BodyText"/>
      </w:pPr>
      <w:r>
        <w:rPr>
          <w:b/>
        </w:rPr>
        <w:t xml:space="preserve">Critical tension</w:t>
      </w:r>
      <w:r>
        <w:t xml:space="preserve">: Sunrun CEO Mary Powell highlighted VPP partnerships with NRG and</w:t>
      </w:r>
      <w:r>
        <w:t xml:space="preserve"> </w:t>
      </w:r>
      <w:r>
        <w:rPr>
          <w:b/>
        </w:rPr>
        <w:t xml:space="preserve">Tesla</w:t>
      </w:r>
      <w:r>
        <w:t xml:space="preserve"> </w:t>
      </w:r>
      <w:r>
        <w:t xml:space="preserve">in Texas earnings call. Tesla is direct VPP competitor to Gridshare within Sunrun ecosystem. Lunar’s position is non-exclusive and contestable.</w:t>
      </w:r>
    </w:p>
    <w:p>
      <w:pPr>
        <w:pStyle w:val="BodyText"/>
      </w:pPr>
      <w:r>
        <w:rPr>
          <w:b/>
        </w:rPr>
        <w:t xml:space="preserve">ITC squeeze</w:t>
      </w:r>
      <w:r>
        <w:t xml:space="preserve">: Expiration could deprive Sunrun of ~$6,200/system after 2027. Sunrun response: source lower-cost equipment, reduce CAC, boost grid services.</w:t>
      </w:r>
      <w:r>
        <w:t xml:space="preserve"> </w:t>
      </w:r>
      <w:r>
        <w:t xml:space="preserve">“</w:t>
      </w:r>
      <w:r>
        <w:t xml:space="preserve">Lower-cost equipment sourcing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direct threat to Lunar’s ~10% price premium</w:t>
      </w:r>
      <w:r>
        <w:t xml:space="preserve">.</w:t>
      </w:r>
    </w:p>
    <w:p>
      <w:pPr>
        <w:pStyle w:val="Heading3"/>
      </w:pPr>
      <w:bookmarkStart w:id="34" w:name="concentration-risk"/>
      <w:r>
        <w:t xml:space="preserve">Concentration Risk</w:t>
      </w:r>
      <w:bookmarkEnd w:id="34"/>
    </w:p>
    <w:p>
      <w:pPr>
        <w:pStyle w:val="FirstParagraph"/>
      </w:pPr>
      <w:r>
        <w:t xml:space="preserve">If Sunrun represents 50%+ of Lunar hardware sales (likely given 2,000 units across 40 partners):</w:t>
      </w:r>
    </w:p>
    <w:p>
      <w:pPr>
        <w:pStyle w:val="BodyText"/>
      </w:pPr>
      <w:r>
        <w:rPr>
          <w:b/>
        </w:rPr>
        <w:t xml:space="preserve">Sunrun financial distress</w:t>
      </w:r>
      <w:r>
        <w:t xml:space="preserve">: Altman Z-Score of -0.47 (distress zone). Total debt $14.6B vs. equity $4.6B (315.4% D/E). Stock fell 27.9% in single session to $14.72. However: $377M cash generated in 2025, paid down $150M recourse debt. No recourse debt maturities until March 2028.</w:t>
      </w:r>
    </w:p>
    <w:p>
      <w:pPr>
        <w:pStyle w:val="BodyText"/>
      </w:pPr>
      <w:r>
        <w:rPr>
          <w:b/>
        </w:rPr>
        <w:t xml:space="preserve">Alternative large partners</w:t>
      </w:r>
      <w:r>
        <w:t xml:space="preserve">: Sunnova (#2 lessor, TX/FL/PR), Freedom Forever (#2 independent, 7% nationally), Palmetto, Base Power. No evidence of formal Lunar partnership discussions beyond Sunrun as of early 2026.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ection-4-demand-forecasting"/>
      <w:r>
        <w:t xml:space="preserve">SECTION 4: DEMAND FORECASTING</w:t>
      </w:r>
      <w:bookmarkEnd w:id="35"/>
    </w:p>
    <w:p>
      <w:pPr>
        <w:pStyle w:val="Heading3"/>
      </w:pPr>
      <w:bookmarkStart w:id="36" w:name="us-residential-battery-market"/>
      <w:r>
        <w:t xml:space="preserve">US Residential Battery Market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Installs (MW)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YoY Growth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~800 MW</w:t>
            </w:r>
          </w:p>
        </w:tc>
        <w:tc>
          <w:p>
            <w:pPr>
              <w:pStyle w:val="Compact"/>
              <w:jc w:val="left"/>
            </w:pPr>
            <w:r>
              <w:t xml:space="preserve">~100%</w:t>
            </w:r>
          </w:p>
        </w:tc>
        <w:tc>
          <w:p>
            <w:pPr>
              <w:pStyle w:val="Compact"/>
              <w:jc w:val="left"/>
            </w:pPr>
            <w:r>
              <w:t xml:space="preserve">NEM 3.0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1,250+ MW</w:t>
            </w:r>
          </w:p>
        </w:tc>
        <w:tc>
          <w:p>
            <w:pPr>
              <w:pStyle w:val="Compact"/>
              <w:jc w:val="left"/>
            </w:pPr>
            <w:r>
              <w:t xml:space="preserve">57%</w:t>
            </w:r>
          </w:p>
        </w:tc>
        <w:tc>
          <w:p>
            <w:pPr>
              <w:pStyle w:val="Compact"/>
              <w:jc w:val="left"/>
            </w:pPr>
            <w:r>
              <w:t xml:space="preserve">NEM 3.0 full effect, ITC pull-forward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2025E</w:t>
            </w:r>
          </w:p>
        </w:tc>
        <w:tc>
          <w:p>
            <w:pPr>
              <w:pStyle w:val="Compact"/>
              <w:jc w:val="left"/>
            </w:pPr>
            <w:r>
              <w:t xml:space="preserve">~2,000+ MW</w:t>
            </w:r>
          </w:p>
        </w:tc>
        <w:tc>
          <w:p>
            <w:pPr>
              <w:pStyle w:val="Compact"/>
              <w:jc w:val="left"/>
            </w:pPr>
            <w:r>
              <w:t xml:space="preserve">~60–70%</w:t>
            </w:r>
          </w:p>
        </w:tc>
        <w:tc>
          <w:p>
            <w:pPr>
              <w:pStyle w:val="Compact"/>
              <w:jc w:val="left"/>
            </w:pPr>
            <w:r>
              <w:t xml:space="preserve">ITC expiration rush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2026E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~1,900 MW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-6%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Post-ITC headwind</w:t>
            </w:r>
          </w:p>
        </w:tc>
      </w:tr>
    </w:tbl>
    <w:p>
      <w:pPr>
        <w:pStyle w:val="BodyText"/>
      </w:pPr>
      <w:r>
        <w:t xml:space="preserve">Q3 2025: 647 MW installed (+70% YoY). 5-year outlook: 12 GW distributed storage, residential = 80% (~10 GW, 2024–2028). Leaders: California, Arizona, Illinois.</w:t>
      </w:r>
    </w:p>
    <w:p>
      <w:pPr>
        <w:pStyle w:val="Heading3"/>
      </w:pPr>
      <w:bookmarkStart w:id="37" w:name="lunars-targets"/>
      <w:r>
        <w:t xml:space="preserve">Lunar’s Targets</w:t>
      </w:r>
      <w:bookmarkEnd w:id="37"/>
    </w:p>
    <w:p>
      <w:pPr>
        <w:pStyle w:val="FirstParagraph"/>
      </w:pPr>
      <w:r>
        <w:t xml:space="preserve">Manufacturing: 10K/year (current) → 20K (end 2026) → 100K (end 2028). Deployed: ~2,000 today → ~10,000 by end 2026 (</w:t>
      </w:r>
      <w:r>
        <w:t xml:space="preserve">“</w:t>
      </w:r>
      <w:r>
        <w:t xml:space="preserve">at least doubling</w:t>
      </w:r>
      <w:r>
        <w:t xml:space="preserve">”</w:t>
      </w:r>
      <w:r>
        <w:t xml:space="preserve"> </w:t>
      </w:r>
      <w:r>
        <w:t xml:space="preserve">annually).</w:t>
      </w:r>
    </w:p>
    <w:p>
      <w:pPr>
        <w:pStyle w:val="BodyText"/>
      </w:pPr>
      <w:r>
        <w:rPr>
          <w:b/>
        </w:rPr>
        <w:t xml:space="preserve">8–10K units in 2026</w:t>
      </w:r>
      <w:r>
        <w:t xml:space="preserve">: US market ~80–100K residential systems. Lunar needs 8–10% national share — from California-only company with 40 partners and 2,000 cumulative installs, this is 4–5x jump in declining (-6%) market. Extremely ambitious.</w:t>
      </w:r>
    </w:p>
    <w:p>
      <w:pPr>
        <w:pStyle w:val="BodyText"/>
      </w:pPr>
      <w:r>
        <w:rPr>
          <w:b/>
        </w:rPr>
        <w:t xml:space="preserve">100K in 2028</w:t>
      </w:r>
      <w:r>
        <w:t xml:space="preserve">: At 20 kWh/unit = 2 GWh — roughly entire current US residential market. Would require 40–50% national share. TAM enormous (1M of 75M homes have storage) but execution formidable.</w:t>
      </w:r>
    </w:p>
    <w:p>
      <w:pPr>
        <w:pStyle w:val="Heading3"/>
      </w:pPr>
      <w:bookmarkStart w:id="38" w:name="demand-drivers"/>
      <w:r>
        <w:t xml:space="preserve">Demand Drivers</w:t>
      </w:r>
      <w:bookmarkEnd w:id="38"/>
    </w:p>
    <w:p>
      <w:pPr>
        <w:pStyle w:val="FirstParagraph"/>
      </w:pPr>
      <w:r>
        <w:rPr>
          <w:b/>
        </w:rPr>
        <w:t xml:space="preserve">Positive</w:t>
      </w:r>
      <w:r>
        <w:t xml:space="preserve">: Grid stress (outages up 80% in decade; Sunrun customers used batteries in 650,000+ outages in 2025). NEM 3.0 (CA attachment jumped 72%). Rising rates (Orange County +5.8–13.1% Oct 2025, 171–195% above national average). VPP market ($6.65B → $20.56B by 2030, 25.3% CAGR). TPO shift (57% of market Q3 2025).</w:t>
      </w:r>
    </w:p>
    <w:p>
      <w:pPr>
        <w:pStyle w:val="BodyText"/>
      </w:pPr>
      <w:r>
        <w:rPr>
          <w:b/>
        </w:rPr>
        <w:t xml:space="preserve">Negative</w:t>
      </w:r>
      <w:r>
        <w:t xml:space="preserve">: 25D ITC expiration hangover (residential storage forecast to decline 6% in 2026). Sunrun ITC squeeze ($6,200/system revenue loss after 2027 → pressure on Lunar wholesale pricing). Battery pack prices fell to $70/kWh in 2025 (-45% from 2024) — cost gap with commoditized alternatives widens.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section-5-ci-opportunity"/>
      <w:r>
        <w:t xml:space="preserve">SECTION 5: C&amp;I OPPORTUNITY</w:t>
      </w:r>
      <w:bookmarkEnd w:id="39"/>
    </w:p>
    <w:p>
      <w:pPr>
        <w:pStyle w:val="FirstParagraph"/>
      </w:pPr>
      <w:r>
        <w:t xml:space="preserve">Lunar has</w:t>
      </w:r>
      <w:r>
        <w:t xml:space="preserve"> </w:t>
      </w:r>
      <w:r>
        <w:t xml:space="preserve">“</w:t>
      </w:r>
      <w:r>
        <w:t xml:space="preserve">businesses</w:t>
      </w:r>
      <w:r>
        <w:t xml:space="preserve">”</w:t>
      </w:r>
      <w:r>
        <w:t xml:space="preserve"> </w:t>
      </w:r>
      <w:r>
        <w:t xml:space="preserve">in its deployment count — suggests early C&amp;I but no documented cases. Global C&amp;I storage: $7.94B (2025) → $31.67B (2035). Small C&amp;I (restaurants, retail, offices: 50–200 kWh) is genuinely underserved gap between residential and utility-scale. Lunar’s modular 20 kWh could stack to 60–100 kWh. Barriers: three-phase power, commercial BMS, demand charge software, different sales channel. Premature at current scale.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notable-anomalies"/>
      <w:r>
        <w:t xml:space="preserve">NOTABLE ANOMALIES</w:t>
      </w:r>
      <w:bookmarkEnd w:id="40"/>
    </w:p>
    <w:p>
      <w:pPr>
        <w:pStyle w:val="Heading3"/>
      </w:pPr>
      <w:bookmarkStart w:id="41" w:name="X5843f7f5e278fbaa929aaf9aa8f6cc61ca83c38"/>
      <w:r>
        <w:t xml:space="preserve">ANOMALY 1 (Critical): Gridshare Paradox — Software at Scale, Hardware Not</w:t>
      </w:r>
      <w:bookmarkEnd w:id="41"/>
    </w:p>
    <w:p>
      <w:pPr>
        <w:pStyle w:val="FirstParagraph"/>
      </w:pPr>
      <w:r>
        <w:t xml:space="preserve">Gridshare manages ~650 MW distributed devices, but Lunar has only ~2,000 hardware installs (~40 MW).</w:t>
      </w:r>
      <w:r>
        <w:t xml:space="preserve"> </w:t>
      </w:r>
      <w:r>
        <w:rPr>
          <w:b/>
        </w:rPr>
        <w:t xml:space="preserve">Software 15–20x more deployed than hardware.</w:t>
      </w:r>
      <w:r>
        <w:t xml:space="preserve"> </w:t>
      </w:r>
      <w:r>
        <w:t xml:space="preserve">Lunar is already the dominant VPP software for US residential storage at scale through others’ hardware. Fundamental strategic question: software company using hardware to prove thesis, or hardware company using software as moat?</w:t>
      </w:r>
    </w:p>
    <w:p>
      <w:pPr>
        <w:pStyle w:val="Heading3"/>
      </w:pPr>
      <w:bookmarkStart w:id="42" w:name="Xfe432fb4a2b0c415b4575076331f120c168feef"/>
      <w:r>
        <w:t xml:space="preserve">ANOMALY 2 (Critical): Sunrun’s Tesla Relationship Contradicts Assumed Exclusivity</w:t>
      </w:r>
      <w:bookmarkEnd w:id="42"/>
    </w:p>
    <w:p>
      <w:pPr>
        <w:pStyle w:val="FirstParagraph"/>
      </w:pPr>
      <w:r>
        <w:t xml:space="preserve">Sunrun CEO promoting Tesla Texas VPP alongside Gridshare California VPP. Sunrun hedging with multiple technology providers. If Lunar assumed exclusivity, this is a red flag.</w:t>
      </w:r>
    </w:p>
    <w:p>
      <w:pPr>
        <w:pStyle w:val="Heading3"/>
      </w:pPr>
      <w:bookmarkStart w:id="43" w:name="X68ad32753c3c282a040620eeb1ca514a55e7b4e"/>
      <w:r>
        <w:t xml:space="preserve">ANOMALY 3 (Critical): 2,000→20,000 Unit Ramp Implausible Without Installer Explosion</w:t>
      </w:r>
      <w:bookmarkEnd w:id="43"/>
    </w:p>
    <w:p>
      <w:pPr>
        <w:pStyle w:val="FirstParagraph"/>
      </w:pPr>
      <w:r>
        <w:t xml:space="preserve">20K units with 40 partners = 500/partner/year = 10/week. Most installers do 100–300 batteries/year total.</w:t>
      </w:r>
      <w:r>
        <w:t xml:space="preserve"> </w:t>
      </w:r>
      <w:r>
        <w:rPr>
          <w:b/>
        </w:rPr>
        <w:t xml:space="preserve">Need 200–300 certified partners</w:t>
      </w:r>
      <w:r>
        <w:t xml:space="preserve"> </w:t>
      </w:r>
      <w:r>
        <w:t xml:space="preserve">to hit 20K. Gap not publicly acknowledged.</w:t>
      </w:r>
    </w:p>
    <w:p>
      <w:pPr>
        <w:pStyle w:val="Heading3"/>
      </w:pPr>
      <w:bookmarkStart w:id="44" w:name="X36ad71170a4e5799ddf78130f47be05af193786"/>
      <w:r>
        <w:t xml:space="preserve">ANOMALY 4: Installer-Customer Motivation Mismatch</w:t>
      </w:r>
      <w:bookmarkEnd w:id="44"/>
    </w:p>
    <w:p>
      <w:pPr>
        <w:pStyle w:val="FirstParagraph"/>
      </w:pPr>
      <w:r>
        <w:t xml:space="preserve">Homeowners prioritize savings; installers pitch backup. Lunar’s messaging emphasizes backup/aesthetics (installer-aligned), not $802/year savings (customer-aligned). Unforced marketing error.</w:t>
      </w:r>
    </w:p>
    <w:p>
      <w:pPr>
        <w:pStyle w:val="Heading3"/>
      </w:pPr>
      <w:bookmarkStart w:id="45" w:name="Xe64b613096c95da9371f5f2331283b8c06f5e2d"/>
      <w:r>
        <w:t xml:space="preserve">ANOMALY 5: Sunrun Financial Distress as Lunar Existential Risk</w:t>
      </w:r>
      <w:bookmarkEnd w:id="45"/>
    </w:p>
    <w:p>
      <w:pPr>
        <w:pStyle w:val="FirstParagraph"/>
      </w:pPr>
      <w:r>
        <w:t xml:space="preserve">Z-Score -0.47, $14.6B debt/$4.6B equity. If Sunrun represents 50%+ of Lunar hardware revenue and dominant Gridshare SaaS revenue, restructuring could be devastating. Not mentioned in investor materials. $232M raise may partly be to reduce dependency.</w:t>
      </w:r>
    </w:p>
    <w:p>
      <w:pPr>
        <w:pStyle w:val="Heading3"/>
      </w:pPr>
      <w:bookmarkStart w:id="46" w:name="Xb3f6404a9f1a21694cac97348dd4a3a3a2afa1d"/>
      <w:r>
        <w:t xml:space="preserve">ANOMALY 6: 25D Expiration Creates Lease Window — But Squeeze Pressures Lunar Pricing</w:t>
      </w:r>
      <w:bookmarkEnd w:id="46"/>
    </w:p>
    <w:p>
      <w:pPr>
        <w:pStyle w:val="FirstParagraph"/>
      </w:pPr>
      <w:r>
        <w:t xml:space="preserve">TPO shift is structural tailwind. But Sunrun’s $6,200/system revenue loss after 2027 means pressure to source lower-cost equipment —</w:t>
      </w:r>
      <w:r>
        <w:t xml:space="preserve"> </w:t>
      </w:r>
      <w:r>
        <w:rPr>
          <w:b/>
        </w:rPr>
        <w:t xml:space="preserve">direct threat to Lunar’s 10% price premium</w:t>
      </w:r>
      <w:r>
        <w:t xml:space="preserve">.</w:t>
      </w:r>
    </w:p>
    <w:p>
      <w:pPr>
        <w:pStyle w:val="Heading3"/>
      </w:pPr>
      <w:bookmarkStart w:id="47" w:name="X357a8555b84c0a439b57225d1220faf288d4fb0"/>
      <w:r>
        <w:t xml:space="preserve">ANOMALY 7: California Concentration = NEM 3.0 Dependency</w:t>
      </w:r>
      <w:bookmarkEnd w:id="47"/>
    </w:p>
    <w:p>
      <w:pPr>
        <w:pStyle w:val="FirstParagraph"/>
      </w:pPr>
      <w:r>
        <w:t xml:space="preserve">Nearly all 2,000 deployments in CA. Battery boom is NEM 3.0 function. Any policy reversal, SGIP exhaustion, or rate changes collapse primary market. Geographic diversification timelines: 12–18 months minimum per new state.</w:t>
      </w:r>
    </w:p>
    <w:p>
      <w:pPr>
        <w:pStyle w:val="Heading3"/>
      </w:pPr>
      <w:bookmarkStart w:id="48" w:name="X628235cff2ce9233b2bea0772fb94c4e5f62542"/>
      <w:r>
        <w:t xml:space="preserve">ANOMALY 8:</w:t>
      </w:r>
      <w:r>
        <w:t xml:space="preserve"> </w:t>
      </w:r>
      <w:r>
        <w:t xml:space="preserve">“</w:t>
      </w:r>
      <w:r>
        <w:t xml:space="preserve">Android of the Grid</w:t>
      </w:r>
      <w:r>
        <w:t xml:space="preserve">”</w:t>
      </w:r>
      <w:r>
        <w:t xml:space="preserve"> </w:t>
      </w:r>
      <w:r>
        <w:t xml:space="preserve">Positioning Underexploited</w:t>
      </w:r>
      <w:bookmarkEnd w:id="48"/>
    </w:p>
    <w:p>
      <w:pPr>
        <w:pStyle w:val="FirstParagraph"/>
      </w:pPr>
      <w:r>
        <w:t xml:space="preserve">If Gridshare becomes platform managing all residential batteries, Lunar captures SaaS revenue per kWh dispatched regardless of brand. VPP market growing to $20.56B by 2030. This software-as-grid-infrastructure business is fundamentally higher-margin, lower-capital than hardware — and Lunar is not publicly valuing it as standalone business.</w:t>
      </w:r>
    </w:p>
    <w:p>
      <w:pPr>
        <w:pStyle w:val="Heading3"/>
      </w:pPr>
      <w:bookmarkStart w:id="49" w:name="anomaly-9-low-income-segment-ignored"/>
      <w:r>
        <w:t xml:space="preserve">ANOMALY 9: Low-Income Segment Ignored</w:t>
      </w:r>
      <w:bookmarkEnd w:id="49"/>
    </w:p>
    <w:p>
      <w:pPr>
        <w:pStyle w:val="FirstParagraph"/>
      </w:pPr>
      <w:r>
        <w:t xml:space="preserve">$280M CPUC initiative + SGIP Equity ($1,000/kWh). At 20 kWh, Lunar System could be</w:t>
      </w:r>
      <w:r>
        <w:t xml:space="preserve"> </w:t>
      </w:r>
      <w:r>
        <w:rPr>
          <w:b/>
        </w:rPr>
        <w:t xml:space="preserve">fully rebated</w:t>
      </w:r>
      <w:r>
        <w:t xml:space="preserve"> </w:t>
      </w:r>
      <w:r>
        <w:t xml:space="preserve">for qualifying customers. Counterintuitive volume opportunity in less-competitive market segment aligned with environmental justice mandates.</w:t>
      </w:r>
    </w:p>
    <w:p>
      <w:pPr>
        <w:pStyle w:val="Heading3"/>
      </w:pPr>
      <w:bookmarkStart w:id="50" w:name="X7f1e76ac574d372a080f5ea3536ed974bcbe690"/>
      <w:r>
        <w:t xml:space="preserve">ANOMALY 10: 3-Hour Install Understates Competitive Moat</w:t>
      </w:r>
      <w:bookmarkEnd w:id="50"/>
    </w:p>
    <w:p>
      <w:pPr>
        <w:pStyle w:val="FirstParagraph"/>
      </w:pPr>
      <w:r>
        <w:t xml:space="preserve">50–60% labor reduction vs. Powerwall. Two installs/day vs. one per crew.</w:t>
      </w:r>
      <w:r>
        <w:t xml:space="preserve"> </w:t>
      </w:r>
      <w:r>
        <w:rPr>
          <w:b/>
        </w:rPr>
        <w:t xml:space="preserve">At scale, this is unit economics advantage enabling higher installer margins at same wholesale price.</w:t>
      </w:r>
      <w:r>
        <w:t xml:space="preserve"> </w:t>
      </w:r>
      <w:r>
        <w:t xml:space="preserve">Almost absent from public positioning.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2026-02-28T04:44:27Z</dcterms:created>
  <dcterms:modified xsi:type="dcterms:W3CDTF">2026-02-28T04:44:27Z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