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e80e0406f07866d8258de6e36b4e27a12eddc4"/>
      <w:r>
        <w:t xml:space="preserve">LUNAR ENERGY: STRATEGIC ENVIRONMENT &amp; ADJACENT OPPORTUNITY MAP (COMPRESSED)</w:t>
      </w:r>
      <w:bookmarkEnd w:id="20"/>
    </w:p>
    <w:p>
      <w:pPr>
        <w:pStyle w:val="Heading3"/>
      </w:pPr>
      <w:bookmarkStart w:id="21" w:name="february-2026"/>
      <w:r>
        <w:t xml:space="preserve">February 2026</w:t>
      </w:r>
      <w:bookmarkEnd w:id="21"/>
    </w:p>
    <w:p>
      <w:r>
        <w:pict>
          <v:rect style="width:0;height:1.5pt" o:hralign="center" o:hrstd="t" o:hr="t"/>
        </w:pict>
      </w:r>
    </w:p>
    <w:p>
      <w:pPr>
        <w:pStyle w:val="Heading2"/>
      </w:pPr>
      <w:bookmarkStart w:id="22" w:name="X8c96647ce532c156546539a3a19f32992d68a29"/>
      <w:r>
        <w:t xml:space="preserve">SECTION 1: ELECTRICITY MARKET MACRO TRENDS</w:t>
      </w:r>
      <w:bookmarkEnd w:id="22"/>
    </w:p>
    <w:p>
      <w:pPr>
        <w:pStyle w:val="Heading3"/>
      </w:pPr>
      <w:bookmarkStart w:id="23" w:name="a-demand-growth"/>
      <w:r>
        <w:t xml:space="preserve">A) Demand Growth</w:t>
      </w:r>
      <w:bookmarkEnd w:id="23"/>
    </w:p>
    <w:p>
      <w:pPr>
        <w:pStyle w:val="FirstParagraph"/>
      </w:pPr>
      <w:r>
        <w:t xml:space="preserve">After ~15 years of stagnant US electricity demand, flatlined consumption is definitively over. Data centers, EVs, heat pumps, and AI driving structural load growth. At least 50 utilities in 29 states have rate cases pending as of October 2025. Utilities seeking rate increases for data center demand + weather events.</w:t>
      </w:r>
    </w:p>
    <w:p>
      <w:pPr>
        <w:pStyle w:val="Heading3"/>
      </w:pPr>
      <w:bookmarkStart w:id="24" w:name="b-grid-reliability-deterioration"/>
      <w:r>
        <w:t xml:space="preserve">B) Grid Reliability Deterioration</w:t>
      </w:r>
      <w:bookmarkEnd w:id="24"/>
    </w:p>
    <w:p>
      <w:pPr>
        <w:pStyle w:val="FirstParagraph"/>
      </w:pPr>
      <w:r>
        <w:t xml:space="preserve">Outages per customer increased steadily 2014–2022. Longest outage durations: 8.1 hours (2022) → ~12.8 hours (2025). Annual weather-related outages up 80% in past decade. Sunrun customers used batteries during 650,000+ outages in 2025, totaling 3.8M hours. Every major grid event (TX winter, CA PSPS, hurricanes) drives multi-quarter battery inquiry spike.</w:t>
      </w:r>
    </w:p>
    <w:p>
      <w:pPr>
        <w:pStyle w:val="Heading3"/>
      </w:pPr>
      <w:bookmarkStart w:id="25" w:name="c-electricity-prices"/>
      <w:r>
        <w:t xml:space="preserve">C) Electricity Prices</w:t>
      </w:r>
      <w:bookmarkEnd w:id="25"/>
    </w:p>
    <w:p>
      <w:pPr>
        <w:pStyle w:val="FirstParagraph"/>
      </w:pPr>
      <w:r>
        <w:t xml:space="preserve">National average: 17.78 cents/kWh (Feb 2026), +5.5% YoY. Key state rates (Aug 2025): California 31.6c, Connecticut 30.3c, Hawaii 38.9c, Georgia 15.5c, Texas 15.4c (up from ~13c in 2024), Illinois 18.1c. CA increased 12.5c/kWh since 2020. Revenue per kWh increased 7.1% nationally (Dec 2025). 44 states saw increases.</w:t>
      </w:r>
    </w:p>
    <w:p>
      <w:pPr>
        <w:pStyle w:val="BodyText"/>
      </w:pPr>
      <w:r>
        <w:rPr>
          <w:b/>
        </w:rPr>
        <w:t xml:space="preserve">Battery economics tipping point</w:t>
      </w:r>
      <w:r>
        <w:t xml:space="preserve">: Without incentives, compelling at 25–30c/kWh — CA and HI already exceed. With ITC: threshold drops to ~18–20c, putting most of Northeast and CA in economic territory.</w:t>
      </w:r>
    </w:p>
    <w:p>
      <w:pPr>
        <w:pStyle w:val="Heading3"/>
      </w:pPr>
      <w:bookmarkStart w:id="26" w:name="d-time-of-use-proliferation"/>
      <w:r>
        <w:t xml:space="preserve">D) Time-of-Use Proliferation</w:t>
      </w:r>
      <w:bookmarkEnd w:id="26"/>
    </w:p>
    <w:p>
      <w:pPr>
        <w:pStyle w:val="FirstParagraph"/>
      </w:pPr>
      <w:r>
        <w:t xml:space="preserve">Peak rates 2–3x off-peak in most regions ($0.30–0.50 vs. $0.10–0.20/kWh). Extreme: SCE TOU-D-5-8PM peak 74c/kWh summer weekdays. CA NEM 3.0 requires TOU enrollment for solar customers. Colorado Xcel Energy: TOU is default rate. Battery achieves 8–12 year payback through peak shaving alone in high-differential markets.</w:t>
      </w:r>
    </w:p>
    <w:p>
      <w:r>
        <w:pict>
          <v:rect style="width:0;height:1.5pt" o:hralign="center" o:hrstd="t" o:hr="t"/>
        </w:pict>
      </w:r>
    </w:p>
    <w:p>
      <w:pPr>
        <w:pStyle w:val="Heading2"/>
      </w:pPr>
      <w:bookmarkStart w:id="27" w:name="section-2-vpp-market-evolution"/>
      <w:r>
        <w:t xml:space="preserve">SECTION 2: VPP MARKET EVOLUTION</w:t>
      </w:r>
      <w:bookmarkEnd w:id="27"/>
    </w:p>
    <w:p>
      <w:pPr>
        <w:pStyle w:val="Heading3"/>
      </w:pPr>
      <w:bookmarkStart w:id="28" w:name="a-market-sizing"/>
      <w:r>
        <w:t xml:space="preserve">A) Market Sizing</w:t>
      </w:r>
      <w:bookmarkEnd w:id="28"/>
    </w:p>
    <w:p>
      <w:pPr>
        <w:pStyle w:val="FirstParagraph"/>
      </w:pPr>
      <w:r>
        <w:rPr>
          <w:b/>
        </w:rPr>
        <w:t xml:space="preserve">Capacity</w:t>
      </w:r>
      <w:r>
        <w:t xml:space="preserve">: 37.5 GW behind-the-meter flexible capacity (N. America ~45 GW). Deployments, offtakers, and monetized programs each grew 33%+.</w:t>
      </w:r>
    </w:p>
    <w:p>
      <w:pPr>
        <w:pStyle w:val="BodyText"/>
      </w:pPr>
      <w:r>
        <w:rPr>
          <w:b/>
        </w:rPr>
        <w:t xml:space="preserve">Revenue estimates</w:t>
      </w:r>
      <w:r>
        <w:t xml:space="preserve"> </w:t>
      </w:r>
      <w:r>
        <w:t xml:space="preserve">(wide range): Global VPP $3.94B (2025) → $13.56B by 2030 (27.63% CAGR). US VPP $815M (2024), 19.04% CAGR to 2032. DOE: 80–160 GW VPP by 2030 could save $10B in grid costs.</w:t>
      </w:r>
    </w:p>
    <w:p>
      <w:pPr>
        <w:pStyle w:val="BodyText"/>
      </w:pPr>
      <w:r>
        <w:rPr>
          <w:b/>
        </w:rPr>
        <w:t xml:space="preserve">Landmark programs</w:t>
      </w:r>
      <w:r>
        <w:t xml:space="preserve">: PG&amp;E SAVE (March 2025): 1,500 batteries + 400 smart panels, 60% low-income enrollment. NRG + Renew Home: 1 GW AI-driven VPP in Texas. Battery/EV in VPP: 61% as many deployments as smart thermostats. PJM and ERCOT have greatest disclosed VPP offtake capacity.</w:t>
      </w:r>
    </w:p>
    <w:p>
      <w:pPr>
        <w:pStyle w:val="BodyText"/>
      </w:pPr>
      <w:r>
        <w:rPr>
          <w:b/>
        </w:rPr>
        <w:t xml:space="preserve">Residential share</w:t>
      </w:r>
      <w:r>
        <w:t xml:space="preserve">: 10.2% of wholesale VPP capacity (up from 8.8%). Residential enrollments forecast to outpace all segments at 28.94% CAGR.</w:t>
      </w:r>
    </w:p>
    <w:p>
      <w:pPr>
        <w:pStyle w:val="Heading3"/>
      </w:pPr>
      <w:bookmarkStart w:id="29" w:name="b-vpp-business-model-archetypes"/>
      <w:r>
        <w:t xml:space="preserve">B) VPP Business Model Archetypes</w:t>
      </w:r>
      <w:bookmarkEnd w:id="29"/>
    </w:p>
    <w:p>
      <w:pPr>
        <w:pStyle w:val="FirstParagraph"/>
      </w:pPr>
      <w:r>
        <w:rPr>
          <w:b/>
        </w:rPr>
        <w:t xml:space="preserve">Model 1 — Utility-Owned</w:t>
      </w:r>
      <w:r>
        <w:t xml:space="preserve">: PG&amp;E SAVE. Captive supplier relationship. Risk: utilities vertically integrate, squeeze third-party aggregators.</w:t>
      </w:r>
    </w:p>
    <w:p>
      <w:pPr>
        <w:pStyle w:val="BodyText"/>
      </w:pPr>
      <w:r>
        <w:rPr>
          <w:b/>
        </w:rPr>
        <w:t xml:space="preserve">Model 2 — Third-Party Aggregator (Gridshare model)</w:t>
      </w:r>
      <w:r>
        <w:t xml:space="preserve">: OhmConnect, Leap, CPower, Voltus. Increasing integration with battery/solar/EV/smart home providers.</w:t>
      </w:r>
    </w:p>
    <w:p>
      <w:pPr>
        <w:pStyle w:val="BodyText"/>
      </w:pPr>
      <w:r>
        <w:rPr>
          <w:b/>
        </w:rPr>
        <w:t xml:space="preserve">Model 3 — Battery-as-a-Service (Base Power)</w:t>
      </w:r>
      <w:r>
        <w:t xml:space="preserve">: $3B valuation, $1B+ raised (Addition, CapitalG, Lowercarbon, a16z). Leases 25–50 kWh for $695–$995 upfront + electricity subscription. 100+ MWh deployed. Building Austin factory. Combines energy retailer + generator owner roles. Works in ERCOT deregulated market.</w:t>
      </w:r>
      <w:r>
        <w:t xml:space="preserve"> </w:t>
      </w:r>
      <w:r>
        <w:rPr>
          <w:b/>
        </w:rPr>
        <w:t xml:space="preserve">Threat to Lunar’s premium hardware model.</w:t>
      </w:r>
    </w:p>
    <w:p>
      <w:pPr>
        <w:pStyle w:val="BodyText"/>
      </w:pPr>
      <w:r>
        <w:rPr>
          <w:b/>
        </w:rPr>
        <w:t xml:space="preserve">Model 4 — Hybrid Utility-Aggregator</w:t>
      </w:r>
      <w:r>
        <w:t xml:space="preserve">: Guadalupe Valley Electric Cooperative + Base Power: 2 MW VPP in Lennar new homes, utility-operated via Base software.</w:t>
      </w:r>
    </w:p>
    <w:p>
      <w:pPr>
        <w:pStyle w:val="Heading3"/>
      </w:pPr>
      <w:bookmarkStart w:id="30" w:name="c-grid-operator-needs"/>
      <w:r>
        <w:t xml:space="preserve">C) Grid Operator Needs</w:t>
      </w:r>
      <w:bookmarkEnd w:id="30"/>
    </w:p>
    <w:p>
      <w:pPr>
        <w:pStyle w:val="FirstParagraph"/>
      </w:pPr>
      <w:r>
        <w:t xml:space="preserve">Demand response: 62% of VPP revenue. Energy arbitrage: 22%. Frequency regulation: 16%. Batteries fundamentally different from thermostats: discharge during peaks, charge during oversupply, frequency regulation in milliseconds.</w:t>
      </w:r>
    </w:p>
    <w:p>
      <w:pPr>
        <w:pStyle w:val="BodyText"/>
      </w:pPr>
      <w:r>
        <w:t xml:space="preserve">ERCOT launched Real-Time Co-Optimization + Batteries (RTC + B) December 2025 — most significant market redesign since 2010.</w:t>
      </w:r>
    </w:p>
    <w:p>
      <w:pPr>
        <w:pStyle w:val="BodyText"/>
      </w:pPr>
      <w:r>
        <w:rPr>
          <w:b/>
        </w:rPr>
        <w:t xml:space="preserve">FERC 2222 implementation reality</w:t>
      </w:r>
      <w:r>
        <w:t xml:space="preserve">:</w:t>
      </w:r>
      <w:r>
        <w:t xml:space="preserve"> </w:t>
      </w:r>
      <w:r>
        <w:t xml:space="preserve">“</w:t>
      </w:r>
      <w:r>
        <w:t xml:space="preserve">Masterclass in malicious compliance.</w:t>
      </w:r>
      <w:r>
        <w:t xml:space="preserve">”</w:t>
      </w:r>
      <w:r>
        <w:t xml:space="preserve"> </w:t>
      </w:r>
      <w:r>
        <w:t xml:space="preserve">CAISO rollout technically followed orders while ensuring nothing changed. Participation model worse than pre-existing DR programs.</w:t>
      </w:r>
    </w:p>
    <w:p>
      <w:pPr>
        <w:pStyle w:val="Heading3"/>
      </w:pPr>
      <w:bookmarkStart w:id="31" w:name="d-technology-requirements"/>
      <w:r>
        <w:t xml:space="preserve">D) Technology Requirements</w:t>
      </w:r>
      <w:bookmarkEnd w:id="31"/>
    </w:p>
    <w:p>
      <w:pPr>
        <w:pStyle w:val="FirstParagraph"/>
      </w:pPr>
      <w:r>
        <w:t xml:space="preserve">AI-driven dispatch improves profitability 12% over rule-based (Enel X). AI forecast engines improved solar/wind projections 18%, reducing imbalance penalties 22% across 2,100 deployments. Edge-computing sub-50ms latency supports frequency services for 3.7 GW. Winner-take-most at regional level, fragmented nationally. Gridshare’s 150,000+ device footprint provides data/network-effects advantage.</w:t>
      </w:r>
    </w:p>
    <w:p>
      <w:r>
        <w:pict>
          <v:rect style="width:0;height:1.5pt" o:hralign="center" o:hrstd="t" o:hr="t"/>
        </w:pict>
      </w:r>
    </w:p>
    <w:p>
      <w:pPr>
        <w:pStyle w:val="Heading2"/>
      </w:pPr>
      <w:bookmarkStart w:id="32" w:name="section-3-adjacent-opportunities"/>
      <w:r>
        <w:t xml:space="preserve">SECTION 3: ADJACENT OPPORTUNITIES</w:t>
      </w:r>
      <w:bookmarkEnd w:id="32"/>
    </w:p>
    <w:p>
      <w:pPr>
        <w:pStyle w:val="Heading3"/>
      </w:pPr>
      <w:bookmarkStart w:id="33" w:name="a-whole-home-electrification"/>
      <w:r>
        <w:t xml:space="preserve">A) Whole-Home Electrification</w:t>
      </w:r>
      <w:bookmarkEnd w:id="33"/>
    </w:p>
    <w:p>
      <w:pPr>
        <w:pStyle w:val="FirstParagraph"/>
      </w:pPr>
      <w:r>
        <w:t xml:space="preserve">17–20M US homes need electrical utility upgrade for major appliances. Full stack (solar+battery+smart panel+heat pump+EV charger+induction): $30,000–80,000.</w:t>
      </w:r>
    </w:p>
    <w:p>
      <w:pPr>
        <w:pStyle w:val="BodyText"/>
      </w:pPr>
      <w:r>
        <w:rPr>
          <w:b/>
        </w:rPr>
        <w:t xml:space="preserve">Smart panels</w:t>
      </w:r>
      <w:r>
        <w:t xml:space="preserve">: Span.io (Bay Area, VC-backed) — smartphone-controllable, eliminates $4,000–15,000 service upgrades, delivers 30x more data than smart meters. E3 white paper: system-wide benefits 7x greater than cost under utility ownership model. Lunar’s</w:t>
      </w:r>
      <w:r>
        <w:t xml:space="preserve"> </w:t>
      </w:r>
      <w:r>
        <w:t xml:space="preserve">“</w:t>
      </w:r>
      <w:r>
        <w:t xml:space="preserve">Bridge</w:t>
      </w:r>
      <w:r>
        <w:t xml:space="preserve">”</w:t>
      </w:r>
      <w:r>
        <w:t xml:space="preserve"> </w:t>
      </w:r>
      <w:r>
        <w:t xml:space="preserve">competes directly with Span — but Lunar owns battery + panel + software stack vs. Span panel-only.</w:t>
      </w:r>
    </w:p>
    <w:p>
      <w:pPr>
        <w:pStyle w:val="BodyText"/>
      </w:pPr>
      <w:r>
        <w:t xml:space="preserve">Whole-home bundles: 35–45% gross margin (vs. battery-only 25–30%). Bridge + Lunar battery + Gridshare enrollment creates defensible position with high switching costs.</w:t>
      </w:r>
    </w:p>
    <w:p>
      <w:pPr>
        <w:pStyle w:val="Heading3"/>
      </w:pPr>
      <w:bookmarkStart w:id="34" w:name="b-ev-integration-v2hv2g"/>
      <w:r>
        <w:t xml:space="preserve">B) EV Integration (V2H/V2G)</w:t>
      </w:r>
      <w:bookmarkEnd w:id="34"/>
    </w:p>
    <w:p>
      <w:pPr>
        <w:pStyle w:val="FirstParagraph"/>
      </w:pPr>
      <w:r>
        <w:t xml:space="preserve">Bidirectional charging market: $70M (2025) → $844M (2035), 28.3% CAGR. 2026 = significant tipping point. V2H-capable EVs: Ford F-150 Lightning (9.6kW), Kia EV6/EV9, Hyundai Ioniq 5/6, Tesla Cybertruck (11.5kW), GM Ultium lineup. Tesla: all vehicles V2H by 2025–26. GM: standard by 2026.</w:t>
      </w:r>
    </w:p>
    <w:p>
      <w:pPr>
        <w:pStyle w:val="BodyText"/>
      </w:pPr>
      <w:r>
        <w:t xml:space="preserve">V2H/V2G savings: TOU arbitrage $1,000–2,500/year, V2G revenue $120–9,000/year. Bidirectional EVs provide 3–7 days backup at $5,000–12,000 vs. dedicated batteries $15,000–25,000.</w:t>
      </w:r>
    </w:p>
    <w:p>
      <w:pPr>
        <w:pStyle w:val="BodyText"/>
      </w:pPr>
      <w:r>
        <w:rPr>
          <w:b/>
        </w:rPr>
        <w:t xml:space="preserve">ChargeScape</w:t>
      </w:r>
      <w:r>
        <w:t xml:space="preserve"> </w:t>
      </w:r>
      <w:r>
        <w:t xml:space="preserve">(BMW, Ford, Honda, Nissan JV): V2G integration. Nissan/ChargeScape V2G pilot in Silicon Valley (CEC-backed, Silicon Valley Power territory — Lunar’s local utility). Honda partnership = potential Gridshare pathway into ChargeScape + millions of Honda EVs as virtual storage.</w:t>
      </w:r>
    </w:p>
    <w:p>
      <w:pPr>
        <w:pStyle w:val="BodyText"/>
      </w:pPr>
      <w:r>
        <w:t xml:space="preserve">Hyundai Ioniq 6 (77 kWh) + Lunar 20 kWh = 97 kWh combined pool — neighborhood peaker plant in single home.</w:t>
      </w:r>
    </w:p>
    <w:p>
      <w:pPr>
        <w:pStyle w:val="Heading3"/>
      </w:pPr>
      <w:bookmarkStart w:id="35" w:name="c-ci-storage"/>
      <w:r>
        <w:t xml:space="preserve">C) C&amp;I Storage</w:t>
      </w:r>
      <w:bookmarkEnd w:id="35"/>
    </w:p>
    <w:p>
      <w:pPr>
        <w:pStyle w:val="FirstParagraph"/>
      </w:pPr>
      <w:r>
        <w:t xml:space="preserve">Global BTM stationary storage: $50.5B (2025) → $300.2B (2035), 19.5% CAGR. C&amp;I CAGR: 17%. System costs: $280–580/kWh installed; large containerized &lt;$180–300/kWh. Payback: 3–5 years. Small C&amp;I (50–500 kWh) genuinely underserved between residential and utility-scale. Lunar modular design could stack but needs three-phase power, commercial BMS, demand charge software, different channel. Medium fit; recommend targeted pilot.</w:t>
      </w:r>
    </w:p>
    <w:p>
      <w:pPr>
        <w:pStyle w:val="Heading3"/>
      </w:pPr>
      <w:bookmarkStart w:id="36" w:name="d-energy-as-a-service-eaas"/>
      <w:r>
        <w:t xml:space="preserve">D) Energy-as-a-Service (EaaS)</w:t>
      </w:r>
      <w:bookmarkEnd w:id="36"/>
    </w:p>
    <w:p>
      <w:pPr>
        <w:pStyle w:val="FirstParagraph"/>
      </w:pPr>
      <w:r>
        <w:t xml:space="preserve">Base Power blueprint: battery subscription + retail electricity. Requires: (1) licensed retailer status (deregulated markets only), (2) balance sheet for 100K batteries ($800M–1.2B), (3) high-value grid markets.</w:t>
      </w:r>
    </w:p>
    <w:p>
      <w:pPr>
        <w:pStyle w:val="BodyText"/>
      </w:pPr>
      <w:r>
        <w:rPr>
          <w:b/>
        </w:rPr>
        <w:t xml:space="preserve">Lunar advantage</w:t>
      </w:r>
      <w:r>
        <w:t xml:space="preserve">: Gridshare already manages 150K+ devices — incremental cost of adding company-owned devices near zero. Recommended:</w:t>
      </w:r>
      <w:r>
        <w:t xml:space="preserve"> </w:t>
      </w:r>
      <w:r>
        <w:t xml:space="preserve">“</w:t>
      </w:r>
      <w:r>
        <w:t xml:space="preserve">battery lease + Gridshare enrollment</w:t>
      </w:r>
      <w:r>
        <w:t xml:space="preserve">”</w:t>
      </w:r>
      <w:r>
        <w:t xml:space="preserve"> </w:t>
      </w:r>
      <w:r>
        <w:t xml:space="preserve">at $50–80/month, VPP revenue subsidizes electricity bill. Lighter capital than Base’s full retail approach.</w:t>
      </w:r>
    </w:p>
    <w:p>
      <w:pPr>
        <w:pStyle w:val="Heading3"/>
      </w:pPr>
      <w:bookmarkStart w:id="37" w:name="e-international"/>
      <w:r>
        <w:t xml:space="preserve">E) International</w:t>
      </w:r>
      <w:bookmarkEnd w:id="37"/>
    </w:p>
    <w:p>
      <w:pPr>
        <w:pStyle w:val="FirstParagraph"/>
      </w:pPr>
      <w:r>
        <w:rPr>
          <w:b/>
        </w:rPr>
        <w:t xml:space="preserve">Germany</w:t>
      </w:r>
      <w:r>
        <w:t xml:space="preserve">: 1.8M home batteries by early 2025. Prices declined 50%+ (EUR 1,332/kWh H1 2023 → EUR 711/kWh H2 2025). VPP pilots: up to EUR 200/year/household. Price-competitive — thin hardware margin but high Gridshare software value.</w:t>
      </w:r>
    </w:p>
    <w:p>
      <w:pPr>
        <w:pStyle w:val="BodyText"/>
      </w:pPr>
      <w:r>
        <w:rPr>
          <w:b/>
        </w:rPr>
        <w:t xml:space="preserve">Australia</w:t>
      </w:r>
      <w:r>
        <w:t xml:space="preserve">: Cheaper Home Batteries Program — AUD 2.3B, rebates up to AUD 372/kWh. Policy explicitly requires VPP capability — natural Gridshare market.</w:t>
      </w:r>
    </w:p>
    <w:p>
      <w:pPr>
        <w:pStyle w:val="BodyText"/>
      </w:pPr>
      <w:r>
        <w:rPr>
          <w:b/>
        </w:rPr>
        <w:t xml:space="preserve">Japan/UK</w:t>
      </w:r>
      <w:r>
        <w:t xml:space="preserve">: Gridshare already operates in both. Software licensing requires only regulatory compliance and local partnerships (no hardware localization needed).</w:t>
      </w:r>
    </w:p>
    <w:p>
      <w:r>
        <w:pict>
          <v:rect style="width:0;height:1.5pt" o:hralign="center" o:hrstd="t" o:hr="t"/>
        </w:pict>
      </w:r>
    </w:p>
    <w:p>
      <w:pPr>
        <w:pStyle w:val="Heading2"/>
      </w:pPr>
      <w:bookmarkStart w:id="38" w:name="section-4-local-ecosystem"/>
      <w:r>
        <w:t xml:space="preserve">SECTION 4: LOCAL ECOSYSTEM</w:t>
      </w:r>
      <w:bookmarkEnd w:id="38"/>
    </w:p>
    <w:p>
      <w:pPr>
        <w:pStyle w:val="Heading3"/>
      </w:pPr>
      <w:bookmarkStart w:id="39" w:name="mountain-view-bay-area"/>
      <w:r>
        <w:t xml:space="preserve">Mountain View / Bay Area</w:t>
      </w:r>
      <w:bookmarkEnd w:id="39"/>
    </w:p>
    <w:p>
      <w:pPr>
        <w:pStyle w:val="FirstParagraph"/>
      </w:pPr>
      <w:r>
        <w:t xml:space="preserve">Data center demand: CA 2.3–3.2 GW forecast. Silicon Valley Power = Lunar’s local utility (ChargeScape V2G pilot happening in SVP territory). Bay Area smart energy ecosystem: Span.io, AutoGrid, Sunrun, WeaveGrid, Form Energy — competition and partnership/acquisition opportunities. PG&amp;E SAVE VPP (1,500 batteries) shows utility appetite for Gridshare-like services.</w:t>
      </w:r>
    </w:p>
    <w:p>
      <w:pPr>
        <w:pStyle w:val="Heading3"/>
      </w:pPr>
      <w:bookmarkStart w:id="40" w:name="georgia-manufacturing-ecosystem"/>
      <w:r>
        <w:t xml:space="preserve">Georgia Manufacturing Ecosystem</w:t>
      </w:r>
      <w:bookmarkEnd w:id="40"/>
    </w:p>
    <w:p>
      <w:pPr>
        <w:pStyle w:val="FirstParagraph"/>
      </w:pPr>
      <w:r>
        <w:t xml:space="preserve">Hyundai/SK JV: Bartow County, 35 GWh/year capacity (300K EVs), $4–5B, 3,500 jobs. SK Battery America: exceeded 2,600 hiring goal for two GA facilities. Hyundai Metaplant: $4.6B annual economic impact, 40,000 direct/indirect jobs. EV projects in GA since 2020 (ex-Hyundai/SK): ~$17B investment, 22,800 jobs.</w:t>
      </w:r>
    </w:p>
    <w:p>
      <w:pPr>
        <w:pStyle w:val="BodyText"/>
      </w:pPr>
      <w:r>
        <w:rPr>
          <w:b/>
        </w:rPr>
        <w:t xml:space="preserve">Lunar opportunities</w:t>
      </w:r>
      <w:r>
        <w:t xml:space="preserve">: Georgia QUICK START workforce training (nation’s top-ranked). SK Battery America proximity for cell supply. Second-life battery potential. Hyundai V2G partnership synergy. Georgia Power needs flexible resources — VPP contracts natural.</w:t>
      </w:r>
    </w:p>
    <w:p>
      <w:r>
        <w:pict>
          <v:rect style="width:0;height:1.5pt" o:hralign="center" o:hrstd="t" o:hr="t"/>
        </w:pict>
      </w:r>
    </w:p>
    <w:p>
      <w:pPr>
        <w:pStyle w:val="Heading2"/>
      </w:pPr>
      <w:bookmarkStart w:id="41" w:name="section-5-technology-convergence"/>
      <w:r>
        <w:t xml:space="preserve">SECTION 5: TECHNOLOGY CONVERGENCE</w:t>
      </w:r>
      <w:bookmarkEnd w:id="41"/>
    </w:p>
    <w:p>
      <w:pPr>
        <w:pStyle w:val="Heading3"/>
      </w:pPr>
      <w:bookmarkStart w:id="42" w:name="ai-and-energy"/>
      <w:r>
        <w:t xml:space="preserve">AI and Energy</w:t>
      </w:r>
      <w:bookmarkEnd w:id="42"/>
    </w:p>
    <w:p>
      <w:pPr>
        <w:pStyle w:val="FirstParagraph"/>
      </w:pPr>
      <w:r>
        <w:t xml:space="preserve">No existing LLM deployment as autonomous multi-appliance home energy coordinator yet. Enel X: AI dispatch improves profitability 12%. Gridshare’s 150,000+ connected devices = one of largest US residential battery datasets. Proprietary AI could: predict outage vulnerability + pre-charge, optimize fleet VPP dispatch simultaneously, predict battery degradation for warranty reduction. Estimated 10–30% annual savings from AI integration.</w:t>
      </w:r>
    </w:p>
    <w:p>
      <w:pPr>
        <w:pStyle w:val="Heading3"/>
      </w:pPr>
      <w:bookmarkStart w:id="43" w:name="smart-home-integration"/>
      <w:r>
        <w:t xml:space="preserve">Smart Home Integration</w:t>
      </w:r>
      <w:bookmarkEnd w:id="43"/>
    </w:p>
    <w:p>
      <w:pPr>
        <w:pStyle w:val="FirstParagraph"/>
      </w:pPr>
      <w:r>
        <w:t xml:space="preserve">Lunar’s Bridge = potential energy nerve center of electrified home; Gridshare = cloud brain. Stronger position than Span (panel-only, no battery/software stack). Key integrations: Alexa/Google/HomeKit, Hyundai/Honda/Ford V2G, heat pump OEMs, solar inverters.</w:t>
      </w:r>
    </w:p>
    <w:p>
      <w:pPr>
        <w:pStyle w:val="Heading3"/>
      </w:pPr>
      <w:bookmarkStart w:id="44" w:name="microgrids"/>
      <w:r>
        <w:t xml:space="preserve">Microgrids</w:t>
      </w:r>
      <w:bookmarkEnd w:id="44"/>
    </w:p>
    <w:p>
      <w:pPr>
        <w:pStyle w:val="FirstParagraph"/>
      </w:pPr>
      <w:r>
        <w:t xml:space="preserve">10 Lunar homes on same street enrolled in Gridshare = micro-VPP.</w:t>
      </w:r>
      <w:r>
        <w:t xml:space="preserve"> </w:t>
      </w:r>
      <w:r>
        <w:t xml:space="preserve">“</w:t>
      </w:r>
      <w:r>
        <w:t xml:space="preserve">Resilience island</w:t>
      </w:r>
      <w:r>
        <w:t xml:space="preserve">”</w:t>
      </w:r>
      <w:r>
        <w:t xml:space="preserve"> </w:t>
      </w:r>
      <w:r>
        <w:t xml:space="preserve">concept (cluster forms backup microgrid during outages) — powerful marketing narrative and genuine engineering possibility.</w:t>
      </w:r>
    </w:p>
    <w:p>
      <w:r>
        <w:pict>
          <v:rect style="width:0;height:1.5pt" o:hralign="center" o:hrstd="t" o:hr="t"/>
        </w:pict>
      </w:r>
    </w:p>
    <w:p>
      <w:pPr>
        <w:pStyle w:val="Heading2"/>
      </w:pPr>
      <w:bookmarkStart w:id="45" w:name="section-6-scenarios"/>
      <w:r>
        <w:t xml:space="preserve">SECTION 6: SCENARIOS</w:t>
      </w:r>
      <w:bookmarkEnd w:id="45"/>
    </w:p>
    <w:tbl>
      <w:tblPr>
        <w:tblStyle w:val="Table"/>
        <w:tblW w:type="pct" w:w="5000.0"/>
        <w:tblLook w:firstRow="1"/>
      </w:tblPr>
      <w:tblGrid>
        <w:gridCol w:w="2200"/>
        <w:gridCol w:w="2860"/>
        <w:gridCol w:w="2860"/>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Probability</w:t>
            </w:r>
          </w:p>
        </w:tc>
        <w:tc>
          <w:tcPr>
            <w:tcBorders>
              <w:bottom w:val="single"/>
            </w:tcBorders>
            <w:vAlign w:val="bottom"/>
          </w:tcPr>
          <w:p>
            <w:pPr>
              <w:pStyle w:val="Compact"/>
              <w:jc w:val="left"/>
            </w:pPr>
            <w:r>
              <w:t xml:space="preserve">Lunar Impact</w:t>
            </w:r>
          </w:p>
        </w:tc>
      </w:tr>
      <w:tr>
        <w:tc>
          <w:p>
            <w:pPr>
              <w:pStyle w:val="Compact"/>
              <w:jc w:val="left"/>
            </w:pPr>
            <w:r>
              <w:t xml:space="preserve">Accelerated EV adoption</w:t>
            </w:r>
          </w:p>
        </w:tc>
        <w:tc>
          <w:p>
            <w:pPr>
              <w:pStyle w:val="Compact"/>
              <w:jc w:val="left"/>
            </w:pPr>
            <w:r>
              <w:t xml:space="preserve">High</w:t>
            </w:r>
          </w:p>
        </w:tc>
        <w:tc>
          <w:p>
            <w:pPr>
              <w:pStyle w:val="Compact"/>
              <w:jc w:val="left"/>
            </w:pPr>
            <w:r>
              <w:t xml:space="preserve">Very Positive — V2G grows Gridshare fleet</w:t>
            </w:r>
          </w:p>
        </w:tc>
      </w:tr>
      <w:tr>
        <w:tc>
          <w:p>
            <w:pPr>
              <w:pStyle w:val="Compact"/>
              <w:jc w:val="left"/>
            </w:pPr>
            <w:r>
              <w:t xml:space="preserve">Continued grid degradation</w:t>
            </w:r>
          </w:p>
        </w:tc>
        <w:tc>
          <w:p>
            <w:pPr>
              <w:pStyle w:val="Compact"/>
              <w:jc w:val="left"/>
            </w:pPr>
            <w:r>
              <w:t xml:space="preserve">Very High</w:t>
            </w:r>
          </w:p>
        </w:tc>
        <w:tc>
          <w:p>
            <w:pPr>
              <w:pStyle w:val="Compact"/>
              <w:jc w:val="left"/>
            </w:pPr>
            <w:r>
              <w:t xml:space="preserve">Very Positive — backup demand surges</w:t>
            </w:r>
          </w:p>
        </w:tc>
      </w:tr>
      <w:tr>
        <w:tc>
          <w:p>
            <w:pPr>
              <w:pStyle w:val="Compact"/>
              <w:jc w:val="left"/>
            </w:pPr>
            <w:r>
              <w:t xml:space="preserve">AI demand accelerates grid stress</w:t>
            </w:r>
          </w:p>
        </w:tc>
        <w:tc>
          <w:p>
            <w:pPr>
              <w:pStyle w:val="Compact"/>
              <w:jc w:val="left"/>
            </w:pPr>
            <w:r>
              <w:t xml:space="preserve">High</w:t>
            </w:r>
          </w:p>
        </w:tc>
        <w:tc>
          <w:p>
            <w:pPr>
              <w:pStyle w:val="Compact"/>
              <w:jc w:val="left"/>
            </w:pPr>
            <w:r>
              <w:t xml:space="preserve">Positive — VPP value increases</w:t>
            </w:r>
          </w:p>
        </w:tc>
      </w:tr>
      <w:tr>
        <w:tc>
          <w:p>
            <w:pPr>
              <w:pStyle w:val="Compact"/>
              <w:jc w:val="left"/>
            </w:pPr>
            <w:r>
              <w:t xml:space="preserve">Major grid disaster</w:t>
            </w:r>
          </w:p>
        </w:tc>
        <w:tc>
          <w:p>
            <w:pPr>
              <w:pStyle w:val="Compact"/>
              <w:jc w:val="left"/>
            </w:pPr>
            <w:r>
              <w:t xml:space="preserve">Medium</w:t>
            </w:r>
          </w:p>
        </w:tc>
        <w:tc>
          <w:p>
            <w:pPr>
              <w:pStyle w:val="Compact"/>
              <w:jc w:val="left"/>
            </w:pPr>
            <w:r>
              <w:t xml:space="preserve">Transformative — could 10x demand</w:t>
            </w:r>
          </w:p>
        </w:tc>
      </w:tr>
      <w:tr>
        <w:tc>
          <w:p>
            <w:pPr>
              <w:pStyle w:val="Compact"/>
              <w:jc w:val="left"/>
            </w:pPr>
            <w:r>
              <w:t xml:space="preserve">Battery costs drop 50% by 2028</w:t>
            </w:r>
          </w:p>
        </w:tc>
        <w:tc>
          <w:p>
            <w:pPr>
              <w:pStyle w:val="Compact"/>
              <w:jc w:val="left"/>
            </w:pPr>
            <w:r>
              <w:t xml:space="preserve">Medium</w:t>
            </w:r>
          </w:p>
        </w:tc>
        <w:tc>
          <w:p>
            <w:pPr>
              <w:pStyle w:val="Compact"/>
              <w:jc w:val="left"/>
            </w:pPr>
            <w:r>
              <w:t xml:space="preserve">Mixed — adoption up, margins compressed</w:t>
            </w:r>
          </w:p>
        </w:tc>
      </w:tr>
      <w:tr>
        <w:tc>
          <w:p>
            <w:pPr>
              <w:pStyle w:val="Compact"/>
              <w:jc w:val="left"/>
            </w:pPr>
            <w:r>
              <w:t xml:space="preserve">FERC 2222 actually enforced</w:t>
            </w:r>
          </w:p>
        </w:tc>
        <w:tc>
          <w:p>
            <w:pPr>
              <w:pStyle w:val="Compact"/>
              <w:jc w:val="left"/>
            </w:pPr>
            <w:r>
              <w:t xml:space="preserve">Medium</w:t>
            </w:r>
          </w:p>
        </w:tc>
        <w:tc>
          <w:p>
            <w:pPr>
              <w:pStyle w:val="Compact"/>
              <w:jc w:val="left"/>
            </w:pPr>
            <w:r>
              <w:t xml:space="preserve">Very Positive — wholesale access</w:t>
            </w:r>
          </w:p>
        </w:tc>
      </w:tr>
      <w:tr>
        <w:tc>
          <w:p>
            <w:pPr>
              <w:pStyle w:val="Compact"/>
              <w:jc w:val="left"/>
            </w:pPr>
            <w:r>
              <w:t xml:space="preserve">Utility-owned VPP dominates</w:t>
            </w:r>
          </w:p>
        </w:tc>
        <w:tc>
          <w:p>
            <w:pPr>
              <w:pStyle w:val="Compact"/>
              <w:jc w:val="left"/>
            </w:pPr>
            <w:r>
              <w:t xml:space="preserve">Medium</w:t>
            </w:r>
          </w:p>
        </w:tc>
        <w:tc>
          <w:p>
            <w:pPr>
              <w:pStyle w:val="Compact"/>
              <w:jc w:val="left"/>
            </w:pPr>
            <w:r>
              <w:t xml:space="preserve">Negative — threatens aggregator model</w:t>
            </w:r>
          </w:p>
        </w:tc>
      </w:tr>
    </w:tbl>
    <w:p>
      <w:pPr>
        <w:pStyle w:val="BodyText"/>
      </w:pPr>
      <w:r>
        <w:t xml:space="preserve">Battery cost data: Pack prices for stationary storage fell to $70/kWh in 2025 (-45% from 2024). Overall battery prices $108/kWh (-8% from 2024, -93% since 2010). Further 50% reduction to ~$50–55/kWh by 2028 is plausible. Net positive for Lunar if Gridshare is primary value driver — company with best software and largest device network wins.</w:t>
      </w:r>
    </w:p>
    <w:p>
      <w:r>
        <w:pict>
          <v:rect style="width:0;height:1.5pt" o:hralign="center" o:hrstd="t" o:hr="t"/>
        </w:pict>
      </w:r>
    </w:p>
    <w:p>
      <w:pPr>
        <w:pStyle w:val="Heading2"/>
      </w:pPr>
      <w:bookmarkStart w:id="46" w:name="notable-anomalies"/>
      <w:r>
        <w:t xml:space="preserve">NOTABLE ANOMALIES</w:t>
      </w:r>
      <w:bookmarkEnd w:id="46"/>
    </w:p>
    <w:p>
      <w:pPr>
        <w:pStyle w:val="FirstParagraph"/>
      </w:pPr>
      <w:r>
        <w:rPr>
          <w:i/>
        </w:rPr>
        <w:t xml:space="preserve">Note: The original analysis’s Notable Anomalies section was truncated in the source file. Key anomalies from the body of the analysis:</w:t>
      </w:r>
    </w:p>
    <w:p>
      <w:pPr>
        <w:pStyle w:val="BodyText"/>
      </w:pPr>
      <w:r>
        <w:rPr>
          <w:b/>
        </w:rPr>
        <w:t xml:space="preserve">1. Battery Cost Paradox</w:t>
      </w:r>
      <w:r>
        <w:t xml:space="preserve">: Falling costs ($70/kWh stationary) help adoption but enable Base Power’s</w:t>
      </w:r>
      <w:r>
        <w:t xml:space="preserve"> </w:t>
      </w:r>
      <w:r>
        <w:t xml:space="preserve">“</w:t>
      </w:r>
      <w:r>
        <w:t xml:space="preserve">free battery</w:t>
      </w:r>
      <w:r>
        <w:t xml:space="preserve">”</w:t>
      </w:r>
      <w:r>
        <w:t xml:space="preserve"> </w:t>
      </w:r>
      <w:r>
        <w:t xml:space="preserve">model to become more capital-efficient. Threatens Lunar’s premium hardware pricing.</w:t>
      </w:r>
    </w:p>
    <w:p>
      <w:pPr>
        <w:pStyle w:val="BodyText"/>
      </w:pPr>
      <w:r>
        <w:rPr>
          <w:b/>
        </w:rPr>
        <w:t xml:space="preserve">2. Data Center Load as VPP Catalyst</w:t>
      </w:r>
      <w:r>
        <w:t xml:space="preserve">: PJM and ERCOT have greatest data center commitments AND greatest VPP offtake. Data centers are source of new load; VPPs are the new source of grid flexibility. Lunar’s geographic positioning (Bay Area data centers, Georgia data center hub) creates unique proximity advantage.</w:t>
      </w:r>
    </w:p>
    <w:p>
      <w:pPr>
        <w:pStyle w:val="BodyText"/>
      </w:pPr>
      <w:r>
        <w:rPr>
          <w:b/>
        </w:rPr>
        <w:t xml:space="preserve">3. Gridshare’s Data Moat</w:t>
      </w:r>
      <w:r>
        <w:t xml:space="preserve">: 150,000+ devices generating consumption patterns, performance curves, grid event responses. Training AI models on this dataset creates defensible advantage newer entrants cannot replicate. This is the real lock-in, not hardware.</w:t>
      </w:r>
    </w:p>
    <w:p>
      <w:pPr>
        <w:pStyle w:val="BodyText"/>
      </w:pPr>
      <w:r>
        <w:rPr>
          <w:b/>
        </w:rPr>
        <w:t xml:space="preserve">4. EaaS/Base Power Model Could Work Better for Lunar Than Base</w:t>
      </w:r>
      <w:r>
        <w:t xml:space="preserve">: Lunar already has Gridshare managing 150K+ devices; incremental cost of adding owned devices near zero. Base built software from scratch. Lunar’s platform leverage is enormous — but requires heavy balance sheet ($800M–1.2B for 100K units).</w:t>
      </w:r>
    </w:p>
    <w:p>
      <w:pPr>
        <w:pStyle w:val="BodyText"/>
      </w:pPr>
      <w:r>
        <w:rPr>
          <w:b/>
        </w:rPr>
        <w:t xml:space="preserve">5. ERCOT RTC+B Redesign (Dec 2025)</w:t>
      </w:r>
      <w:r>
        <w:t xml:space="preserve">: Most significant Texas electricity market redesign since 2010. Rewards fast-responding assets — exactly what Gridshare-managed batteries provide. Lunar absent from this market is an urgent strategic gap.</w:t>
      </w:r>
    </w:p>
    <w:p>
      <w:pPr>
        <w:pStyle w:val="BodyText"/>
      </w:pPr>
      <w:r>
        <w:rPr>
          <w:b/>
        </w:rPr>
        <w:t xml:space="preserve">6. Australian VPP Policy Requires Battery VPP Capability</w:t>
      </w:r>
      <w:r>
        <w:t xml:space="preserve">: AUD 2.3B federal program mandates VPP enrollment as condition of rebate. Gridshare natively fulfills this requirement — a structural competitive advantage in the world’s 3rd largest utility-scale storage market.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2026-02-28T04:44:26Z</dcterms:created>
  <dcterms:modified xsi:type="dcterms:W3CDTF">2026-02-28T04:44:26Z</dcterms:modified>
</cp:coreProperties>
</file>

<file path=docProps/custom.xml><?xml version="1.0" encoding="utf-8"?>
<Properties xmlns="http://schemas.openxmlformats.org/officeDocument/2006/custom-properties" xmlns:vt="http://schemas.openxmlformats.org/officeDocument/2006/docPropsVTypes"/>
</file>