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Now I have comprehensive data to produce a rigorous, senior investment banker-level analysis. Let me compile this into the full report.</w:t>
      </w:r>
    </w:p>
    <w:p>
      <w:r>
        <w:pict>
          <v:rect style="width:0;height:1.5pt" o:hralign="center" o:hrstd="t" o:hr="t"/>
        </w:pict>
      </w:r>
    </w:p>
    <w:p>
      <w:pPr>
        <w:pStyle w:val="Heading1"/>
      </w:pPr>
      <w:bookmarkStart w:id="20" w:name="X97e3f34de7826298916d12798ec493a1a56ad1b"/>
      <w:r>
        <w:t xml:space="preserve">LUNAR ENERGY: CAPITAL STRUCTURE &amp; EXIT SCENARIO ANALYSIS</w:t>
      </w:r>
      <w:bookmarkEnd w:id="20"/>
    </w:p>
    <w:p>
      <w:pPr>
        <w:pStyle w:val="Heading3"/>
      </w:pPr>
      <w:bookmarkStart w:id="21" w:name="X8f7cc79be8cda192c33922e932d098271ad1c77"/>
      <w:r>
        <w:t xml:space="preserve">Senior Investment Banking &amp; Capital Advisory Memorandum | February 2026</w:t>
      </w:r>
      <w:bookmarkEnd w:id="21"/>
    </w:p>
    <w:p>
      <w:pPr>
        <w:pStyle w:val="Heading3"/>
      </w:pPr>
      <w:bookmarkStart w:id="22" w:name="Xb58953f53896cd232ce2daf0d3165bf27466299"/>
      <w:r>
        <w:t xml:space="preserve">CONFIDENTIAL — FOR DISCUSSION PURPOSES ONLY</w:t>
      </w:r>
      <w:bookmarkEnd w:id="22"/>
    </w:p>
    <w:p>
      <w:r>
        <w:pict>
          <v:rect style="width:0;height:1.5pt" o:hralign="center" o:hrstd="t" o:hr="t"/>
        </w:pict>
      </w:r>
    </w:p>
    <w:p>
      <w:pPr>
        <w:pStyle w:val="Heading2"/>
      </w:pPr>
      <w:bookmarkStart w:id="23" w:name="executive-summary"/>
      <w:r>
        <w:t xml:space="preserve">EXECUTIVE SUMMARY</w:t>
      </w:r>
      <w:bookmarkEnd w:id="23"/>
    </w:p>
    <w:p>
      <w:pPr>
        <w:pStyle w:val="FirstParagraph"/>
      </w:pPr>
      <w:r>
        <w:t xml:space="preserve">Lunar Energy was founded in August 2020 by Kunal Girotra, a former Tesla Energy executive, and has raised $300 million in funding over two rounds from Sunrun and South Korea’s SK Group.</w:t>
      </w:r>
    </w:p>
    <w:p>
      <w:pPr>
        <w:pStyle w:val="BodyText"/>
      </w:pPr>
      <w:r>
        <w:t xml:space="preserve">The company then announced it completed two additional massive funding rounds—a previously unannounced $130 million Series C and a fresh $102 million Series D—pushing its total capital raised past the half-billion-dollar mark. The Series C was led by Activate Capital, while B Capital and Prelude Ventures co-led the Series D.</w:t>
      </w:r>
    </w:p>
    <w:p>
      <w:pPr>
        <w:pStyle w:val="BodyText"/>
      </w:pPr>
      <w:r>
        <w:t xml:space="preserve">With thousands of systems deployed and 650 MW of devices under management across multiple continents, Lunar is proving its integrated hardware and software model delivers value at scale.</w:t>
      </w:r>
    </w:p>
    <w:p>
      <w:pPr>
        <w:pStyle w:val="BodyText"/>
      </w:pPr>
      <w:r>
        <w:rPr>
          <w:b/>
        </w:rPr>
        <w:t xml:space="preserve">The fundamental tension in this memo:</w:t>
      </w:r>
      <w:r>
        <w:t xml:space="preserve"> </w:t>
      </w:r>
      <w:r>
        <w:t xml:space="preserve">Lunar is a hardware-software hybrid in a market that rewards pure software economics, funded by $532M that creates substantial liquidation preferences against a revenue base of approximately $35M. The CEO says this is the last raise. The math suggests otherwise—unless the manufacturing scale-up executes flawlessly and the VPP monetization engine ignites far faster than historical analogues suggest.</w:t>
      </w:r>
    </w:p>
    <w:p>
      <w:r>
        <w:pict>
          <v:rect style="width:0;height:1.5pt" o:hralign="center" o:hrstd="t" o:hr="t"/>
        </w:pict>
      </w:r>
    </w:p>
    <w:p>
      <w:pPr>
        <w:pStyle w:val="Heading2"/>
      </w:pPr>
      <w:bookmarkStart w:id="24" w:name="section-1-capital-structure-analysis"/>
      <w:r>
        <w:t xml:space="preserve">SECTION 1: CAPITAL STRUCTURE ANALYSIS</w:t>
      </w:r>
      <w:bookmarkEnd w:id="24"/>
    </w:p>
    <w:p>
      <w:pPr>
        <w:pStyle w:val="Heading3"/>
      </w:pPr>
      <w:bookmarkStart w:id="25" w:name="a-funding-round-reconstruction"/>
      <w:r>
        <w:t xml:space="preserve">A) Funding Round Reconstruction</w:t>
      </w:r>
      <w:bookmarkEnd w:id="25"/>
    </w:p>
    <w:p>
      <w:pPr>
        <w:pStyle w:val="Heading4"/>
      </w:pPr>
      <w:bookmarkStart w:id="26" w:name="confirmed-funding-history"/>
      <w:r>
        <w:t xml:space="preserve">Confirmed Funding History</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Round</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Amount</w:t>
            </w:r>
          </w:p>
        </w:tc>
        <w:tc>
          <w:tcPr>
            <w:tcBorders>
              <w:bottom w:val="single"/>
            </w:tcBorders>
            <w:vAlign w:val="bottom"/>
          </w:tcPr>
          <w:p>
            <w:pPr>
              <w:pStyle w:val="Compact"/>
              <w:jc w:val="left"/>
            </w:pPr>
            <w:r>
              <w:t xml:space="preserve">Lead Investors</w:t>
            </w:r>
          </w:p>
        </w:tc>
        <w:tc>
          <w:tcPr>
            <w:tcBorders>
              <w:bottom w:val="single"/>
            </w:tcBorders>
            <w:vAlign w:val="bottom"/>
          </w:tcPr>
          <w:p>
            <w:pPr>
              <w:pStyle w:val="Compact"/>
              <w:jc w:val="left"/>
            </w:pPr>
            <w:r>
              <w:t xml:space="preserve">Notes</w:t>
            </w:r>
          </w:p>
        </w:tc>
      </w:tr>
      <w:tr>
        <w:tc>
          <w:p>
            <w:pPr>
              <w:pStyle w:val="Compact"/>
              <w:jc w:val="left"/>
            </w:pPr>
            <w:r>
              <w:t xml:space="preserve">Seed</w:t>
            </w:r>
          </w:p>
        </w:tc>
        <w:tc>
          <w:p>
            <w:pPr>
              <w:pStyle w:val="Compact"/>
              <w:jc w:val="left"/>
            </w:pPr>
            <w:r>
              <w:t xml:space="preserve">Late 2020</w:t>
            </w:r>
          </w:p>
        </w:tc>
        <w:tc>
          <w:p>
            <w:pPr>
              <w:pStyle w:val="Compact"/>
              <w:jc w:val="left"/>
            </w:pPr>
            <w:r>
              <w:t xml:space="preserve">Est. $5–15M</w:t>
            </w:r>
          </w:p>
        </w:tc>
        <w:tc>
          <w:p>
            <w:pPr>
              <w:pStyle w:val="Compact"/>
              <w:jc w:val="left"/>
            </w:pPr>
            <w:r>
              <w:t xml:space="preserve">Girotra + angels</w:t>
            </w:r>
          </w:p>
        </w:tc>
        <w:tc>
          <w:p>
            <w:pPr>
              <w:pStyle w:val="Compact"/>
              <w:jc w:val="left"/>
            </w:pPr>
            <w:r>
              <w:t xml:space="preserve">Stealth; team-building</w:t>
            </w:r>
          </w:p>
        </w:tc>
      </w:tr>
      <w:tr>
        <w:tc>
          <w:p>
            <w:pPr>
              <w:pStyle w:val="Compact"/>
              <w:jc w:val="left"/>
            </w:pPr>
            <w:r>
              <w:t xml:space="preserve">Series A</w:t>
            </w:r>
          </w:p>
        </w:tc>
        <w:tc>
          <w:p>
            <w:pPr>
              <w:pStyle w:val="Compact"/>
              <w:jc w:val="left"/>
            </w:pPr>
            <w:r>
              <w:t xml:space="preserve">2020–2021</w:t>
            </w:r>
          </w:p>
        </w:tc>
        <w:tc>
          <w:p>
            <w:pPr>
              <w:pStyle w:val="Compact"/>
              <w:jc w:val="left"/>
            </w:pPr>
            <w:r>
              <w:t xml:space="preserve">Est. ~$50M</w:t>
            </w:r>
          </w:p>
        </w:tc>
        <w:tc>
          <w:p>
            <w:pPr>
              <w:pStyle w:val="Compact"/>
              <w:jc w:val="left"/>
            </w:pPr>
            <w:r>
              <w:t xml:space="preserve">Pre-Sunrun syndicate</w:t>
            </w:r>
          </w:p>
        </w:tc>
        <w:tc>
          <w:p>
            <w:pPr>
              <w:pStyle w:val="Compact"/>
              <w:jc w:val="left"/>
            </w:pPr>
            <w:r>
              <w:t xml:space="preserve">Pre-product, pre-revenue</w:t>
            </w:r>
          </w:p>
        </w:tc>
      </w:tr>
      <w:tr>
        <w:tc>
          <w:p>
            <w:pPr>
              <w:pStyle w:val="Compact"/>
              <w:jc w:val="left"/>
            </w:pPr>
            <w:r>
              <w:t xml:space="preserve">Series B</w:t>
            </w:r>
          </w:p>
        </w:tc>
        <w:tc>
          <w:p>
            <w:pPr>
              <w:pStyle w:val="Compact"/>
              <w:jc w:val="left"/>
            </w:pPr>
            <w:r>
              <w:t xml:space="preserve">2021–2022</w:t>
            </w:r>
          </w:p>
        </w:tc>
        <w:tc>
          <w:p>
            <w:pPr>
              <w:pStyle w:val="Compact"/>
              <w:jc w:val="left"/>
            </w:pPr>
            <w:r>
              <w:t xml:space="preserve">~$250M (of $300M total)</w:t>
            </w:r>
          </w:p>
        </w:tc>
        <w:tc>
          <w:p>
            <w:pPr>
              <w:pStyle w:val="Compact"/>
              <w:jc w:val="left"/>
            </w:pPr>
            <w:r>
              <w:t xml:space="preserve">Sunrun, SK Group</w:t>
            </w:r>
          </w:p>
        </w:tc>
        <w:tc>
          <w:p>
            <w:pPr>
              <w:pStyle w:val="Compact"/>
              <w:jc w:val="left"/>
            </w:pPr>
            <w:r>
              <w:t xml:space="preserve">See below</w:t>
            </w:r>
          </w:p>
        </w:tc>
      </w:tr>
      <w:tr>
        <w:tc>
          <w:p>
            <w:pPr>
              <w:pStyle w:val="Compact"/>
              <w:jc w:val="left"/>
            </w:pPr>
            <w:r>
              <w:t xml:space="preserve">Moixa Acquisition</w:t>
            </w:r>
          </w:p>
        </w:tc>
        <w:tc>
          <w:p>
            <w:pPr>
              <w:pStyle w:val="Compact"/>
              <w:jc w:val="left"/>
            </w:pPr>
            <w:r>
              <w:t xml:space="preserve">Aug 2022</w:t>
            </w:r>
          </w:p>
        </w:tc>
        <w:tc>
          <w:p>
            <w:pPr>
              <w:pStyle w:val="Compact"/>
              <w:jc w:val="left"/>
            </w:pPr>
            <w:r>
              <w:t xml:space="preserve">Undisclosed</w:t>
            </w:r>
          </w:p>
        </w:tc>
        <w:tc>
          <w:p>
            <w:pPr>
              <w:pStyle w:val="Compact"/>
              <w:jc w:val="left"/>
            </w:pPr>
            <w:r>
              <w:t xml:space="preserve">—</w:t>
            </w:r>
          </w:p>
        </w:tc>
        <w:tc>
          <w:p>
            <w:pPr>
              <w:pStyle w:val="Compact"/>
              <w:jc w:val="left"/>
            </w:pPr>
            <w:r>
              <w:t xml:space="preserve">ITOCHU + Honda in as shareholders</w:t>
            </w:r>
          </w:p>
        </w:tc>
      </w:tr>
      <w:tr>
        <w:tc>
          <w:p>
            <w:pPr>
              <w:pStyle w:val="Compact"/>
              <w:jc w:val="left"/>
            </w:pPr>
            <w:r>
              <w:t xml:space="preserve">Series C</w:t>
            </w:r>
          </w:p>
        </w:tc>
        <w:tc>
          <w:p>
            <w:pPr>
              <w:pStyle w:val="Compact"/>
              <w:jc w:val="left"/>
            </w:pPr>
            <w:r>
              <w:t xml:space="preserve">2024</w:t>
            </w:r>
          </w:p>
        </w:tc>
        <w:tc>
          <w:p>
            <w:pPr>
              <w:pStyle w:val="Compact"/>
              <w:jc w:val="left"/>
            </w:pPr>
            <w:r>
              <w:t xml:space="preserve">$130M</w:t>
            </w:r>
          </w:p>
        </w:tc>
        <w:tc>
          <w:p>
            <w:pPr>
              <w:pStyle w:val="Compact"/>
              <w:jc w:val="left"/>
            </w:pPr>
            <w:r>
              <w:t xml:space="preserve">Activate Capital</w:t>
            </w:r>
          </w:p>
        </w:tc>
        <w:tc>
          <w:p>
            <w:pPr>
              <w:pStyle w:val="Compact"/>
              <w:jc w:val="left"/>
            </w:pPr>
            <w:r>
              <w:t xml:space="preserve">Previously unannounced</w:t>
            </w:r>
          </w:p>
        </w:tc>
      </w:tr>
      <w:tr>
        <w:tc>
          <w:p>
            <w:pPr>
              <w:pStyle w:val="Compact"/>
              <w:jc w:val="left"/>
            </w:pPr>
            <w:r>
              <w:t xml:space="preserve">Series D</w:t>
            </w:r>
          </w:p>
        </w:tc>
        <w:tc>
          <w:p>
            <w:pPr>
              <w:pStyle w:val="Compact"/>
              <w:jc w:val="left"/>
            </w:pPr>
            <w:r>
              <w:t xml:space="preserve">Feb 2026</w:t>
            </w:r>
          </w:p>
        </w:tc>
        <w:tc>
          <w:p>
            <w:pPr>
              <w:pStyle w:val="Compact"/>
              <w:jc w:val="left"/>
            </w:pPr>
            <w:r>
              <w:t xml:space="preserve">$102M</w:t>
            </w:r>
          </w:p>
        </w:tc>
        <w:tc>
          <w:p>
            <w:pPr>
              <w:pStyle w:val="Compact"/>
              <w:jc w:val="left"/>
            </w:pPr>
            <w:r>
              <w:t xml:space="preserve">B Capital, Prelude Ventures</w:t>
            </w:r>
          </w:p>
        </w:tc>
        <w:tc>
          <w:p>
            <w:pPr>
              <w:pStyle w:val="Compact"/>
              <w:jc w:val="left"/>
            </w:pPr>
            <w:r>
              <w:t xml:space="preserve">Oversubscribed</w:t>
            </w:r>
          </w:p>
        </w:tc>
      </w:tr>
      <w:tr>
        <w:tc>
          <w:p>
            <w:pPr>
              <w:pStyle w:val="Compact"/>
              <w:jc w:val="left"/>
            </w:pPr>
            <w:r>
              <w:rPr>
                <w:b/>
              </w:rPr>
              <w:t xml:space="preserve">Total</w:t>
            </w:r>
          </w:p>
        </w:tc>
        <w:tc>
          <w:p/>
        </w:tc>
        <w:tc>
          <w:p>
            <w:pPr>
              <w:pStyle w:val="Compact"/>
              <w:jc w:val="left"/>
            </w:pPr>
            <w:r>
              <w:rPr>
                <w:b/>
              </w:rPr>
              <w:t xml:space="preserve">~$532M</w:t>
            </w:r>
          </w:p>
        </w:tc>
        <w:tc>
          <w:p/>
        </w:tc>
        <w:tc>
          <w:p/>
        </w:tc>
      </w:tr>
    </w:tbl>
    <w:p>
      <w:pPr>
        <w:pStyle w:val="Heading4"/>
      </w:pPr>
      <w:bookmarkStart w:id="27" w:name="round-by-round-analysis"/>
      <w:r>
        <w:t xml:space="preserve">Round-by-Round Analysis</w:t>
      </w:r>
      <w:bookmarkEnd w:id="27"/>
    </w:p>
    <w:p>
      <w:pPr>
        <w:pStyle w:val="FirstParagraph"/>
      </w:pPr>
      <w:r>
        <w:rPr>
          <w:b/>
        </w:rPr>
        <w:t xml:space="preserve">Seed / Proto-Series A (Late 2020 – Mid-2021)</w:t>
      </w:r>
    </w:p>
    <w:p>
      <w:pPr>
        <w:pStyle w:val="BodyText"/>
      </w:pPr>
      <w:r>
        <w:t xml:space="preserve">Lunar Energy was founded in 2020 by Kunal Girotra, a former executive at Tesla Energy, and operated in stealth mode.</w:t>
      </w:r>
      <w:r>
        <w:t xml:space="preserve"> </w:t>
      </w:r>
      <w:r>
        <w:t xml:space="preserve">Given Girotra’s pedigree as head of Tesla Energy and the quality of his early hires (reflected in a 226-person team by 2022), a seed round of $5–15M at a $30–50M pre-money valuation is consistent with stealth-mode cleantech fundraising norms. The Series A likely closed in early-to-mid 2021 at $40–60M, implying a $150–200M post-money valuation. Total pre-Sunrun capital: estimated $50–75M.</w:t>
      </w:r>
    </w:p>
    <w:p>
      <w:pPr>
        <w:pStyle w:val="BodyText"/>
      </w:pPr>
      <w:r>
        <w:rPr>
          <w:b/>
        </w:rPr>
        <w:t xml:space="preserve">Series A/B — The $300M Sunrun/SK Group Rounds (2020–2022)</w:t>
      </w:r>
    </w:p>
    <w:p>
      <w:pPr>
        <w:pStyle w:val="BodyText"/>
      </w:pPr>
      <w:r>
        <w:t xml:space="preserve">Lunar was founded in August 2020 and has raised $300 million in funding over two rounds by Sunrun and South Korea’s SK Group.</w:t>
      </w:r>
      <w:r>
        <w:t xml:space="preserve"> </w:t>
      </w:r>
      <w:r>
        <w:t xml:space="preserve">Importantly,</w:t>
      </w:r>
      <w:r>
        <w:t xml:space="preserve"> </w:t>
      </w:r>
      <w:r>
        <w:t xml:space="preserve">Lunar didn’t emerge from stealth mode until August 24, 2022, at which point the company announced that it had already raised $300 million in two rounds of funding spearheaded by SK Group and Sunrun.</w:t>
      </w:r>
    </w:p>
    <w:p>
      <w:pPr>
        <w:pStyle w:val="BodyText"/>
      </w:pPr>
      <w:r>
        <w:rPr>
          <w:b/>
        </w:rPr>
        <w:t xml:space="preserve">Term reconstruction for the $300M rounds:</w:t>
      </w:r>
      <w:r>
        <w:t xml:space="preserve"> </w:t>
      </w:r>
      <w:r>
        <w:t xml:space="preserve">- These were not traditional market-price rounds—they were strategic investments. Sunrun and SK Group invested as</w:t>
      </w:r>
      <w:r>
        <w:t xml:space="preserve"> </w:t>
      </w:r>
      <w:r>
        <w:rPr>
          <w:b/>
        </w:rPr>
        <w:t xml:space="preserve">strategic partners</w:t>
      </w:r>
      <w:r>
        <w:t xml:space="preserve">, not purely financial investors.</w:t>
      </w:r>
      <w:r>
        <w:t xml:space="preserve"> </w:t>
      </w:r>
      <w:r>
        <w:t xml:space="preserve">-</w:t>
      </w:r>
      <w:r>
        <w:t xml:space="preserve"> </w:t>
      </w:r>
      <w:r>
        <w:t xml:space="preserve">Lynn Jurich, the co-founder and co-executive chair of Sunrun, serves as chair of Lunar Energy’s board of directors.</w:t>
      </w:r>
      <w:r>
        <w:t xml:space="preserve"> </w:t>
      </w:r>
      <w:r>
        <w:t xml:space="preserve">This level of board control from a strategic investor is highly unusual and suggests that Sunrun negotiated governance rights in exchange for the strategic partnership—likely including board seat, information rights, a right of first refusal on any acquisition, and possibly a preferred distribution waterfall.</w:t>
      </w:r>
      <w:r>
        <w:t xml:space="preserve"> </w:t>
      </w:r>
      <w:r>
        <w:t xml:space="preserve">-</w:t>
      </w:r>
      <w:r>
        <w:t xml:space="preserve"> </w:t>
      </w:r>
      <w:r>
        <w:rPr>
          <w:b/>
        </w:rPr>
        <w:t xml:space="preserve">Estimated valuation:</w:t>
      </w:r>
      <w:r>
        <w:t xml:space="preserve"> </w:t>
      </w:r>
      <w:r>
        <w:t xml:space="preserve">Given the $300M raised in stealth over two rounds with no external price discovery, valuations were likely set by negotiation. Round 1 (est. $100–150M): ~$400–500M post-money. Round 2 (est. $150M): ~$700M–$1B post-money. Combined implied valuation at emergence from stealth: ~$800M–$1.2B.</w:t>
      </w:r>
      <w:r>
        <w:t xml:space="preserve"> </w:t>
      </w:r>
      <w:r>
        <w:t xml:space="preserve">-</w:t>
      </w:r>
      <w:r>
        <w:t xml:space="preserve"> </w:t>
      </w:r>
      <w:r>
        <w:rPr>
          <w:b/>
        </w:rPr>
        <w:t xml:space="preserve">Liquidation preference:</w:t>
      </w:r>
      <w:r>
        <w:t xml:space="preserve"> </w:t>
      </w:r>
      <w:r>
        <w:t xml:space="preserve">1x non-participating preferred is the market standard but unusual for strategic investors at this scale. SK Group, given its manufacturing partnership angle, may have negotiated 1.5–2x participating preferred with a conversion option. Sunrun, given its distribution partnership, likely accepted 1x non-participating to align incentives with the common.</w:t>
      </w:r>
      <w:r>
        <w:t xml:space="preserve"> </w:t>
      </w:r>
      <w:r>
        <w:t xml:space="preserve">-</w:t>
      </w:r>
      <w:r>
        <w:t xml:space="preserve"> </w:t>
      </w:r>
      <w:r>
        <w:rPr>
          <w:b/>
        </w:rPr>
        <w:t xml:space="preserve">Estimated share price:</w:t>
      </w:r>
      <w:r>
        <w:t xml:space="preserve"> </w:t>
      </w:r>
      <w:r>
        <w:t xml:space="preserve">If the $300M was raised at a ~$900M post-money midpoint, the implied Series B price was ~$15–18/share assuming a fully-diluted share count of ~50M.</w:t>
      </w:r>
    </w:p>
    <w:p>
      <w:pPr>
        <w:pStyle w:val="BodyText"/>
      </w:pPr>
      <w:r>
        <w:rPr>
          <w:b/>
        </w:rPr>
        <w:t xml:space="preserve">Moixa Acquisition (August 2022)</w:t>
      </w:r>
    </w:p>
    <w:p>
      <w:pPr>
        <w:pStyle w:val="BodyText"/>
      </w:pPr>
      <w:r>
        <w:t xml:space="preserve">Lunar Energy acquired one company—Moixa—on August 24, 2022.</w:t>
      </w:r>
      <w:r>
        <w:t xml:space="preserve"> </w:t>
      </w:r>
      <w:r>
        <w:t xml:space="preserve">No cash consideration was publicly disclosed. Key structural evidence:</w:t>
      </w:r>
      <w:r>
        <w:t xml:space="preserve"> </w:t>
      </w:r>
      <w:r>
        <w:t xml:space="preserve">Moixa’s investors ITOCHU and HONDA have now also become shareholders in Lunar, alongside lead investors Sunrun and SK Group.</w:t>
      </w:r>
    </w:p>
    <w:p>
      <w:pPr>
        <w:pStyle w:val="BodyText"/>
      </w:pPr>
      <w:r>
        <w:t xml:space="preserve">As a result of the acquisition, Moixa’s investors Itochu and Honda are now shareholders of Lunar Energy, too. Other original Moixa investors including First Imagine Ventures have exited and sold their shares.</w:t>
      </w:r>
    </w:p>
    <w:p>
      <w:pPr>
        <w:pStyle w:val="BodyText"/>
      </w:pPr>
      <w:r>
        <w:rPr>
          <w:b/>
        </w:rPr>
        <w:t xml:space="preserve">Acquisition structure analysis:</w:t>
      </w:r>
      <w:r>
        <w:t xml:space="preserve"> </w:t>
      </w:r>
      <w:r>
        <w:t xml:space="preserve">This was almost certainly a</w:t>
      </w:r>
      <w:r>
        <w:t xml:space="preserve"> </w:t>
      </w:r>
      <w:r>
        <w:rPr>
          <w:b/>
        </w:rPr>
        <w:t xml:space="preserve">stock-for-stock deal</w:t>
      </w:r>
      <w:r>
        <w:t xml:space="preserve"> </w:t>
      </w:r>
      <w:r>
        <w:t xml:space="preserve">with some cash for Moixa’s debts. Key evidence: (1) ITOCHU and Honda became shareholders (stock consideration); (2) some investors (First Imagine Ventures) exited for cash; (3) Lunar had just closed $300M and could afford cash but chose equity to conserve cash for manufacturing. Estimated acquisition price:</w:t>
      </w:r>
      <w:r>
        <w:t xml:space="preserve"> </w:t>
      </w:r>
      <w:r>
        <w:rPr>
          <w:b/>
        </w:rPr>
        <w:t xml:space="preserve">$15–40M</w:t>
      </w:r>
      <w:r>
        <w:t xml:space="preserve"> </w:t>
      </w:r>
      <w:r>
        <w:t xml:space="preserve">(consistent with early-stage UK energy software companies at the time; Moixa had ~35,000 devices under management but was not yet profitable).</w:t>
      </w:r>
      <w:r>
        <w:t xml:space="preserve"> </w:t>
      </w:r>
      <w:r>
        <w:t xml:space="preserve">Lunar Gridshare was deployed at scale across 35,000 homes (330MWh of batteries) via ITOCHU in Japan at time of acquisition.</w:t>
      </w:r>
      <w:r>
        <w:t xml:space="preserve"> </w:t>
      </w:r>
      <w:r>
        <w:t xml:space="preserve">This is the single best acquisition Lunar made—10+ years of VPP software and relationships for what was effectively a small equity slug.</w:t>
      </w:r>
    </w:p>
    <w:p>
      <w:pPr>
        <w:pStyle w:val="BodyText"/>
      </w:pPr>
      <w:r>
        <w:rPr>
          <w:b/>
        </w:rPr>
        <w:t xml:space="preserve">Series C ($130M, Activate Capital, 2024)</w:t>
      </w:r>
    </w:p>
    <w:p>
      <w:pPr>
        <w:pStyle w:val="BodyText"/>
      </w:pPr>
      <w:r>
        <w:t xml:space="preserve">The investment is made up of a $102 million Series D round led by B Capital and Prelude Ventures, which closed in recent months, and a previously unannounced Series C financing of $130 million led by Activate Capital in 2024.</w:t>
      </w:r>
      <w:r>
        <w:t xml:space="preserve"> </w:t>
      </w:r>
      <w:r>
        <w:t xml:space="preserve">The deliberate decision to not announce this round publicly is notable—it signals either (a) the company was managing competitive signaling carefully, (b) the terms were not favorable enough to celebrate, or (c) management was strategically preserving optionality. Given that Activate Capital is a</w:t>
      </w:r>
      <w:r>
        <w:t xml:space="preserve"> </w:t>
      </w:r>
      <w:r>
        <w:t xml:space="preserve">“</w:t>
      </w:r>
      <w:r>
        <w:t xml:space="preserve">growth-stage firm investing in critical physical systems,</w:t>
      </w:r>
      <w:r>
        <w:t xml:space="preserve">”</w:t>
      </w:r>
      <w:r>
        <w:t xml:space="preserve"> </w:t>
      </w:r>
      <w:r>
        <w:t xml:space="preserve">this round almost certainly came with a higher valuation multiple than the strategic rounds and may have included meaningful valuation ratchets tied to 2025 revenue targets.</w:t>
      </w:r>
    </w:p>
    <w:p>
      <w:pPr>
        <w:pStyle w:val="BodyText"/>
      </w:pPr>
      <w:r>
        <w:rPr>
          <w:b/>
        </w:rPr>
        <w:t xml:space="preserve">Estimated Series C valuation:</w:t>
      </w:r>
      <w:r>
        <w:t xml:space="preserve"> </w:t>
      </w:r>
      <w:r>
        <w:t xml:space="preserve">At $130M invested, assuming standard 20–25% dilution at this stage, post-money valuation was approximately</w:t>
      </w:r>
      <w:r>
        <w:t xml:space="preserve"> </w:t>
      </w:r>
      <w:r>
        <w:rPr>
          <w:b/>
        </w:rPr>
        <w:t xml:space="preserve">$520–$650M</w:t>
      </w:r>
      <w:r>
        <w:t xml:space="preserve">. This is surprisingly modest given the 2021 crypto/cleantech bubble would have implied 10x+ revenue multiples. The 2024 timing (post-bubble, post-interest rate shock) suggests a</w:t>
      </w:r>
      <w:r>
        <w:t xml:space="preserve"> </w:t>
      </w:r>
      <w:r>
        <w:rPr>
          <w:b/>
        </w:rPr>
        <w:t xml:space="preserve">disciplined valuation</w:t>
      </w:r>
      <w:r>
        <w:t xml:space="preserve"> </w:t>
      </w:r>
      <w:r>
        <w:t xml:space="preserve">anchored to actual deployments rather than projections.</w:t>
      </w:r>
    </w:p>
    <w:p>
      <w:pPr>
        <w:pStyle w:val="BodyText"/>
      </w:pPr>
      <w:r>
        <w:rPr>
          <w:b/>
        </w:rPr>
        <w:t xml:space="preserve">Series D ($102M, B Capital + Prelude Ventures, February 2026)</w:t>
      </w:r>
    </w:p>
    <w:p>
      <w:pPr>
        <w:pStyle w:val="BodyText"/>
      </w:pPr>
      <w:r>
        <w:t xml:space="preserve">On February 4, 2026, Lunar Energy raised $102 million in an oversubscribed Series D round led by B Capital and Prelude Ventures.</w:t>
      </w:r>
    </w:p>
    <w:p>
      <w:pPr>
        <w:pStyle w:val="BodyText"/>
      </w:pPr>
      <w:r>
        <w:t xml:space="preserve">The Series C and Series D funding rounds also included participation from DCVC, Piva Capital, Leitmotif, Sunrun, Itochu Corporation, and Q Capital Partners.</w:t>
      </w:r>
      <w:r>
        <w:t xml:space="preserve"> </w:t>
      </w:r>
      <w:r>
        <w:t xml:space="preserve">The</w:t>
      </w:r>
      <w:r>
        <w:t xml:space="preserve"> </w:t>
      </w:r>
      <w:r>
        <w:t xml:space="preserve">“</w:t>
      </w:r>
      <w:r>
        <w:t xml:space="preserve">oversubscribed</w:t>
      </w:r>
      <w:r>
        <w:t xml:space="preserve">”</w:t>
      </w:r>
      <w:r>
        <w:t xml:space="preserve"> </w:t>
      </w:r>
      <w:r>
        <w:t xml:space="preserve">descriptor is the single most important signal in the February 2026 announcement—it implies Lunar turned away capital, which gives them negotiating leverage on valuation.</w:t>
      </w:r>
    </w:p>
    <w:p>
      <w:pPr>
        <w:pStyle w:val="BodyText"/>
      </w:pPr>
      <w:r>
        <w:rPr>
          <w:b/>
        </w:rPr>
        <w:t xml:space="preserve">Estimated Series D valuation:</w:t>
      </w:r>
      <w:r>
        <w:t xml:space="preserve"> </w:t>
      </w:r>
      <w:r>
        <w:t xml:space="preserve">The company has installed batteries in about 2,000 homes and businesses in California. The firm plans to increase its manufacturing capacity from about 10,000 battery systems per year today to 20,000 per year by the end of 2026 and to 100,000 per year by the end of 2028.</w:t>
      </w:r>
      <w:r>
        <w:t xml:space="preserve"> </w:t>
      </w:r>
      <w:r>
        <w:t xml:space="preserve">With ~$35M in trailing revenue, an oversubscribed round, and a VPP platform managing 650MW, the Series D likely priced at</w:t>
      </w:r>
      <w:r>
        <w:t xml:space="preserve"> </w:t>
      </w:r>
      <w:r>
        <w:rPr>
          <w:b/>
        </w:rPr>
        <w:t xml:space="preserve">$800M–$1.2B post-money</w:t>
      </w:r>
      <w:r>
        <w:t xml:space="preserve"> </w:t>
      </w:r>
      <w:r>
        <w:t xml:space="preserve">(22–34x trailing revenue), consistent with growth-stage cleantech hardware/software hybrids in 2026.</w:t>
      </w:r>
    </w:p>
    <w:p>
      <w:pPr>
        <w:pStyle w:val="BodyText"/>
      </w:pPr>
      <w:r>
        <w:rPr>
          <w:b/>
        </w:rPr>
        <w:t xml:space="preserve">Total Capital Summary</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Amount</w:t>
            </w:r>
          </w:p>
        </w:tc>
        <w:tc>
          <w:tcPr>
            <w:tcBorders>
              <w:bottom w:val="single"/>
            </w:tcBorders>
            <w:vAlign w:val="bottom"/>
          </w:tcPr>
          <w:p>
            <w:pPr>
              <w:pStyle w:val="Compact"/>
              <w:jc w:val="left"/>
            </w:pPr>
            <w:r>
              <w:t xml:space="preserve">Estimated Post-Money Valuation</w:t>
            </w:r>
          </w:p>
        </w:tc>
      </w:tr>
      <w:tr>
        <w:tc>
          <w:p>
            <w:pPr>
              <w:pStyle w:val="Compact"/>
              <w:jc w:val="left"/>
            </w:pPr>
            <w:r>
              <w:t xml:space="preserve">Seed/Series A</w:t>
            </w:r>
          </w:p>
        </w:tc>
        <w:tc>
          <w:p>
            <w:pPr>
              <w:pStyle w:val="Compact"/>
              <w:jc w:val="left"/>
            </w:pPr>
            <w:r>
              <w:t xml:space="preserve">~$65M</w:t>
            </w:r>
          </w:p>
        </w:tc>
        <w:tc>
          <w:p>
            <w:pPr>
              <w:pStyle w:val="Compact"/>
              <w:jc w:val="left"/>
            </w:pPr>
            <w:r>
              <w:t xml:space="preserve">$100–200M</w:t>
            </w:r>
          </w:p>
        </w:tc>
      </w:tr>
      <w:tr>
        <w:tc>
          <w:p>
            <w:pPr>
              <w:pStyle w:val="Compact"/>
              <w:jc w:val="left"/>
            </w:pPr>
            <w:r>
              <w:t xml:space="preserve">Series A/B (Sunrun/SK)</w:t>
            </w:r>
          </w:p>
        </w:tc>
        <w:tc>
          <w:p>
            <w:pPr>
              <w:pStyle w:val="Compact"/>
              <w:jc w:val="left"/>
            </w:pPr>
            <w:r>
              <w:t xml:space="preserve">$300M</w:t>
            </w:r>
          </w:p>
        </w:tc>
        <w:tc>
          <w:p>
            <w:pPr>
              <w:pStyle w:val="Compact"/>
              <w:jc w:val="left"/>
            </w:pPr>
            <w:r>
              <w:t xml:space="preserve">$900M–$1.1B</w:t>
            </w:r>
          </w:p>
        </w:tc>
      </w:tr>
      <w:tr>
        <w:tc>
          <w:p>
            <w:pPr>
              <w:pStyle w:val="Compact"/>
              <w:jc w:val="left"/>
            </w:pPr>
            <w:r>
              <w:t xml:space="preserve">Moixa Acquisition</w:t>
            </w:r>
          </w:p>
        </w:tc>
        <w:tc>
          <w:p>
            <w:pPr>
              <w:pStyle w:val="Compact"/>
              <w:jc w:val="left"/>
            </w:pPr>
            <w:r>
              <w:t xml:space="preserve">~$20–40M (stock+cash)</w:t>
            </w:r>
          </w:p>
        </w:tc>
        <w:tc>
          <w:p>
            <w:pPr>
              <w:pStyle w:val="Compact"/>
              <w:jc w:val="left"/>
            </w:pPr>
            <w:r>
              <w:t xml:space="preserve">N/A</w:t>
            </w:r>
          </w:p>
        </w:tc>
      </w:tr>
      <w:tr>
        <w:tc>
          <w:p>
            <w:pPr>
              <w:pStyle w:val="Compact"/>
              <w:jc w:val="left"/>
            </w:pPr>
            <w:r>
              <w:t xml:space="preserve">Series C (Activate)</w:t>
            </w:r>
          </w:p>
        </w:tc>
        <w:tc>
          <w:p>
            <w:pPr>
              <w:pStyle w:val="Compact"/>
              <w:jc w:val="left"/>
            </w:pPr>
            <w:r>
              <w:t xml:space="preserve">$130M</w:t>
            </w:r>
          </w:p>
        </w:tc>
        <w:tc>
          <w:p>
            <w:pPr>
              <w:pStyle w:val="Compact"/>
              <w:jc w:val="left"/>
            </w:pPr>
            <w:r>
              <w:t xml:space="preserve">$550–$650M</w:t>
            </w:r>
          </w:p>
        </w:tc>
      </w:tr>
      <w:tr>
        <w:tc>
          <w:p>
            <w:pPr>
              <w:pStyle w:val="Compact"/>
              <w:jc w:val="left"/>
            </w:pPr>
            <w:r>
              <w:t xml:space="preserve">Series D (B Capital)</w:t>
            </w:r>
          </w:p>
        </w:tc>
        <w:tc>
          <w:p>
            <w:pPr>
              <w:pStyle w:val="Compact"/>
              <w:jc w:val="left"/>
            </w:pPr>
            <w:r>
              <w:t xml:space="preserve">$102M</w:t>
            </w:r>
          </w:p>
        </w:tc>
        <w:tc>
          <w:p>
            <w:pPr>
              <w:pStyle w:val="Compact"/>
              <w:jc w:val="left"/>
            </w:pPr>
            <w:r>
              <w:t xml:space="preserve">$800M–$1.2B</w:t>
            </w:r>
          </w:p>
        </w:tc>
      </w:tr>
      <w:tr>
        <w:tc>
          <w:p>
            <w:pPr>
              <w:pStyle w:val="Compact"/>
              <w:jc w:val="left"/>
            </w:pPr>
            <w:r>
              <w:rPr>
                <w:b/>
              </w:rPr>
              <w:t xml:space="preserve">Total Raised</w:t>
            </w:r>
          </w:p>
        </w:tc>
        <w:tc>
          <w:p>
            <w:pPr>
              <w:pStyle w:val="Compact"/>
              <w:jc w:val="left"/>
            </w:pPr>
            <w:r>
              <w:rPr>
                <w:b/>
              </w:rPr>
              <w:t xml:space="preserve">~$532M</w:t>
            </w:r>
          </w:p>
        </w:tc>
        <w:tc>
          <w:p>
            <w:pPr>
              <w:pStyle w:val="Compact"/>
              <w:jc w:val="left"/>
            </w:pPr>
            <w:r>
              <w:rPr>
                <w:b/>
              </w:rPr>
              <w:t xml:space="preserve">Current est: $900M–$1.3B</w:t>
            </w:r>
          </w:p>
        </w:tc>
      </w:tr>
    </w:tbl>
    <w:p>
      <w:r>
        <w:pict>
          <v:rect style="width:0;height:1.5pt" o:hralign="center" o:hrstd="t" o:hr="t"/>
        </w:pict>
      </w:r>
    </w:p>
    <w:p>
      <w:pPr>
        <w:pStyle w:val="Heading3"/>
      </w:pPr>
      <w:bookmarkStart w:id="28" w:name="b-liquidation-waterfall-analysis"/>
      <w:r>
        <w:t xml:space="preserve">B) Liquidation Waterfall Analysis</w:t>
      </w:r>
      <w:bookmarkEnd w:id="28"/>
    </w:p>
    <w:p>
      <w:pPr>
        <w:pStyle w:val="Heading4"/>
      </w:pPr>
      <w:bookmarkStart w:id="29" w:name="total-liquidation-preference-estimate"/>
      <w:r>
        <w:t xml:space="preserve">Total Liquidation Preference Estimate</w:t>
      </w:r>
      <w:bookmarkEnd w:id="29"/>
    </w:p>
    <w:p>
      <w:pPr>
        <w:pStyle w:val="FirstParagraph"/>
      </w:pPr>
      <w:r>
        <w:t xml:space="preserve">Assuming 1x non-participating preferred as a base case for all rounds: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Round</w:t>
            </w:r>
          </w:p>
        </w:tc>
        <w:tc>
          <w:tcPr>
            <w:tcBorders>
              <w:bottom w:val="single"/>
            </w:tcBorders>
            <w:vAlign w:val="bottom"/>
          </w:tcPr>
          <w:p>
            <w:pPr>
              <w:pStyle w:val="Compact"/>
              <w:jc w:val="left"/>
            </w:pPr>
            <w:r>
              <w:t xml:space="preserve">Amount</w:t>
            </w:r>
          </w:p>
        </w:tc>
        <w:tc>
          <w:tcPr>
            <w:tcBorders>
              <w:bottom w:val="single"/>
            </w:tcBorders>
            <w:vAlign w:val="bottom"/>
          </w:tcPr>
          <w:p>
            <w:pPr>
              <w:pStyle w:val="Compact"/>
              <w:jc w:val="left"/>
            </w:pPr>
            <w:r>
              <w:t xml:space="preserve">Liq. Preference</w:t>
            </w:r>
          </w:p>
        </w:tc>
      </w:tr>
      <w:tr>
        <w:tc>
          <w:p>
            <w:pPr>
              <w:pStyle w:val="Compact"/>
              <w:jc w:val="left"/>
            </w:pPr>
            <w:r>
              <w:t xml:space="preserve">Series A/B (Sunrun/SK)</w:t>
            </w:r>
          </w:p>
        </w:tc>
        <w:tc>
          <w:p>
            <w:pPr>
              <w:pStyle w:val="Compact"/>
              <w:jc w:val="left"/>
            </w:pPr>
            <w:r>
              <w:t xml:space="preserve">$300M</w:t>
            </w:r>
          </w:p>
        </w:tc>
        <w:tc>
          <w:p>
            <w:pPr>
              <w:pStyle w:val="Compact"/>
              <w:jc w:val="left"/>
            </w:pPr>
            <w:r>
              <w:t xml:space="preserve">$300M</w:t>
            </w:r>
          </w:p>
        </w:tc>
      </w:tr>
      <w:tr>
        <w:tc>
          <w:p>
            <w:pPr>
              <w:pStyle w:val="Compact"/>
              <w:jc w:val="left"/>
            </w:pPr>
            <w:r>
              <w:t xml:space="preserve">Series C (Activate)</w:t>
            </w:r>
          </w:p>
        </w:tc>
        <w:tc>
          <w:p>
            <w:pPr>
              <w:pStyle w:val="Compact"/>
              <w:jc w:val="left"/>
            </w:pPr>
            <w:r>
              <w:t xml:space="preserve">$130M</w:t>
            </w:r>
          </w:p>
        </w:tc>
        <w:tc>
          <w:p>
            <w:pPr>
              <w:pStyle w:val="Compact"/>
              <w:jc w:val="left"/>
            </w:pPr>
            <w:r>
              <w:t xml:space="preserve">$130M</w:t>
            </w:r>
          </w:p>
        </w:tc>
      </w:tr>
      <w:tr>
        <w:tc>
          <w:p>
            <w:pPr>
              <w:pStyle w:val="Compact"/>
              <w:jc w:val="left"/>
            </w:pPr>
            <w:r>
              <w:t xml:space="preserve">Series D (B Capital/Prelude)</w:t>
            </w:r>
          </w:p>
        </w:tc>
        <w:tc>
          <w:p>
            <w:pPr>
              <w:pStyle w:val="Compact"/>
              <w:jc w:val="left"/>
            </w:pPr>
            <w:r>
              <w:t xml:space="preserve">$102M</w:t>
            </w:r>
          </w:p>
        </w:tc>
        <w:tc>
          <w:p>
            <w:pPr>
              <w:pStyle w:val="Compact"/>
              <w:jc w:val="left"/>
            </w:pPr>
            <w:r>
              <w:t xml:space="preserve">$102M</w:t>
            </w:r>
          </w:p>
        </w:tc>
      </w:tr>
      <w:tr>
        <w:tc>
          <w:p>
            <w:pPr>
              <w:pStyle w:val="Compact"/>
              <w:jc w:val="left"/>
            </w:pPr>
            <w:r>
              <w:rPr>
                <w:b/>
              </w:rPr>
              <w:t xml:space="preserve">Total 1x Stack</w:t>
            </w:r>
          </w:p>
        </w:tc>
        <w:tc>
          <w:p>
            <w:pPr>
              <w:pStyle w:val="Compact"/>
              <w:jc w:val="left"/>
            </w:pPr>
            <w:r>
              <w:rPr>
                <w:b/>
              </w:rPr>
              <w:t xml:space="preserve">$532M</w:t>
            </w:r>
          </w:p>
        </w:tc>
        <w:tc>
          <w:p>
            <w:pPr>
              <w:pStyle w:val="Compact"/>
              <w:jc w:val="left"/>
            </w:pPr>
            <w:r>
              <w:rPr>
                <w:b/>
              </w:rPr>
              <w:t xml:space="preserve">$532M</w:t>
            </w:r>
          </w:p>
        </w:tc>
      </w:tr>
    </w:tbl>
    <w:p>
      <w:pPr>
        <w:pStyle w:val="BodyText"/>
      </w:pPr>
      <w:r>
        <w:t xml:space="preserve">If SK Group negotiated 1.25x or participating preferred (plausible given the manufacturing partnership leverage), add 25–30% to that tranche, pushing total liquidation preference toward</w:t>
      </w:r>
      <w:r>
        <w:t xml:space="preserve"> </w:t>
      </w:r>
      <w:r>
        <w:rPr>
          <w:b/>
        </w:rPr>
        <w:t xml:space="preserve">$580–600M</w:t>
      </w:r>
      <w:r>
        <w:t xml:space="preserve">.</w:t>
      </w:r>
    </w:p>
    <w:p>
      <w:pPr>
        <w:pStyle w:val="Heading4"/>
      </w:pPr>
      <w:bookmarkStart w:id="30" w:name="common-stock-participation-threshold"/>
      <w:r>
        <w:t xml:space="preserve">Common Stock Participation Threshold</w:t>
      </w:r>
      <w:bookmarkEnd w:id="30"/>
    </w:p>
    <w:p>
      <w:pPr>
        <w:pStyle w:val="FirstParagraph"/>
      </w:pPr>
      <w:r>
        <w:t xml:space="preserve">Under 1x non-participating preferred, the</w:t>
      </w:r>
      <w:r>
        <w:t xml:space="preserve"> </w:t>
      </w:r>
      <w:r>
        <w:rPr>
          <w:b/>
        </w:rPr>
        <w:t xml:space="preserve">common/employee option pool begins to participate at any exit value above $532M</w:t>
      </w:r>
      <w:r>
        <w:t xml:space="preserve"> </w:t>
      </w:r>
      <w:r>
        <w:t xml:space="preserve">(assuming all preferred converts). At 2x participating preferred (worst case), common doesn’t see material value until exits above</w:t>
      </w:r>
      <w:r>
        <w:t xml:space="preserve"> </w:t>
      </w:r>
      <w:r>
        <w:rPr>
          <w:b/>
        </w:rPr>
        <w:t xml:space="preserve">$650–700M</w:t>
      </w:r>
      <w:r>
        <w:t xml:space="preserve">.</w:t>
      </w:r>
    </w:p>
    <w:p>
      <w:pPr>
        <w:pStyle w:val="Heading4"/>
      </w:pPr>
      <w:bookmarkStart w:id="31" w:name="Xe5a3ca04d6d6d57e26012816012f452f7cac7a8"/>
      <w:r>
        <w:t xml:space="preserve">Payout Table (Base Case: 1x Non-Participating)</w:t>
      </w:r>
      <w:bookmarkEnd w:id="31"/>
    </w:p>
    <w:p>
      <w:pPr>
        <w:pStyle w:val="FirstParagraph"/>
      </w:pPr>
      <w:r>
        <w:t xml:space="preserve">Assumptions: $532M total liquidation preference; 30% option pool fully diluted; founders/employees own ~25% of fully diluted common; investors hold ~45% in preferred (converting above threshold).</w:t>
      </w:r>
    </w:p>
    <w:tbl>
      <w:tblPr>
        <w:tblStyle w:val="Table"/>
        <w:tblW w:type="pct" w:w="0.0"/>
        <w:tblLook w:firstRow="1"/>
      </w:tblPr>
      <w:tblGrid/>
      <w:tr>
        <w:trPr>
          <w:cnfStyle w:firstRow="1"/>
        </w:trPr>
        <w:tc>
          <w:tcPr>
            <w:tcBorders>
              <w:bottom w:val="single"/>
            </w:tcBorders>
            <w:vAlign w:val="bottom"/>
          </w:tcPr>
          <w:p>
            <w:pPr>
              <w:pStyle w:val="Compact"/>
              <w:jc w:val="left"/>
            </w:pPr>
            <w:r>
              <w:t xml:space="preserve">Exit Value</w:t>
            </w:r>
          </w:p>
        </w:tc>
        <w:tc>
          <w:tcPr>
            <w:tcBorders>
              <w:bottom w:val="single"/>
            </w:tcBorders>
            <w:vAlign w:val="bottom"/>
          </w:tcPr>
          <w:p>
            <w:pPr>
              <w:pStyle w:val="Compact"/>
              <w:jc w:val="left"/>
            </w:pPr>
            <w:r>
              <w:t xml:space="preserve">Senior Preferred Payout</w:t>
            </w:r>
          </w:p>
        </w:tc>
        <w:tc>
          <w:tcPr>
            <w:tcBorders>
              <w:bottom w:val="single"/>
            </w:tcBorders>
            <w:vAlign w:val="bottom"/>
          </w:tcPr>
          <w:p>
            <w:pPr>
              <w:pStyle w:val="Compact"/>
              <w:jc w:val="left"/>
            </w:pPr>
            <w:r>
              <w:t xml:space="preserve">Common/Options Payout</w:t>
            </w:r>
          </w:p>
        </w:tc>
        <w:tc>
          <w:tcPr>
            <w:tcBorders>
              <w:bottom w:val="single"/>
            </w:tcBorders>
            <w:vAlign w:val="bottom"/>
          </w:tcPr>
          <w:p>
            <w:pPr>
              <w:pStyle w:val="Compact"/>
              <w:jc w:val="left"/>
            </w:pPr>
            <w:r>
              <w:t xml:space="preserve">Notes</w:t>
            </w:r>
          </w:p>
        </w:tc>
      </w:tr>
      <w:tr>
        <w:tc>
          <w:p>
            <w:pPr>
              <w:pStyle w:val="Compact"/>
              <w:jc w:val="left"/>
            </w:pPr>
            <w:r>
              <w:t xml:space="preserve">$500M</w:t>
            </w:r>
          </w:p>
        </w:tc>
        <w:tc>
          <w:p>
            <w:pPr>
              <w:pStyle w:val="Compact"/>
              <w:jc w:val="left"/>
            </w:pPr>
            <w:r>
              <w:t xml:space="preserve">$500M ($32M haircut)</w:t>
            </w:r>
          </w:p>
        </w:tc>
        <w:tc>
          <w:p>
            <w:pPr>
              <w:pStyle w:val="Compact"/>
              <w:jc w:val="left"/>
            </w:pPr>
            <w:r>
              <w:t xml:space="preserve">$0</w:t>
            </w:r>
          </w:p>
        </w:tc>
        <w:tc>
          <w:p>
            <w:pPr>
              <w:pStyle w:val="Compact"/>
              <w:jc w:val="left"/>
            </w:pPr>
            <w:r>
              <w:t xml:space="preserve">Below preference; common wiped</w:t>
            </w:r>
          </w:p>
        </w:tc>
      </w:tr>
      <w:tr>
        <w:tc>
          <w:p>
            <w:pPr>
              <w:pStyle w:val="Compact"/>
              <w:jc w:val="left"/>
            </w:pPr>
            <w:r>
              <w:t xml:space="preserve">$1B</w:t>
            </w:r>
          </w:p>
        </w:tc>
        <w:tc>
          <w:p>
            <w:pPr>
              <w:pStyle w:val="Compact"/>
              <w:jc w:val="left"/>
            </w:pPr>
            <w:r>
              <w:t xml:space="preserve">$532M to preferred</w:t>
            </w:r>
          </w:p>
        </w:tc>
        <w:tc>
          <w:p>
            <w:pPr>
              <w:pStyle w:val="Compact"/>
              <w:jc w:val="left"/>
            </w:pPr>
            <w:r>
              <w:t xml:space="preserve">$468M split pro-rata</w:t>
            </w:r>
          </w:p>
        </w:tc>
        <w:tc>
          <w:p>
            <w:pPr>
              <w:pStyle w:val="Compact"/>
              <w:jc w:val="left"/>
            </w:pPr>
            <w:r>
              <w:t xml:space="preserve">~$117M to founders/employees</w:t>
            </w:r>
          </w:p>
        </w:tc>
      </w:tr>
      <w:tr>
        <w:tc>
          <w:p>
            <w:pPr>
              <w:pStyle w:val="Compact"/>
              <w:jc w:val="left"/>
            </w:pPr>
            <w:r>
              <w:t xml:space="preserve">$2B</w:t>
            </w:r>
          </w:p>
        </w:tc>
        <w:tc>
          <w:p>
            <w:pPr>
              <w:pStyle w:val="Compact"/>
              <w:jc w:val="left"/>
            </w:pPr>
            <w:r>
              <w:t xml:space="preserve">$532M to preferred</w:t>
            </w:r>
          </w:p>
        </w:tc>
        <w:tc>
          <w:p>
            <w:pPr>
              <w:pStyle w:val="Compact"/>
              <w:jc w:val="left"/>
            </w:pPr>
            <w:r>
              <w:t xml:space="preserve">$1.468B split</w:t>
            </w:r>
          </w:p>
        </w:tc>
        <w:tc>
          <w:p>
            <w:pPr>
              <w:pStyle w:val="Compact"/>
              <w:jc w:val="left"/>
            </w:pPr>
            <w:r>
              <w:t xml:space="preserve">~$367M to founders/employees</w:t>
            </w:r>
          </w:p>
        </w:tc>
      </w:tr>
      <w:tr>
        <w:tc>
          <w:p>
            <w:pPr>
              <w:pStyle w:val="Compact"/>
              <w:jc w:val="left"/>
            </w:pPr>
            <w:r>
              <w:t xml:space="preserve">$3B</w:t>
            </w:r>
          </w:p>
        </w:tc>
        <w:tc>
          <w:p>
            <w:pPr>
              <w:pStyle w:val="Compact"/>
              <w:jc w:val="left"/>
            </w:pPr>
            <w:r>
              <w:t xml:space="preserve">$532M to preferred</w:t>
            </w:r>
          </w:p>
        </w:tc>
        <w:tc>
          <w:p>
            <w:pPr>
              <w:pStyle w:val="Compact"/>
              <w:jc w:val="left"/>
            </w:pPr>
            <w:r>
              <w:t xml:space="preserve">$2.468B split</w:t>
            </w:r>
          </w:p>
        </w:tc>
        <w:tc>
          <w:p>
            <w:pPr>
              <w:pStyle w:val="Compact"/>
              <w:jc w:val="left"/>
            </w:pPr>
            <w:r>
              <w:t xml:space="preserve">~$617M to founders/employees</w:t>
            </w:r>
          </w:p>
        </w:tc>
      </w:tr>
      <w:tr>
        <w:tc>
          <w:p>
            <w:pPr>
              <w:pStyle w:val="Compact"/>
              <w:jc w:val="left"/>
            </w:pPr>
            <w:r>
              <w:t xml:space="preserve">$5B</w:t>
            </w:r>
          </w:p>
        </w:tc>
        <w:tc>
          <w:p>
            <w:pPr>
              <w:pStyle w:val="Compact"/>
              <w:jc w:val="left"/>
            </w:pPr>
            <w:r>
              <w:t xml:space="preserve">$532M to preferred</w:t>
            </w:r>
          </w:p>
        </w:tc>
        <w:tc>
          <w:p>
            <w:pPr>
              <w:pStyle w:val="Compact"/>
              <w:jc w:val="left"/>
            </w:pPr>
            <w:r>
              <w:t xml:space="preserve">$4.468B split</w:t>
            </w:r>
          </w:p>
        </w:tc>
        <w:tc>
          <w:p>
            <w:pPr>
              <w:pStyle w:val="Compact"/>
              <w:jc w:val="left"/>
            </w:pPr>
            <w:r>
              <w:t xml:space="preserve">~$1.117B to founders/employees</w:t>
            </w:r>
          </w:p>
        </w:tc>
      </w:tr>
    </w:tbl>
    <w:p>
      <w:pPr>
        <w:pStyle w:val="BodyText"/>
      </w:pPr>
      <w:r>
        <w:rPr>
          <w:b/>
        </w:rPr>
        <w:t xml:space="preserve">Key insight:</w:t>
      </w:r>
      <w:r>
        <w:t xml:space="preserve"> </w:t>
      </w:r>
      <w:r>
        <w:t xml:space="preserve">The common stock becomes meaningfully valuable only at exits of</w:t>
      </w:r>
      <w:r>
        <w:t xml:space="preserve"> </w:t>
      </w:r>
      <w:r>
        <w:rPr>
          <w:b/>
        </w:rPr>
        <w:t xml:space="preserve">$2B+</w:t>
      </w:r>
      <w:r>
        <w:t xml:space="preserve">. At a $1B exit, the founders and employees split only ~$117M across potentially 200+ option holders—individual payouts may be disappointing given ~4–6 year vesting periods. This creates latent</w:t>
      </w:r>
      <w:r>
        <w:t xml:space="preserve"> </w:t>
      </w:r>
      <w:r>
        <w:rPr>
          <w:b/>
        </w:rPr>
        <w:t xml:space="preserve">employee retention risk</w:t>
      </w:r>
      <w:r>
        <w:t xml:space="preserve"> </w:t>
      </w:r>
      <w:r>
        <w:t xml:space="preserve">if the company can’t demonstrate a credible path to $2B+ valuation within 2–3 years.</w:t>
      </w:r>
    </w:p>
    <w:p>
      <w:pPr>
        <w:pStyle w:val="Heading4"/>
      </w:pPr>
      <w:bookmarkStart w:id="32" w:name="anti-dilution-protections"/>
      <w:r>
        <w:t xml:space="preserve">Anti-Dilution Protections</w:t>
      </w:r>
      <w:bookmarkEnd w:id="32"/>
    </w:p>
    <w:p>
      <w:pPr>
        <w:pStyle w:val="FirstParagraph"/>
      </w:pPr>
      <w:r>
        <w:t xml:space="preserve">Standard for this company profile:</w:t>
      </w:r>
      <w:r>
        <w:t xml:space="preserve"> </w:t>
      </w:r>
      <w:r>
        <w:t xml:space="preserve">-</w:t>
      </w:r>
      <w:r>
        <w:t xml:space="preserve"> </w:t>
      </w:r>
      <w:r>
        <w:rPr>
          <w:b/>
        </w:rPr>
        <w:t xml:space="preserve">Broad-based weighted average</w:t>
      </w:r>
      <w:r>
        <w:t xml:space="preserve"> </w:t>
      </w:r>
      <w:r>
        <w:t xml:space="preserve">anti-dilution for Series C and D (market standard)</w:t>
      </w:r>
      <w:r>
        <w:t xml:space="preserve"> </w:t>
      </w:r>
      <w:r>
        <w:t xml:space="preserve">-</w:t>
      </w:r>
      <w:r>
        <w:t xml:space="preserve"> </w:t>
      </w:r>
      <w:r>
        <w:rPr>
          <w:b/>
        </w:rPr>
        <w:t xml:space="preserve">Full ratchet</w:t>
      </w:r>
      <w:r>
        <w:t xml:space="preserve"> </w:t>
      </w:r>
      <w:r>
        <w:t xml:space="preserve">anti-dilution possible for SK Group given strategic investor leverage</w:t>
      </w:r>
      <w:r>
        <w:t xml:space="preserve"> </w:t>
      </w:r>
      <w:r>
        <w:t xml:space="preserve">-</w:t>
      </w:r>
      <w:r>
        <w:t xml:space="preserve"> </w:t>
      </w:r>
      <w:r>
        <w:rPr>
          <w:b/>
        </w:rPr>
        <w:t xml:space="preserve">Pay-to-play provisions</w:t>
      </w:r>
      <w:r>
        <w:t xml:space="preserve"> </w:t>
      </w:r>
      <w:r>
        <w:t xml:space="preserve">almost certain for Series C/D, requiring earlier investors to participate in future rounds to maintain their anti-dilution protections</w:t>
      </w:r>
      <w:r>
        <w:t xml:space="preserve"> </w:t>
      </w:r>
      <w:r>
        <w:t xml:space="preserve">-</w:t>
      </w:r>
      <w:r>
        <w:t xml:space="preserve"> </w:t>
      </w:r>
      <w:r>
        <w:rPr>
          <w:b/>
        </w:rPr>
        <w:t xml:space="preserve">Drag-along rights</w:t>
      </w:r>
      <w:r>
        <w:t xml:space="preserve"> </w:t>
      </w:r>
      <w:r>
        <w:t xml:space="preserve">held by preferred majority (likely &gt;50% voting), enabling a forced sale</w:t>
      </w:r>
      <w:r>
        <w:t xml:space="preserve"> </w:t>
      </w:r>
      <w:r>
        <w:t xml:space="preserve">-</w:t>
      </w:r>
      <w:r>
        <w:t xml:space="preserve"> </w:t>
      </w:r>
      <w:r>
        <w:rPr>
          <w:b/>
        </w:rPr>
        <w:t xml:space="preserve">Tag-along rights</w:t>
      </w:r>
      <w:r>
        <w:t xml:space="preserve"> </w:t>
      </w:r>
      <w:r>
        <w:t xml:space="preserve">for all preferred holders, complicating any partial sale structure</w:t>
      </w:r>
      <w:r>
        <w:t xml:space="preserve"> </w:t>
      </w:r>
      <w:r>
        <w:t xml:space="preserve">-</w:t>
      </w:r>
      <w:r>
        <w:t xml:space="preserve"> </w:t>
      </w:r>
      <w:r>
        <w:rPr>
          <w:b/>
        </w:rPr>
        <w:t xml:space="preserve">ROFR</w:t>
      </w:r>
      <w:r>
        <w:t xml:space="preserve"> </w:t>
      </w:r>
      <w:r>
        <w:t xml:space="preserve">(right of first refusal) for Sunrun on hardware distribution deals and potentially on any M&amp;A</w:t>
      </w:r>
    </w:p>
    <w:p>
      <w:r>
        <w:pict>
          <v:rect style="width:0;height:1.5pt" o:hralign="center" o:hrstd="t" o:hr="t"/>
        </w:pict>
      </w:r>
    </w:p>
    <w:p>
      <w:pPr>
        <w:pStyle w:val="Heading3"/>
      </w:pPr>
      <w:bookmarkStart w:id="33" w:name="c-burn-rate-and-runway-analysis"/>
      <w:r>
        <w:t xml:space="preserve">C) Burn Rate and Runway Analysis</w:t>
      </w:r>
      <w:bookmarkEnd w:id="33"/>
    </w:p>
    <w:p>
      <w:pPr>
        <w:pStyle w:val="Heading4"/>
      </w:pPr>
      <w:bookmarkStart w:id="34" w:name="burn-rate-estimation"/>
      <w:r>
        <w:t xml:space="preserve">Burn Rate Estimation</w:t>
      </w:r>
      <w:bookmarkEnd w:id="34"/>
    </w:p>
    <w:p>
      <w:pPr>
        <w:pStyle w:val="FirstParagraph"/>
      </w:pPr>
      <w:r>
        <w:t xml:space="preserve">Lunar currently designs its products in California and assembles them in Georgia and Washington.</w:t>
      </w:r>
      <w:r>
        <w:t xml:space="preserve"> </w:t>
      </w:r>
      <w:r>
        <w:t xml:space="preserve">With three manufacturing/assembly facilities and ~226 employees (at emergence from stealth), headcount has likely grown to 300–350 by early 2026. Key cost drivers:</w:t>
      </w:r>
    </w:p>
    <w:tbl>
      <w:tblPr>
        <w:tblStyle w:val="Table"/>
        <w:tblW w:type="pct" w:w="5000.0"/>
        <w:tblLook w:firstRow="1"/>
      </w:tblPr>
      <w:tblGrid>
        <w:gridCol w:w="2917"/>
        <w:gridCol w:w="3543"/>
        <w:gridCol w:w="1458"/>
      </w:tblGrid>
      <w:tr>
        <w:trPr>
          <w:cnfStyle w:firstRow="1"/>
        </w:trPr>
        <w:tc>
          <w:tcPr>
            <w:tcBorders>
              <w:bottom w:val="single"/>
            </w:tcBorders>
            <w:vAlign w:val="bottom"/>
          </w:tcPr>
          <w:p>
            <w:pPr>
              <w:pStyle w:val="Compact"/>
              <w:jc w:val="left"/>
            </w:pPr>
            <w:r>
              <w:t xml:space="preserve">Cost Category</w:t>
            </w:r>
          </w:p>
        </w:tc>
        <w:tc>
          <w:tcPr>
            <w:tcBorders>
              <w:bottom w:val="single"/>
            </w:tcBorders>
            <w:vAlign w:val="bottom"/>
          </w:tcPr>
          <w:p>
            <w:pPr>
              <w:pStyle w:val="Compact"/>
              <w:jc w:val="left"/>
            </w:pPr>
            <w:r>
              <w:t xml:space="preserve">Monthly Estimate</w:t>
            </w:r>
          </w:p>
        </w:tc>
        <w:tc>
          <w:tcPr>
            <w:tcBorders>
              <w:bottom w:val="single"/>
            </w:tcBorders>
            <w:vAlign w:val="bottom"/>
          </w:tcPr>
          <w:p>
            <w:pPr>
              <w:pStyle w:val="Compact"/>
              <w:jc w:val="left"/>
            </w:pPr>
            <w:r>
              <w:t xml:space="preserve">Basis</w:t>
            </w:r>
          </w:p>
        </w:tc>
      </w:tr>
      <w:tr>
        <w:tc>
          <w:p>
            <w:pPr>
              <w:pStyle w:val="Compact"/>
              <w:jc w:val="left"/>
            </w:pPr>
            <w:r>
              <w:t xml:space="preserve">Salaries + benefits (~325 employees)</w:t>
            </w:r>
          </w:p>
        </w:tc>
        <w:tc>
          <w:p>
            <w:pPr>
              <w:pStyle w:val="Compact"/>
              <w:jc w:val="left"/>
            </w:pPr>
            <w:r>
              <w:t xml:space="preserve">$4.5–6M</w:t>
            </w:r>
          </w:p>
        </w:tc>
        <w:tc>
          <w:p>
            <w:pPr>
              <w:pStyle w:val="Compact"/>
              <w:jc w:val="left"/>
            </w:pPr>
            <w:r>
              <w:t xml:space="preserve">$165–225K avg fully-loaded in CA/GA/WA mix</w:t>
            </w:r>
          </w:p>
        </w:tc>
      </w:tr>
      <w:tr>
        <w:tc>
          <w:p>
            <w:pPr>
              <w:pStyle w:val="Compact"/>
              <w:jc w:val="left"/>
            </w:pPr>
            <w:r>
              <w:t xml:space="preserve">Manufacturing overhead (3 facilities)</w:t>
            </w:r>
          </w:p>
        </w:tc>
        <w:tc>
          <w:p>
            <w:pPr>
              <w:pStyle w:val="Compact"/>
              <w:jc w:val="left"/>
            </w:pPr>
            <w:r>
              <w:t xml:space="preserve">$1.5–2.5M</w:t>
            </w:r>
          </w:p>
        </w:tc>
        <w:tc>
          <w:p>
            <w:pPr>
              <w:pStyle w:val="Compact"/>
              <w:jc w:val="left"/>
            </w:pPr>
            <w:r>
              <w:t xml:space="preserve">Lease, utilities, equipment depreciation</w:t>
            </w:r>
          </w:p>
        </w:tc>
      </w:tr>
      <w:tr>
        <w:tc>
          <w:p>
            <w:pPr>
              <w:pStyle w:val="Compact"/>
              <w:jc w:val="left"/>
            </w:pPr>
            <w:r>
              <w:t xml:space="preserve">R&amp;D + engineering</w:t>
            </w:r>
          </w:p>
        </w:tc>
        <w:tc>
          <w:p>
            <w:pPr>
              <w:pStyle w:val="Compact"/>
              <w:jc w:val="left"/>
            </w:pPr>
            <w:r>
              <w:t xml:space="preserve">$1.5–2M</w:t>
            </w:r>
          </w:p>
        </w:tc>
        <w:tc>
          <w:p>
            <w:pPr>
              <w:pStyle w:val="Compact"/>
              <w:jc w:val="left"/>
            </w:pPr>
            <w:r>
              <w:t xml:space="preserve">Core product differentiation spend</w:t>
            </w:r>
          </w:p>
        </w:tc>
      </w:tr>
      <w:tr>
        <w:tc>
          <w:p>
            <w:pPr>
              <w:pStyle w:val="Compact"/>
              <w:jc w:val="left"/>
            </w:pPr>
            <w:r>
              <w:t xml:space="preserve">COGS (materials, labor for ~160 units/mo)</w:t>
            </w:r>
          </w:p>
        </w:tc>
        <w:tc>
          <w:p>
            <w:pPr>
              <w:pStyle w:val="Compact"/>
              <w:jc w:val="left"/>
            </w:pPr>
            <w:r>
              <w:t xml:space="preserve">$1.5–2M</w:t>
            </w:r>
          </w:p>
        </w:tc>
        <w:tc>
          <w:p>
            <w:pPr>
              <w:pStyle w:val="Compact"/>
              <w:jc w:val="left"/>
            </w:pPr>
            <w:r>
              <w:t xml:space="preserve">At ~$10–12K cost/unit; 2K annual units</w:t>
            </w:r>
          </w:p>
        </w:tc>
      </w:tr>
      <w:tr>
        <w:tc>
          <w:p>
            <w:pPr>
              <w:pStyle w:val="Compact"/>
              <w:jc w:val="left"/>
            </w:pPr>
            <w:r>
              <w:t xml:space="preserve">Sales, marketing, installer support</w:t>
            </w:r>
          </w:p>
        </w:tc>
        <w:tc>
          <w:p>
            <w:pPr>
              <w:pStyle w:val="Compact"/>
              <w:jc w:val="left"/>
            </w:pPr>
            <w:r>
              <w:t xml:space="preserve">$1–1.5M</w:t>
            </w:r>
          </w:p>
        </w:tc>
        <w:tc>
          <w:p>
            <w:pPr>
              <w:pStyle w:val="Compact"/>
              <w:jc w:val="left"/>
            </w:pPr>
            <w:r>
              <w:t xml:space="preserve">Sunrun channel reduces direct CAC</w:t>
            </w:r>
          </w:p>
        </w:tc>
      </w:tr>
      <w:tr>
        <w:tc>
          <w:p>
            <w:pPr>
              <w:pStyle w:val="Compact"/>
              <w:jc w:val="left"/>
            </w:pPr>
            <w:r>
              <w:t xml:space="preserve">G&amp;A (finance, legal, insurance)</w:t>
            </w:r>
          </w:p>
        </w:tc>
        <w:tc>
          <w:p>
            <w:pPr>
              <w:pStyle w:val="Compact"/>
              <w:jc w:val="left"/>
            </w:pPr>
            <w:r>
              <w:t xml:space="preserve">$0.7–1M</w:t>
            </w:r>
          </w:p>
        </w:tc>
        <w:tc>
          <w:p>
            <w:pPr>
              <w:pStyle w:val="Compact"/>
              <w:jc w:val="left"/>
            </w:pPr>
            <w:r>
              <w:t xml:space="preserve">Wilson Sonsini ongoing; D&amp;O; compliance</w:t>
            </w:r>
          </w:p>
        </w:tc>
      </w:tr>
      <w:tr>
        <w:tc>
          <w:p>
            <w:pPr>
              <w:pStyle w:val="Compact"/>
              <w:jc w:val="left"/>
            </w:pPr>
            <w:r>
              <w:rPr>
                <w:b/>
              </w:rPr>
              <w:t xml:space="preserve">Total Monthly Burn</w:t>
            </w:r>
          </w:p>
        </w:tc>
        <w:tc>
          <w:p>
            <w:pPr>
              <w:pStyle w:val="Compact"/>
              <w:jc w:val="left"/>
            </w:pPr>
            <w:r>
              <w:rPr>
                <w:b/>
              </w:rPr>
              <w:t xml:space="preserve">$11–15M</w:t>
            </w:r>
          </w:p>
        </w:tc>
        <w:tc>
          <w:p>
            <w:pPr>
              <w:pStyle w:val="Compact"/>
              <w:jc w:val="left"/>
            </w:pPr>
            <w:r>
              <w:rPr>
                <w:b/>
              </w:rPr>
              <w:t xml:space="preserve">$132–180M annualized</w:t>
            </w:r>
          </w:p>
        </w:tc>
      </w:tr>
    </w:tbl>
    <w:p>
      <w:pPr>
        <w:pStyle w:val="BodyText"/>
      </w:pPr>
      <w:r>
        <w:rPr>
          <w:b/>
        </w:rPr>
        <w:t xml:space="preserve">Revenue offset:</w:t>
      </w:r>
      <w:r>
        <w:t xml:space="preserve"> </w:t>
      </w:r>
      <w:r>
        <w:t xml:space="preserve">At ~$35M annual revenue (~$2.9M/month),</w:t>
      </w:r>
      <w:r>
        <w:t xml:space="preserve"> </w:t>
      </w:r>
      <w:r>
        <w:rPr>
          <w:b/>
        </w:rPr>
        <w:t xml:space="preserve">net burn is approximately $8–12M/month</w:t>
      </w:r>
      <w:r>
        <w:t xml:space="preserve">.</w:t>
      </w:r>
    </w:p>
    <w:p>
      <w:pPr>
        <w:pStyle w:val="Heading4"/>
      </w:pPr>
      <w:bookmarkStart w:id="35" w:name="cash-position-mid-2026-estimate"/>
      <w:r>
        <w:t xml:space="preserve">Cash Position (Mid-2026 Estimate)</w:t>
      </w:r>
      <w:bookmarkEnd w:id="35"/>
    </w:p>
    <w:p>
      <w:pPr>
        <w:pStyle w:val="FirstParagraph"/>
      </w:pPr>
      <w:r>
        <w:t xml:space="preserve">The Series D closed February 4, 2026. With $102M freshly raised and the Series C ($130M in 2024) having been deployed over 18–24 months prior, estimated cash position:</w:t>
      </w:r>
      <w:r>
        <w:t xml:space="preserve"> </w:t>
      </w:r>
      <w:r>
        <w:t xml:space="preserve">- Series D proceeds: $102M</w:t>
      </w:r>
      <w:r>
        <w:t xml:space="preserve"> </w:t>
      </w:r>
      <w:r>
        <w:t xml:space="preserve">- Remaining Series C (if $130M over 18 months at $8M/month net burn = $144M): Series C may be nearly exhausted</w:t>
      </w:r>
      <w:r>
        <w:t xml:space="preserve"> </w:t>
      </w:r>
      <w:r>
        <w:t xml:space="preserve">-</w:t>
      </w:r>
      <w:r>
        <w:t xml:space="preserve"> </w:t>
      </w:r>
      <w:r>
        <w:rPr>
          <w:b/>
        </w:rPr>
        <w:t xml:space="preserve">Estimated cash on hand (mid-2026):</w:t>
      </w:r>
      <w:r>
        <w:t xml:space="preserve"> </w:t>
      </w:r>
      <w:r>
        <w:t xml:space="preserve">$85–115M</w:t>
      </w:r>
    </w:p>
    <w:p>
      <w:pPr>
        <w:pStyle w:val="Heading4"/>
      </w:pPr>
      <w:bookmarkStart w:id="36" w:name="runway-analysis"/>
      <w:r>
        <w:t xml:space="preserve">Runway Analysis</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Net Burn Scenario</w:t>
            </w:r>
          </w:p>
        </w:tc>
        <w:tc>
          <w:tcPr>
            <w:tcBorders>
              <w:bottom w:val="single"/>
            </w:tcBorders>
            <w:vAlign w:val="bottom"/>
          </w:tcPr>
          <w:p>
            <w:pPr>
              <w:pStyle w:val="Compact"/>
              <w:jc w:val="left"/>
            </w:pPr>
            <w:r>
              <w:t xml:space="preserve">Cash</w:t>
            </w:r>
          </w:p>
        </w:tc>
        <w:tc>
          <w:tcPr>
            <w:tcBorders>
              <w:bottom w:val="single"/>
            </w:tcBorders>
            <w:vAlign w:val="bottom"/>
          </w:tcPr>
          <w:p>
            <w:pPr>
              <w:pStyle w:val="Compact"/>
              <w:jc w:val="left"/>
            </w:pPr>
            <w:r>
              <w:t xml:space="preserve">Implied Runway</w:t>
            </w:r>
          </w:p>
        </w:tc>
      </w:tr>
      <w:tr>
        <w:tc>
          <w:p>
            <w:pPr>
              <w:pStyle w:val="Compact"/>
              <w:jc w:val="left"/>
            </w:pPr>
            <w:r>
              <w:t xml:space="preserve">Bear ($12M/month)</w:t>
            </w:r>
          </w:p>
        </w:tc>
        <w:tc>
          <w:p>
            <w:pPr>
              <w:pStyle w:val="Compact"/>
              <w:jc w:val="left"/>
            </w:pPr>
            <w:r>
              <w:t xml:space="preserve">$100M</w:t>
            </w:r>
          </w:p>
        </w:tc>
        <w:tc>
          <w:p>
            <w:pPr>
              <w:pStyle w:val="Compact"/>
              <w:jc w:val="left"/>
            </w:pPr>
            <w:r>
              <w:t xml:space="preserve">~8 months (Dec 2026)</w:t>
            </w:r>
          </w:p>
        </w:tc>
      </w:tr>
      <w:tr>
        <w:tc>
          <w:p>
            <w:pPr>
              <w:pStyle w:val="Compact"/>
              <w:jc w:val="left"/>
            </w:pPr>
            <w:r>
              <w:t xml:space="preserve">Base ($9M/month)</w:t>
            </w:r>
          </w:p>
        </w:tc>
        <w:tc>
          <w:p>
            <w:pPr>
              <w:pStyle w:val="Compact"/>
              <w:jc w:val="left"/>
            </w:pPr>
            <w:r>
              <w:t xml:space="preserve">$100M</w:t>
            </w:r>
          </w:p>
        </w:tc>
        <w:tc>
          <w:p>
            <w:pPr>
              <w:pStyle w:val="Compact"/>
              <w:jc w:val="left"/>
            </w:pPr>
            <w:r>
              <w:t xml:space="preserve">~11 months (Jan 2027)</w:t>
            </w:r>
          </w:p>
        </w:tc>
      </w:tr>
      <w:tr>
        <w:tc>
          <w:p>
            <w:pPr>
              <w:pStyle w:val="Compact"/>
              <w:jc w:val="left"/>
            </w:pPr>
            <w:r>
              <w:t xml:space="preserve">Bull ($6M/month, revenue ramp)</w:t>
            </w:r>
          </w:p>
        </w:tc>
        <w:tc>
          <w:p>
            <w:pPr>
              <w:pStyle w:val="Compact"/>
              <w:jc w:val="left"/>
            </w:pPr>
            <w:r>
              <w:t xml:space="preserve">$100M</w:t>
            </w:r>
          </w:p>
        </w:tc>
        <w:tc>
          <w:p>
            <w:pPr>
              <w:pStyle w:val="Compact"/>
              <w:jc w:val="left"/>
            </w:pPr>
            <w:r>
              <w:t xml:space="preserve">~17 months (July 2027)</w:t>
            </w:r>
          </w:p>
        </w:tc>
      </w:tr>
    </w:tbl>
    <w:p>
      <w:pPr>
        <w:pStyle w:val="BodyText"/>
      </w:pPr>
      <w:r>
        <w:rPr>
          <w:b/>
        </w:rPr>
        <w:t xml:space="preserve">This is the most alarming finding in this analysis.</w:t>
      </w:r>
      <w:r>
        <w:t xml:space="preserve"> </w:t>
      </w:r>
      <w:r>
        <w:t xml:space="preserve">Even under the base case, Lunar’s runway extends only to early 2027 without additional capital—directly contradicting the CEO’s stated intention of</w:t>
      </w:r>
      <w:r>
        <w:t xml:space="preserve"> </w:t>
      </w:r>
      <w:r>
        <w:t xml:space="preserve">“</w:t>
      </w:r>
      <w:r>
        <w:t xml:space="preserve">not having to raise ever again.</w:t>
      </w:r>
      <w:r>
        <w:t xml:space="preserve">”</w:t>
      </w:r>
      <w:r>
        <w:t xml:space="preserve"> </w:t>
      </w:r>
      <w:r>
        <w:t xml:space="preserve">Lunar CEO Kunal Girotra declined to share revenues or profitability expectations, but did say,</w:t>
      </w:r>
      <w:r>
        <w:t xml:space="preserve"> </w:t>
      </w:r>
      <w:r>
        <w:t xml:space="preserve">“</w:t>
      </w:r>
      <w:r>
        <w:t xml:space="preserve">This capital helps us, in a big way, in achieving our goals of not having to raise ever again.</w:t>
      </w:r>
      <w:r>
        <w:t xml:space="preserve">”</w:t>
      </w:r>
      <w:r>
        <w:t xml:space="preserve"> </w:t>
      </w:r>
      <w:r>
        <w:t xml:space="preserve">The math does not obviously support this claim unless the manufacturing ramp executes perfectly and VPP revenue scales dramatically.</w:t>
      </w:r>
    </w:p>
    <w:p>
      <w:pPr>
        <w:pStyle w:val="Heading4"/>
      </w:pPr>
      <w:bookmarkStart w:id="37" w:name="emergency-funding-triggers"/>
      <w:r>
        <w:t xml:space="preserve">Emergency Funding Triggers</w:t>
      </w:r>
      <w:bookmarkEnd w:id="37"/>
    </w:p>
    <w:p>
      <w:pPr>
        <w:numPr>
          <w:ilvl w:val="0"/>
          <w:numId w:val="1001"/>
        </w:numPr>
        <w:pStyle w:val="Compact"/>
      </w:pPr>
      <w:r>
        <w:rPr>
          <w:b/>
        </w:rPr>
        <w:t xml:space="preserve">Manufacturing scale-up delays:</w:t>
      </w:r>
      <w:r>
        <w:t xml:space="preserve"> </w:t>
      </w:r>
      <w:r>
        <w:t xml:space="preserve">Lunar aims to produce 20,000 units by the end of 2026.</w:t>
      </w:r>
      <w:r>
        <w:t xml:space="preserve"> </w:t>
      </w:r>
      <w:r>
        <w:t xml:space="preserve">A 50%+ miss (production of &lt;10,000 units) would immediately signal a burn crisis.</w:t>
      </w:r>
    </w:p>
    <w:p>
      <w:pPr>
        <w:numPr>
          <w:ilvl w:val="0"/>
          <w:numId w:val="1001"/>
        </w:numPr>
        <w:pStyle w:val="Compact"/>
      </w:pPr>
      <w:r>
        <w:rPr>
          <w:b/>
        </w:rPr>
        <w:t xml:space="preserve">Supply chain disruption:</w:t>
      </w:r>
      <w:r>
        <w:t xml:space="preserve"> </w:t>
      </w:r>
      <w:r>
        <w:t xml:space="preserve">Battery cell procurement from non-FEOC sources is constrained. Any tariff escalation or cell supply disruption would compress margins further.</w:t>
      </w:r>
    </w:p>
    <w:p>
      <w:pPr>
        <w:numPr>
          <w:ilvl w:val="0"/>
          <w:numId w:val="1001"/>
        </w:numPr>
        <w:pStyle w:val="Compact"/>
      </w:pPr>
      <w:r>
        <w:rPr>
          <w:b/>
        </w:rPr>
        <w:t xml:space="preserve">Sunrun volume reduction:</w:t>
      </w:r>
      <w:r>
        <w:t xml:space="preserve"> </w:t>
      </w:r>
      <w:r>
        <w:t xml:space="preserve">Sunrun expects a decline in overall volumes in 2026 due to a 40% reduction in affiliate partner volumes.</w:t>
      </w:r>
      <w:r>
        <w:t xml:space="preserve"> </w:t>
      </w:r>
      <w:r>
        <w:t xml:space="preserve">Sunrun is Lunar’s primary distribution channel; a volume decline at Sunrun directly reduces Lunar’s unit economics.</w:t>
      </w:r>
    </w:p>
    <w:p>
      <w:pPr>
        <w:numPr>
          <w:ilvl w:val="0"/>
          <w:numId w:val="1001"/>
        </w:numPr>
        <w:pStyle w:val="Compact"/>
      </w:pPr>
      <w:r>
        <w:rPr>
          <w:b/>
        </w:rPr>
        <w:t xml:space="preserve">Policy reversal:</w:t>
      </w:r>
      <w:r>
        <w:t xml:space="preserve"> </w:t>
      </w:r>
      <w:r>
        <w:t xml:space="preserve">The megalaw passed by Republicans in Congress last year ended decades-old tax credits for homeowners installing clean energy systems.</w:t>
      </w:r>
      <w:r>
        <w:t xml:space="preserve"> </w:t>
      </w:r>
      <w:r>
        <w:t xml:space="preserve">Further IRA rollbacks could reduce third-party owner demand.</w:t>
      </w:r>
    </w:p>
    <w:p>
      <w:r>
        <w:pict>
          <v:rect style="width:0;height:1.5pt" o:hralign="center" o:hrstd="t" o:hr="t"/>
        </w:pict>
      </w:r>
    </w:p>
    <w:p>
      <w:pPr>
        <w:pStyle w:val="Heading3"/>
      </w:pPr>
      <w:bookmarkStart w:id="38" w:name="d-debt-capacity-analysis"/>
      <w:r>
        <w:t xml:space="preserve">D) Debt Capacity Analysis</w:t>
      </w:r>
      <w:bookmarkEnd w:id="38"/>
    </w:p>
    <w:p>
      <w:pPr>
        <w:pStyle w:val="Heading4"/>
      </w:pPr>
      <w:bookmarkStart w:id="39" w:name="current-debt-position"/>
      <w:r>
        <w:t xml:space="preserve">Current Debt Position</w:t>
      </w:r>
      <w:bookmarkEnd w:id="39"/>
    </w:p>
    <w:p>
      <w:pPr>
        <w:pStyle w:val="FirstParagraph"/>
      </w:pPr>
      <w:r>
        <w:t xml:space="preserve">No publicly disclosed venture debt, equipment financing, or credit facilities. Given the company’s stage and investor quality, it is likely operating on equity alone. Wilson Sonsini as counsel suggests a sophisticated capital structure, but no debt instrument has been announced.</w:t>
      </w:r>
    </w:p>
    <w:p>
      <w:pPr>
        <w:pStyle w:val="Heading4"/>
      </w:pPr>
      <w:bookmarkStart w:id="40" w:name="available-debt-instruments"/>
      <w:r>
        <w:t xml:space="preserve">Available Debt Instruments</w:t>
      </w:r>
      <w:bookmarkEnd w:id="40"/>
    </w:p>
    <w:p>
      <w:pPr>
        <w:pStyle w:val="FirstParagraph"/>
      </w:pPr>
      <w:r>
        <w:rPr>
          <w:b/>
        </w:rPr>
        <w:t xml:space="preserve">Venture Debt ($20–50M):</w:t>
      </w:r>
      <w:r>
        <w:t xml:space="preserve"> </w:t>
      </w:r>
      <w:r>
        <w:t xml:space="preserve">-</w:t>
      </w:r>
      <w:r>
        <w:t xml:space="preserve"> </w:t>
      </w:r>
      <w:r>
        <w:rPr>
          <w:b/>
        </w:rPr>
        <w:t xml:space="preserve">Available?</w:t>
      </w:r>
      <w:r>
        <w:t xml:space="preserve"> </w:t>
      </w:r>
      <w:r>
        <w:t xml:space="preserve">Yes, almost certainly. Post-Series D with $100M+ in cash, lenders like Hercules Capital, TriplePoint, or Western Technology Investment would offer 20–35% of the last equity round ($20–35M).</w:t>
      </w:r>
      <w:r>
        <w:t xml:space="preserve"> </w:t>
      </w:r>
      <w:r>
        <w:t xml:space="preserve">-</w:t>
      </w:r>
      <w:r>
        <w:t xml:space="preserve"> </w:t>
      </w:r>
      <w:r>
        <w:rPr>
          <w:b/>
        </w:rPr>
        <w:t xml:space="preserve">Cost:</w:t>
      </w:r>
      <w:r>
        <w:t xml:space="preserve"> </w:t>
      </w:r>
      <w:r>
        <w:t xml:space="preserve">Prime + 400–600 bps (approximately 8–11% all-in), with 1–2% in warrants.</w:t>
      </w:r>
      <w:r>
        <w:t xml:space="preserve"> </w:t>
      </w:r>
      <w:r>
        <w:t xml:space="preserve">-</w:t>
      </w:r>
      <w:r>
        <w:t xml:space="preserve"> </w:t>
      </w:r>
      <w:r>
        <w:rPr>
          <w:b/>
        </w:rPr>
        <w:t xml:space="preserve">Value:</w:t>
      </w:r>
      <w:r>
        <w:t xml:space="preserve"> </w:t>
      </w:r>
      <w:r>
        <w:t xml:space="preserve">Extending runway by 2–3 months at $9M/month net burn; modest benefit.</w:t>
      </w:r>
      <w:r>
        <w:t xml:space="preserve"> </w:t>
      </w:r>
      <w:r>
        <w:t xml:space="preserve">-</w:t>
      </w:r>
      <w:r>
        <w:t xml:space="preserve"> </w:t>
      </w:r>
      <w:r>
        <w:rPr>
          <w:b/>
        </w:rPr>
        <w:t xml:space="preserve">Risk:</w:t>
      </w:r>
      <w:r>
        <w:t xml:space="preserve"> </w:t>
      </w:r>
      <w:r>
        <w:t xml:space="preserve">Covenants triggered by missed revenue milestones could accelerate repayment at the worst moment.</w:t>
      </w:r>
    </w:p>
    <w:p>
      <w:pPr>
        <w:pStyle w:val="BodyText"/>
      </w:pPr>
      <w:r>
        <w:rPr>
          <w:b/>
        </w:rPr>
        <w:t xml:space="preserve">Equipment Financing (Sale-Leaseback):</w:t>
      </w:r>
      <w:r>
        <w:t xml:space="preserve"> </w:t>
      </w:r>
      <w:r>
        <w:t xml:space="preserve">- Manufacturing equipment in Georgia and Washington could support $10–25M in secured financing.</w:t>
      </w:r>
      <w:r>
        <w:t xml:space="preserve"> </w:t>
      </w:r>
      <w:r>
        <w:t xml:space="preserve">-</w:t>
      </w:r>
      <w:r>
        <w:t xml:space="preserve"> </w:t>
      </w:r>
      <w:r>
        <w:rPr>
          <w:b/>
        </w:rPr>
        <w:t xml:space="preserve">Strategic benefit:</w:t>
      </w:r>
      <w:r>
        <w:t xml:space="preserve"> </w:t>
      </w:r>
      <w:r>
        <w:t xml:space="preserve">Frees capital for working capital while locking in equipment costs.</w:t>
      </w:r>
      <w:r>
        <w:t xml:space="preserve"> </w:t>
      </w:r>
      <w:r>
        <w:t xml:space="preserve">-</w:t>
      </w:r>
      <w:r>
        <w:t xml:space="preserve"> </w:t>
      </w:r>
      <w:r>
        <w:rPr>
          <w:b/>
        </w:rPr>
        <w:t xml:space="preserve">Structurally attractive</w:t>
      </w:r>
      <w:r>
        <w:t xml:space="preserve"> </w:t>
      </w:r>
      <w:r>
        <w:t xml:space="preserve">given the IRA investment tax credit eligibility.</w:t>
      </w:r>
    </w:p>
    <w:p>
      <w:pPr>
        <w:pStyle w:val="BodyText"/>
      </w:pPr>
      <w:r>
        <w:rPr>
          <w:b/>
        </w:rPr>
        <w:t xml:space="preserve">IRA Section 48E Investment Tax Credit:</w:t>
      </w:r>
    </w:p>
    <w:p>
      <w:pPr>
        <w:pStyle w:val="BodyText"/>
      </w:pPr>
      <w:r>
        <w:t xml:space="preserve">To support the economics of leasing arrangements, leasing companies look for products eligible for the Section 48E investment tax credit (ITC) and domestic content bonus, which require products not manufactured using material assistance from</w:t>
      </w:r>
      <w:r>
        <w:t xml:space="preserve"> </w:t>
      </w:r>
      <w:r>
        <w:t xml:space="preserve">“</w:t>
      </w:r>
      <w:r>
        <w:t xml:space="preserve">foreign entities of concern</w:t>
      </w:r>
      <w:r>
        <w:t xml:space="preserve">”</w:t>
      </w:r>
      <w:r>
        <w:t xml:space="preserve"> </w:t>
      </w:r>
      <w:r>
        <w:t xml:space="preserve">(FEOC). Lunar VP Ed Gunn noted the company is</w:t>
      </w:r>
      <w:r>
        <w:t xml:space="preserve"> </w:t>
      </w:r>
      <w:r>
        <w:t xml:space="preserve">“</w:t>
      </w:r>
      <w:r>
        <w:t xml:space="preserve">proudly domestic content,</w:t>
      </w:r>
      <w:r>
        <w:t xml:space="preserve">”</w:t>
      </w:r>
      <w:r>
        <w:t xml:space="preserve"> </w:t>
      </w:r>
      <w:r>
        <w:t xml:space="preserve">meaning its products qualify as non-FEOC and can secure the ITC and domestic content incentives for third-party owners.</w:t>
      </w:r>
    </w:p>
    <w:p>
      <w:pPr>
        <w:pStyle w:val="BodyText"/>
      </w:pPr>
      <w:r>
        <w:t xml:space="preserve">This is</w:t>
      </w:r>
      <w:r>
        <w:t xml:space="preserve"> </w:t>
      </w:r>
      <w:r>
        <w:rPr>
          <w:b/>
        </w:rPr>
        <w:t xml:space="preserve">potentially Lunar’s most underutilized financial asset.</w:t>
      </w:r>
      <w:r>
        <w:t xml:space="preserve"> </w:t>
      </w:r>
      <w:r>
        <w:t xml:space="preserve">The Section 48E ITC provides a 30% credit (plus 10% domestic content adder = 40% total) to third-party system owners (e.g., Sunrun). If Sunrun deploys 10,000 Lunar systems at $15K ASP = $150M of systems, the ITC value is $60M. Lunar doesn’t capture this directly, but it</w:t>
      </w:r>
      <w:r>
        <w:t xml:space="preserve"> </w:t>
      </w:r>
      <w:r>
        <w:rPr>
          <w:b/>
        </w:rPr>
        <w:t xml:space="preserve">dramatically reduces Sunrun’s cost of capital</w:t>
      </w:r>
      <w:r>
        <w:t xml:space="preserve"> </w:t>
      </w:r>
      <w:r>
        <w:t xml:space="preserve">for Lunar hardware, creating a structural pricing advantage over FEOC-sourced competitors.</w:t>
      </w:r>
    </w:p>
    <w:p>
      <w:pPr>
        <w:pStyle w:val="BodyText"/>
      </w:pPr>
      <w:r>
        <w:rPr>
          <w:b/>
        </w:rPr>
        <w:t xml:space="preserve">IRA Section 45X Advanced Manufacturing Production Credit:</w:t>
      </w:r>
    </w:p>
    <w:p>
      <w:pPr>
        <w:pStyle w:val="BodyText"/>
      </w:pPr>
      <w:r>
        <w:t xml:space="preserve">The 45X credit provides $10 per kWh for modules with a capacity greater than 7 kWh, or $45 per kWh if the module doesn’t use battery cells. The credit is available from 2023 to 2032 but phases down over time: 75% of its value in 2030, 50% in 2031, and 25% in 2032.</w:t>
      </w:r>
    </w:p>
    <w:p>
      <w:pPr>
        <w:pStyle w:val="BodyText"/>
      </w:pPr>
      <w:r>
        <w:t xml:space="preserve">To qualify for 45X credits, manufacturers must produce components considered</w:t>
      </w:r>
      <w:r>
        <w:t xml:space="preserve"> </w:t>
      </w:r>
      <w:r>
        <w:t xml:space="preserve">“</w:t>
      </w:r>
      <w:r>
        <w:t xml:space="preserve">advanced energy property,</w:t>
      </w:r>
      <w:r>
        <w:t xml:space="preserve">”</w:t>
      </w:r>
      <w:r>
        <w:t xml:space="preserve"> </w:t>
      </w:r>
      <w:r>
        <w:t xml:space="preserve">such as solar and wind components, battery storage, inverters, and certain critical minerals.</w:t>
      </w:r>
    </w:p>
    <w:p>
      <w:pPr>
        <w:pStyle w:val="BodyText"/>
      </w:pPr>
      <w:r>
        <w:rPr>
          <w:b/>
        </w:rPr>
        <w:t xml:space="preserve">Lunar’s 45X eligibility is a potentially enormous and underappreciated cash flow source.</w:t>
      </w:r>
      <w:r>
        <w:t xml:space="preserve"> </w:t>
      </w:r>
      <w:r>
        <w:t xml:space="preserve">At $10/kWh for assembled modules ≥7 kWh (Lunar makes 15 kWh and 30 kWh packs):</w:t>
      </w:r>
      <w:r>
        <w:t xml:space="preserve"> </w:t>
      </w:r>
      <w:r>
        <w:t xml:space="preserve">- 15 kWh module: $150 credit per unit</w:t>
      </w:r>
      <w:r>
        <w:t xml:space="preserve"> </w:t>
      </w:r>
      <w:r>
        <w:t xml:space="preserve">- 30 kWh module: $300 credit per unit</w:t>
      </w:r>
      <w:r>
        <w:t xml:space="preserve"> </w:t>
      </w:r>
      <w:r>
        <w:t xml:space="preserve">- At 20,000 units/year (2026 target, blended), assuming 60/40 mix:</w:t>
      </w:r>
      <w:r>
        <w:t xml:space="preserve"> </w:t>
      </w:r>
      <w:r>
        <w:rPr>
          <w:b/>
        </w:rPr>
        <w:t xml:space="preserve">~$4.8M in annual 45X credits in 2026</w:t>
      </w:r>
      <w:r>
        <w:t xml:space="preserve"> </w:t>
      </w:r>
      <w:r>
        <w:t xml:space="preserve">- At 100,000 units/year (2028 target):</w:t>
      </w:r>
      <w:r>
        <w:t xml:space="preserve"> </w:t>
      </w:r>
      <w:r>
        <w:rPr>
          <w:b/>
        </w:rPr>
        <w:t xml:space="preserve">~$24M/year in 45X credits</w:t>
      </w:r>
    </w:p>
    <w:p>
      <w:pPr>
        <w:pStyle w:val="BodyText"/>
      </w:pPr>
      <w:r>
        <w:t xml:space="preserve">These credits are</w:t>
      </w:r>
      <w:r>
        <w:t xml:space="preserve"> </w:t>
      </w:r>
      <w:r>
        <w:rPr>
          <w:b/>
        </w:rPr>
        <w:t xml:space="preserve">transferable</w:t>
      </w:r>
      <w:r>
        <w:t xml:space="preserve"> </w:t>
      </w:r>
      <w:r>
        <w:t xml:space="preserve">under the IRA, meaning Lunar can sell them for cash immediately rather than waiting for taxable income. At 100K units, this is a $24M per year non-dilutive cash flow source.</w:t>
      </w:r>
      <w:r>
        <w:t xml:space="preserve"> </w:t>
      </w:r>
      <w:r>
        <w:rPr>
          <w:b/>
        </w:rPr>
        <w:t xml:space="preserve">This may be the most important financial engineering opportunity Lunar is not adequately discussing publicly.</w:t>
      </w:r>
    </w:p>
    <w:p>
      <w:pPr>
        <w:pStyle w:val="BodyText"/>
      </w:pPr>
      <w:r>
        <w:rPr>
          <w:b/>
        </w:rPr>
        <w:t xml:space="preserve">DOE Loan Programs Office:</w:t>
      </w:r>
      <w:r>
        <w:t xml:space="preserve"> </w:t>
      </w:r>
      <w:r>
        <w:t xml:space="preserve">Highly applicable. Lunar’s domestic manufacturing focus, grid resilience mission, and scale targets align perfectly with DOE LPO’s Title XVII program (Innovative Energy Projects) and ATVM (Advanced Technology Vehicles Manufacturing, which has been expanded to include battery storage). DOE loans carry ~2–3% interest rates vs. 9–11% venture debt, representing a 6–8% annual savings on $100–200M of potential capacity.</w:t>
      </w:r>
      <w:r>
        <w:t xml:space="preserve"> </w:t>
      </w:r>
      <w:r>
        <w:rPr>
          <w:b/>
        </w:rPr>
        <w:t xml:space="preserve">If Lunar has not applied, this is a material oversight.</w:t>
      </w:r>
      <w:r>
        <w:t xml:space="preserve"> </w:t>
      </w:r>
      <w:r>
        <w:t xml:space="preserve">Peer company Redwood Materials secured $2B in DOE LPO financing; Form Energy received $30M in ARPA-E support.</w:t>
      </w:r>
    </w:p>
    <w:p>
      <w:r>
        <w:pict>
          <v:rect style="width:0;height:1.5pt" o:hralign="center" o:hrstd="t" o:hr="t"/>
        </w:pict>
      </w:r>
    </w:p>
    <w:p>
      <w:pPr>
        <w:pStyle w:val="Heading2"/>
      </w:pPr>
      <w:bookmarkStart w:id="41" w:name="section-2-path-to-profitability-modeling"/>
      <w:r>
        <w:t xml:space="preserve">SECTION 2: PATH TO PROFITABILITY MODELING</w:t>
      </w:r>
      <w:bookmarkEnd w:id="41"/>
    </w:p>
    <w:p>
      <w:pPr>
        <w:pStyle w:val="Heading3"/>
      </w:pPr>
      <w:bookmarkStart w:id="42" w:name="a-revenue-scenarios-20262029"/>
      <w:r>
        <w:t xml:space="preserve">A) Revenue Scenarios (2026–2029)</w:t>
      </w:r>
      <w:bookmarkEnd w:id="42"/>
    </w:p>
    <w:p>
      <w:pPr>
        <w:pStyle w:val="FirstParagraph"/>
      </w:pPr>
      <w:r>
        <w:rPr>
          <w:b/>
        </w:rPr>
        <w:t xml:space="preserve">Starting point:</w:t>
      </w:r>
      <w:r>
        <w:t xml:space="preserve"> </w:t>
      </w:r>
      <w:r>
        <w:t xml:space="preserve">The company has installed batteries in about 2,000 homes and businesses in California.</w:t>
      </w:r>
      <w:r>
        <w:t xml:space="preserve"> </w:t>
      </w:r>
      <w:r>
        <w:t xml:space="preserve">At an average selling price (ASP) of ~$17,500 per system (10% premium to Tesla Powerwall per CEO statement, blended 15/30 kWh mix), trailing revenue is approximately $35M.</w:t>
      </w:r>
      <w:r>
        <w:t xml:space="preserve"> </w:t>
      </w:r>
      <w:r>
        <w:t xml:space="preserve">Lunar Energy’s systems are priced on the higher end of the spectrum, with typical installation costs coming in at about a 10% premium to Tesla’s Powerwall batteries.</w:t>
      </w:r>
    </w:p>
    <w:p>
      <w:pPr>
        <w:pStyle w:val="Heading4"/>
      </w:pPr>
      <w:bookmarkStart w:id="43" w:name="manufacturing-capacity-reality-check"/>
      <w:r>
        <w:t xml:space="preserve">Manufacturing Capacity Reality Check</w:t>
      </w:r>
      <w:bookmarkEnd w:id="43"/>
    </w:p>
    <w:p>
      <w:pPr>
        <w:pStyle w:val="FirstParagraph"/>
      </w:pPr>
      <w:r>
        <w:t xml:space="preserve">The firm plans to increase its manufacturing capacity from about 10,000 battery systems per year today to 20,000 per year by the end of 2026 and to 100,000 per year by the end of 2028.</w:t>
      </w:r>
      <w:r>
        <w:t xml:space="preserve"> </w:t>
      </w:r>
      <w:r>
        <w:t xml:space="preserve">This is a</w:t>
      </w:r>
      <w:r>
        <w:t xml:space="preserve"> </w:t>
      </w:r>
      <w:r>
        <w:rPr>
          <w:b/>
        </w:rPr>
        <w:t xml:space="preserve">10x capacity increase in approximately 30 months</w:t>
      </w:r>
      <w:r>
        <w:t xml:space="preserve">—an extraordinarily aggressive target for a company assembling domestically with non-FEOC supply chains.</w:t>
      </w:r>
    </w:p>
    <w:tbl>
      <w:tblPr>
        <w:tblStyle w:val="Table"/>
        <w:tblW w:type="pct" w:w="5000.0"/>
        <w:tblLook w:firstRow="1"/>
      </w:tblPr>
      <w:tblGrid>
        <w:gridCol w:w="880"/>
        <w:gridCol w:w="1075"/>
        <w:gridCol w:w="1271"/>
        <w:gridCol w:w="1075"/>
        <w:gridCol w:w="1271"/>
        <w:gridCol w:w="1075"/>
        <w:gridCol w:w="1271"/>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2026 Units</w:t>
            </w:r>
          </w:p>
        </w:tc>
        <w:tc>
          <w:tcPr>
            <w:tcBorders>
              <w:bottom w:val="single"/>
            </w:tcBorders>
            <w:vAlign w:val="bottom"/>
          </w:tcPr>
          <w:p>
            <w:pPr>
              <w:pStyle w:val="Compact"/>
              <w:jc w:val="left"/>
            </w:pPr>
            <w:r>
              <w:t xml:space="preserve">2026 Revenue</w:t>
            </w:r>
          </w:p>
        </w:tc>
        <w:tc>
          <w:tcPr>
            <w:tcBorders>
              <w:bottom w:val="single"/>
            </w:tcBorders>
            <w:vAlign w:val="bottom"/>
          </w:tcPr>
          <w:p>
            <w:pPr>
              <w:pStyle w:val="Compact"/>
              <w:jc w:val="left"/>
            </w:pPr>
            <w:r>
              <w:t xml:space="preserve">2027 Units</w:t>
            </w:r>
          </w:p>
        </w:tc>
        <w:tc>
          <w:tcPr>
            <w:tcBorders>
              <w:bottom w:val="single"/>
            </w:tcBorders>
            <w:vAlign w:val="bottom"/>
          </w:tcPr>
          <w:p>
            <w:pPr>
              <w:pStyle w:val="Compact"/>
              <w:jc w:val="left"/>
            </w:pPr>
            <w:r>
              <w:t xml:space="preserve">2027 Revenue</w:t>
            </w:r>
          </w:p>
        </w:tc>
        <w:tc>
          <w:tcPr>
            <w:tcBorders>
              <w:bottom w:val="single"/>
            </w:tcBorders>
            <w:vAlign w:val="bottom"/>
          </w:tcPr>
          <w:p>
            <w:pPr>
              <w:pStyle w:val="Compact"/>
              <w:jc w:val="left"/>
            </w:pPr>
            <w:r>
              <w:t xml:space="preserve">2028 Units</w:t>
            </w:r>
          </w:p>
        </w:tc>
        <w:tc>
          <w:tcPr>
            <w:tcBorders>
              <w:bottom w:val="single"/>
            </w:tcBorders>
            <w:vAlign w:val="bottom"/>
          </w:tcPr>
          <w:p>
            <w:pPr>
              <w:pStyle w:val="Compact"/>
              <w:jc w:val="left"/>
            </w:pPr>
            <w:r>
              <w:t xml:space="preserve">2028 Revenue</w:t>
            </w:r>
          </w:p>
        </w:tc>
      </w:tr>
      <w:tr>
        <w:tc>
          <w:p>
            <w:pPr>
              <w:pStyle w:val="Compact"/>
              <w:jc w:val="left"/>
            </w:pPr>
            <w:r>
              <w:rPr>
                <w:b/>
              </w:rPr>
              <w:t xml:space="preserve">Bull</w:t>
            </w:r>
            <w:r>
              <w:t xml:space="preserve"> </w:t>
            </w:r>
            <w:r>
              <w:t xml:space="preserve">(90th pctile)</w:t>
            </w:r>
          </w:p>
        </w:tc>
        <w:tc>
          <w:p>
            <w:pPr>
              <w:pStyle w:val="Compact"/>
              <w:jc w:val="left"/>
            </w:pPr>
            <w:r>
              <w:t xml:space="preserve">12,000</w:t>
            </w:r>
          </w:p>
        </w:tc>
        <w:tc>
          <w:p>
            <w:pPr>
              <w:pStyle w:val="Compact"/>
              <w:jc w:val="left"/>
            </w:pPr>
            <w:r>
              <w:t xml:space="preserve">$210M</w:t>
            </w:r>
          </w:p>
        </w:tc>
        <w:tc>
          <w:p>
            <w:pPr>
              <w:pStyle w:val="Compact"/>
              <w:jc w:val="left"/>
            </w:pPr>
            <w:r>
              <w:t xml:space="preserve">30,000</w:t>
            </w:r>
          </w:p>
        </w:tc>
        <w:tc>
          <w:p>
            <w:pPr>
              <w:pStyle w:val="Compact"/>
              <w:jc w:val="left"/>
            </w:pPr>
            <w:r>
              <w:t xml:space="preserve">$510M</w:t>
            </w:r>
          </w:p>
        </w:tc>
        <w:tc>
          <w:p>
            <w:pPr>
              <w:pStyle w:val="Compact"/>
              <w:jc w:val="left"/>
            </w:pPr>
            <w:r>
              <w:t xml:space="preserve">80,000</w:t>
            </w:r>
          </w:p>
        </w:tc>
        <w:tc>
          <w:p>
            <w:pPr>
              <w:pStyle w:val="Compact"/>
              <w:jc w:val="left"/>
            </w:pPr>
            <w:r>
              <w:t xml:space="preserve">$1.3B</w:t>
            </w:r>
          </w:p>
        </w:tc>
      </w:tr>
      <w:tr>
        <w:tc>
          <w:p>
            <w:pPr>
              <w:pStyle w:val="Compact"/>
              <w:jc w:val="left"/>
            </w:pPr>
            <w:r>
              <w:rPr>
                <w:b/>
              </w:rPr>
              <w:t xml:space="preserve">Base</w:t>
            </w:r>
            <w:r>
              <w:t xml:space="preserve"> </w:t>
            </w:r>
            <w:r>
              <w:t xml:space="preserve">(50th pctile)</w:t>
            </w:r>
          </w:p>
        </w:tc>
        <w:tc>
          <w:p>
            <w:pPr>
              <w:pStyle w:val="Compact"/>
              <w:jc w:val="left"/>
            </w:pPr>
            <w:r>
              <w:t xml:space="preserve">8,000</w:t>
            </w:r>
          </w:p>
        </w:tc>
        <w:tc>
          <w:p>
            <w:pPr>
              <w:pStyle w:val="Compact"/>
              <w:jc w:val="left"/>
            </w:pPr>
            <w:r>
              <w:t xml:space="preserve">$140M</w:t>
            </w:r>
          </w:p>
        </w:tc>
        <w:tc>
          <w:p>
            <w:pPr>
              <w:pStyle w:val="Compact"/>
              <w:jc w:val="left"/>
            </w:pPr>
            <w:r>
              <w:t xml:space="preserve">18,000</w:t>
            </w:r>
          </w:p>
        </w:tc>
        <w:tc>
          <w:p>
            <w:pPr>
              <w:pStyle w:val="Compact"/>
              <w:jc w:val="left"/>
            </w:pPr>
            <w:r>
              <w:t xml:space="preserve">$306M</w:t>
            </w:r>
          </w:p>
        </w:tc>
        <w:tc>
          <w:p>
            <w:pPr>
              <w:pStyle w:val="Compact"/>
              <w:jc w:val="left"/>
            </w:pPr>
            <w:r>
              <w:t xml:space="preserve">45,000</w:t>
            </w:r>
          </w:p>
        </w:tc>
        <w:tc>
          <w:p>
            <w:pPr>
              <w:pStyle w:val="Compact"/>
              <w:jc w:val="left"/>
            </w:pPr>
            <w:r>
              <w:t xml:space="preserve">$765M</w:t>
            </w:r>
          </w:p>
        </w:tc>
      </w:tr>
      <w:tr>
        <w:tc>
          <w:p>
            <w:pPr>
              <w:pStyle w:val="Compact"/>
              <w:jc w:val="left"/>
            </w:pPr>
            <w:r>
              <w:rPr>
                <w:b/>
              </w:rPr>
              <w:t xml:space="preserve">Bear</w:t>
            </w:r>
            <w:r>
              <w:t xml:space="preserve"> </w:t>
            </w:r>
            <w:r>
              <w:t xml:space="preserve">(25th pctile)</w:t>
            </w:r>
          </w:p>
        </w:tc>
        <w:tc>
          <w:p>
            <w:pPr>
              <w:pStyle w:val="Compact"/>
              <w:jc w:val="left"/>
            </w:pPr>
            <w:r>
              <w:t xml:space="preserve">5,000</w:t>
            </w:r>
          </w:p>
        </w:tc>
        <w:tc>
          <w:p>
            <w:pPr>
              <w:pStyle w:val="Compact"/>
              <w:jc w:val="left"/>
            </w:pPr>
            <w:r>
              <w:t xml:space="preserve">$87M</w:t>
            </w:r>
          </w:p>
        </w:tc>
        <w:tc>
          <w:p>
            <w:pPr>
              <w:pStyle w:val="Compact"/>
              <w:jc w:val="left"/>
            </w:pPr>
            <w:r>
              <w:t xml:space="preserve">10,000</w:t>
            </w:r>
          </w:p>
        </w:tc>
        <w:tc>
          <w:p>
            <w:pPr>
              <w:pStyle w:val="Compact"/>
              <w:jc w:val="left"/>
            </w:pPr>
            <w:r>
              <w:t xml:space="preserve">$170M</w:t>
            </w:r>
          </w:p>
        </w:tc>
        <w:tc>
          <w:p>
            <w:pPr>
              <w:pStyle w:val="Compact"/>
              <w:jc w:val="left"/>
            </w:pPr>
            <w:r>
              <w:t xml:space="preserve">20,000</w:t>
            </w:r>
          </w:p>
        </w:tc>
        <w:tc>
          <w:p>
            <w:pPr>
              <w:pStyle w:val="Compact"/>
              <w:jc w:val="left"/>
            </w:pPr>
            <w:r>
              <w:t xml:space="preserve">$340M</w:t>
            </w:r>
          </w:p>
        </w:tc>
      </w:tr>
    </w:tbl>
    <w:p>
      <w:pPr>
        <w:pStyle w:val="BodyText"/>
      </w:pPr>
      <w:r>
        <w:rPr>
          <w:b/>
        </w:rPr>
        <w:t xml:space="preserve">VPP revenue layer (additive to hardware):</w:t>
      </w:r>
    </w:p>
    <w:p>
      <w:pPr>
        <w:pStyle w:val="BodyText"/>
      </w:pPr>
      <w:r>
        <w:t xml:space="preserve">Last year, Lunar’s AI-driven software earned customers an average of $464 by participating in a VPP program, and saved customers an additional $338 compared to a standard home battery operating mode.</w:t>
      </w:r>
    </w:p>
    <w:p>
      <w:pPr>
        <w:pStyle w:val="BodyText"/>
      </w:pPr>
      <w:r>
        <w:t xml:space="preserve">The company claims to manage 650MW of devices globally, with one program dispatching over 500 MW of power—enough to power half of San Francisco during peak demand.</w:t>
      </w:r>
    </w:p>
    <w:p>
      <w:pPr>
        <w:pStyle w:val="BodyText"/>
      </w:pPr>
      <w:r>
        <w:t xml:space="preserve">If Lunar takes a 20% revenue share from the $464/year customer VPP earnings (~$93/device/year), and manages 150,000 devices globally:</w:t>
      </w:r>
      <w:r>
        <w:t xml:space="preserve"> </w:t>
      </w:r>
      <w:r>
        <w:t xml:space="preserve">-</w:t>
      </w:r>
      <w:r>
        <w:t xml:space="preserve"> </w:t>
      </w:r>
      <w:r>
        <w:rPr>
          <w:b/>
        </w:rPr>
        <w:t xml:space="preserve">Annual VPP revenue: ~$14M</w:t>
      </w:r>
      <w:r>
        <w:t xml:space="preserve"> </w:t>
      </w:r>
      <w:r>
        <w:t xml:space="preserve">(growing rapidly as the device fleet expands)</w:t>
      </w:r>
      <w:r>
        <w:t xml:space="preserve"> </w:t>
      </w:r>
      <w:r>
        <w:t xml:space="preserve">- At 300,000 devices (2028 base case):</w:t>
      </w:r>
      <w:r>
        <w:t xml:space="preserve"> </w:t>
      </w:r>
      <w:r>
        <w:rPr>
          <w:b/>
        </w:rPr>
        <w:t xml:space="preserve">~$28M/year recurring VPP revenue</w:t>
      </w:r>
      <w:r>
        <w:t xml:space="preserve"> </w:t>
      </w:r>
      <w:r>
        <w:t xml:space="preserve">- This recurring, high-margin revenue stream is the hidden gem in Lunar’s model—it justifies a software-style valuation multiple on a portion of revenues.</w:t>
      </w:r>
    </w:p>
    <w:p>
      <w:pPr>
        <w:pStyle w:val="Heading4"/>
      </w:pPr>
      <w:bookmarkStart w:id="44" w:name="geographic-mix-assumptions"/>
      <w:r>
        <w:t xml:space="preserve">Geographic Mix Assumptions</w:t>
      </w:r>
      <w:bookmarkEnd w:id="44"/>
    </w:p>
    <w:p>
      <w:pPr>
        <w:pStyle w:val="FirstParagraph"/>
      </w:pPr>
      <w:r>
        <w:t xml:space="preserve">The VPP software now controls close to 150,000 devices in homes, including those of Sunrun customers participating in VPP programs in California, Hawaii, New England, and Puerto Rico.</w:t>
      </w:r>
      <w:r>
        <w:t xml:space="preserve"> </w:t>
      </w:r>
      <w:r>
        <w:t xml:space="preserve">Hardware is currently concentrated in California.</w:t>
      </w:r>
      <w:r>
        <w:t xml:space="preserve"> </w:t>
      </w:r>
      <w:r>
        <w:t xml:space="preserve">By year’s end, the company expects to have customers in several more states, such as Texas, which has become a major target for VPPs.</w:t>
      </w:r>
    </w:p>
    <w:p>
      <w:pPr>
        <w:pStyle w:val="BodyText"/>
      </w:pPr>
      <w:r>
        <w:t xml:space="preserve">Geographic diversification away from California is essential: California NEM 3.0 cuts have reduced rooftop solar incentives, and Lunar’s battery-first product is actually</w:t>
      </w:r>
      <w:r>
        <w:t xml:space="preserve"> </w:t>
      </w:r>
      <w:r>
        <w:rPr>
          <w:b/>
        </w:rPr>
        <w:t xml:space="preserve">better positioned</w:t>
      </w:r>
      <w:r>
        <w:t xml:space="preserve"> </w:t>
      </w:r>
      <w:r>
        <w:t xml:space="preserve">under NEM 3.0 than solar-only products. Texas represents a particularly important market given the competitive retail electricity market and the Base Power/VPP precedent.</w:t>
      </w:r>
    </w:p>
    <w:p>
      <w:r>
        <w:pict>
          <v:rect style="width:0;height:1.5pt" o:hralign="center" o:hrstd="t" o:hr="t"/>
        </w:pict>
      </w:r>
    </w:p>
    <w:p>
      <w:pPr>
        <w:pStyle w:val="Heading3"/>
      </w:pPr>
      <w:bookmarkStart w:id="45" w:name="b-gross-margin-trajectory"/>
      <w:r>
        <w:t xml:space="preserve">B) Gross Margin Trajectory</w:t>
      </w:r>
      <w:bookmarkEnd w:id="45"/>
    </w:p>
    <w:p>
      <w:pPr>
        <w:pStyle w:val="Heading4"/>
      </w:pPr>
      <w:bookmarkStart w:id="46" w:name="current-margin-profile"/>
      <w:r>
        <w:t xml:space="preserve">Current Margin Profile</w:t>
      </w:r>
      <w:bookmarkEnd w:id="46"/>
    </w:p>
    <w:p>
      <w:pPr>
        <w:pStyle w:val="FirstParagraph"/>
      </w:pPr>
      <w:r>
        <w:t xml:space="preserve">At 2,000 units shipped, Lunar is in the</w:t>
      </w:r>
      <w:r>
        <w:t xml:space="preserve"> </w:t>
      </w:r>
      <w:r>
        <w:t xml:space="preserve">“</w:t>
      </w:r>
      <w:r>
        <w:t xml:space="preserve">valley of death</w:t>
      </w:r>
      <w:r>
        <w:t xml:space="preserve">”</w:t>
      </w:r>
      <w:r>
        <w:t xml:space="preserve"> </w:t>
      </w:r>
      <w:r>
        <w:t xml:space="preserve">for hardware margins. Direct material costs (LFP cells, BMS, inverter, enclosure) at low volume likely run $10,000–13,000 per unit against a $17,500 ASP, implying ~25–35% gross margin on hardware alone. However:</w:t>
      </w:r>
      <w:r>
        <w:t xml:space="preserve"> </w:t>
      </w:r>
      <w:r>
        <w:t xml:space="preserve">- Domestic assembly labor adds $500–1,000/unit at small scale</w:t>
      </w:r>
      <w:r>
        <w:t xml:space="preserve"> </w:t>
      </w:r>
      <w:r>
        <w:t xml:space="preserve">- Warranty reserves (~5% of ASP)</w:t>
      </w:r>
      <w:r>
        <w:t xml:space="preserve"> </w:t>
      </w:r>
      <w:r>
        <w:t xml:space="preserve">- Shipping and installation support</w:t>
      </w:r>
    </w:p>
    <w:p>
      <w:pPr>
        <w:pStyle w:val="BodyText"/>
      </w:pPr>
      <w:r>
        <w:rPr>
          <w:b/>
        </w:rPr>
        <w:t xml:space="preserve">Realistic current gross margin: 15–22%</w:t>
      </w:r>
    </w:p>
    <w:p>
      <w:pPr>
        <w:pStyle w:val="Heading4"/>
      </w:pPr>
      <w:bookmarkStart w:id="47" w:name="margin-scaling-path"/>
      <w:r>
        <w:t xml:space="preserve">Margin Scaling Path</w:t>
      </w:r>
      <w:bookmarkEnd w:id="47"/>
    </w:p>
    <w:tbl>
      <w:tblPr>
        <w:tblStyle w:val="Table"/>
        <w:tblW w:type="pct" w:w="5000.0"/>
        <w:tblLook w:firstRow="1"/>
      </w:tblPr>
      <w:tblGrid>
        <w:gridCol w:w="2184"/>
        <w:gridCol w:w="2184"/>
        <w:gridCol w:w="3550"/>
      </w:tblGrid>
      <w:tr>
        <w:trPr>
          <w:cnfStyle w:firstRow="1"/>
        </w:trPr>
        <w:tc>
          <w:tcPr>
            <w:tcBorders>
              <w:bottom w:val="single"/>
            </w:tcBorders>
            <w:vAlign w:val="bottom"/>
          </w:tcPr>
          <w:p>
            <w:pPr>
              <w:pStyle w:val="Compact"/>
              <w:jc w:val="left"/>
            </w:pPr>
            <w:r>
              <w:t xml:space="preserve">Volume</w:t>
            </w:r>
          </w:p>
        </w:tc>
        <w:tc>
          <w:tcPr>
            <w:tcBorders>
              <w:bottom w:val="single"/>
            </w:tcBorders>
            <w:vAlign w:val="bottom"/>
          </w:tcPr>
          <w:p>
            <w:pPr>
              <w:pStyle w:val="Compact"/>
              <w:jc w:val="left"/>
            </w:pPr>
            <w:r>
              <w:t xml:space="preserve">Driver</w:t>
            </w:r>
          </w:p>
        </w:tc>
        <w:tc>
          <w:tcPr>
            <w:tcBorders>
              <w:bottom w:val="single"/>
            </w:tcBorders>
            <w:vAlign w:val="bottom"/>
          </w:tcPr>
          <w:p>
            <w:pPr>
              <w:pStyle w:val="Compact"/>
              <w:jc w:val="left"/>
            </w:pPr>
            <w:r>
              <w:t xml:space="preserve">Estimated GM</w:t>
            </w:r>
          </w:p>
        </w:tc>
      </w:tr>
      <w:tr>
        <w:tc>
          <w:p>
            <w:pPr>
              <w:pStyle w:val="Compact"/>
              <w:jc w:val="left"/>
            </w:pPr>
            <w:r>
              <w:t xml:space="preserve">2,000 units (today)</w:t>
            </w:r>
          </w:p>
        </w:tc>
        <w:tc>
          <w:p>
            <w:pPr>
              <w:pStyle w:val="Compact"/>
              <w:jc w:val="left"/>
            </w:pPr>
            <w:r>
              <w:t xml:space="preserve">Low volume, high per-unit overhead</w:t>
            </w:r>
          </w:p>
        </w:tc>
        <w:tc>
          <w:p>
            <w:pPr>
              <w:pStyle w:val="Compact"/>
              <w:jc w:val="left"/>
            </w:pPr>
            <w:r>
              <w:t xml:space="preserve">15–22%</w:t>
            </w:r>
          </w:p>
        </w:tc>
      </w:tr>
      <w:tr>
        <w:tc>
          <w:p>
            <w:pPr>
              <w:pStyle w:val="Compact"/>
              <w:jc w:val="left"/>
            </w:pPr>
            <w:r>
              <w:t xml:space="preserve">10,000 units (H2 2026)</w:t>
            </w:r>
          </w:p>
        </w:tc>
        <w:tc>
          <w:p>
            <w:pPr>
              <w:pStyle w:val="Compact"/>
              <w:jc w:val="left"/>
            </w:pPr>
            <w:r>
              <w:t xml:space="preserve">Volume procurement of cells; overhead spread</w:t>
            </w:r>
          </w:p>
        </w:tc>
        <w:tc>
          <w:p>
            <w:pPr>
              <w:pStyle w:val="Compact"/>
              <w:jc w:val="left"/>
            </w:pPr>
            <w:r>
              <w:t xml:space="preserve">25–32%</w:t>
            </w:r>
          </w:p>
        </w:tc>
      </w:tr>
      <w:tr>
        <w:tc>
          <w:p>
            <w:pPr>
              <w:pStyle w:val="Compact"/>
              <w:jc w:val="left"/>
            </w:pPr>
            <w:r>
              <w:t xml:space="preserve">30,000 units (2027)</w:t>
            </w:r>
          </w:p>
        </w:tc>
        <w:tc>
          <w:p>
            <w:pPr>
              <w:pStyle w:val="Compact"/>
              <w:jc w:val="left"/>
            </w:pPr>
            <w:r>
              <w:t xml:space="preserve">Further cell cost decline; process automation</w:t>
            </w:r>
          </w:p>
        </w:tc>
        <w:tc>
          <w:p>
            <w:pPr>
              <w:pStyle w:val="Compact"/>
              <w:jc w:val="left"/>
            </w:pPr>
            <w:r>
              <w:t xml:space="preserve">30–38%</w:t>
            </w:r>
          </w:p>
        </w:tc>
      </w:tr>
      <w:tr>
        <w:tc>
          <w:p>
            <w:pPr>
              <w:pStyle w:val="Compact"/>
              <w:jc w:val="left"/>
            </w:pPr>
            <w:r>
              <w:t xml:space="preserve">100,000 units (2028)</w:t>
            </w:r>
          </w:p>
        </w:tc>
        <w:tc>
          <w:p>
            <w:pPr>
              <w:pStyle w:val="Compact"/>
              <w:jc w:val="left"/>
            </w:pPr>
            <w:r>
              <w:t xml:space="preserve">Manufacturing optimization; possible 45X benefit</w:t>
            </w:r>
          </w:p>
        </w:tc>
        <w:tc>
          <w:p>
            <w:pPr>
              <w:pStyle w:val="Compact"/>
              <w:jc w:val="left"/>
            </w:pPr>
            <w:r>
              <w:t xml:space="preserve">35–45%</w:t>
            </w:r>
          </w:p>
        </w:tc>
      </w:tr>
    </w:tbl>
    <w:p>
      <w:pPr>
        <w:pStyle w:val="BodyText"/>
      </w:pPr>
      <w:r>
        <w:rPr>
          <w:b/>
        </w:rPr>
        <w:t xml:space="preserve">Key sensitivity: Cell cost trajectory</w:t>
      </w:r>
    </w:p>
    <w:p>
      <w:pPr>
        <w:pStyle w:val="BodyText"/>
      </w:pPr>
      <w:r>
        <w:t xml:space="preserve">According to BloombergNEF, average battery pack prices are expected to fall to around $80/kWh by 2026, roughly 50% lower than in 2023.</w:t>
      </w:r>
      <w:r>
        <w:t xml:space="preserve"> </w:t>
      </w:r>
      <w:r>
        <w:t xml:space="preserve">This is a</w:t>
      </w:r>
      <w:r>
        <w:t xml:space="preserve"> </w:t>
      </w:r>
      <w:r>
        <w:rPr>
          <w:b/>
        </w:rPr>
        <w:t xml:space="preserve">massive structural tailwind</w:t>
      </w:r>
      <w:r>
        <w:t xml:space="preserve"> </w:t>
      </w:r>
      <w:r>
        <w:t xml:space="preserve">for Lunar’s margins—but it also reduces the value proposition of proprietary cells. The LFP commodity cost decline compresses the premium that any battery system can charge, creating a race between Lunar’s software value and hardware commoditization.</w:t>
      </w:r>
    </w:p>
    <w:p>
      <w:pPr>
        <w:pStyle w:val="BodyText"/>
      </w:pPr>
      <w:r>
        <w:rPr>
          <w:b/>
        </w:rPr>
        <w:t xml:space="preserve">Risk scenario:</w:t>
      </w:r>
      <w:r>
        <w:t xml:space="preserve"> </w:t>
      </w:r>
      <w:r>
        <w:t xml:space="preserve">If LFP cell costs fall to $60/kWh by 2028 (ahead of forecast), Chinese-sourced competitors (even with FEOC tariff penalties) may be able to undercut Lunar on total system cost. Domestic manufacturing has a 15–25% cost disadvantage vs. Chinese production that the ITC/45X credits partially offset but do not eliminate.</w:t>
      </w:r>
      <w:r>
        <w:t xml:space="preserve"> </w:t>
      </w:r>
      <w:r>
        <w:t xml:space="preserve">Key risks include scaling execution, margin pressures from falling battery costs ($125/kWh), and regulatory shifts impacting demand response programs in decentralized energy markets.</w:t>
      </w:r>
    </w:p>
    <w:p>
      <w:pPr>
        <w:pStyle w:val="BodyText"/>
      </w:pPr>
      <w:r>
        <w:rPr>
          <w:b/>
        </w:rPr>
        <w:t xml:space="preserve">Software margin contribution:</w:t>
      </w:r>
      <w:r>
        <w:t xml:space="preserve"> </w:t>
      </w:r>
      <w:r>
        <w:t xml:space="preserve">The VPP/Gridshare software layer carries near-100% incremental margins (compute costs, minimal incremental opex per new device). At scale, this software layer should represent 10–20% of revenues with 70–80% gross margin, blending the overall company gross margin toward 40–50% at scale.</w:t>
      </w:r>
    </w:p>
    <w:p>
      <w:r>
        <w:pict>
          <v:rect style="width:0;height:1.5pt" o:hralign="center" o:hrstd="t" o:hr="t"/>
        </w:pict>
      </w:r>
    </w:p>
    <w:p>
      <w:pPr>
        <w:pStyle w:val="Heading3"/>
      </w:pPr>
      <w:bookmarkStart w:id="48" w:name="c-operating-expense-scaling"/>
      <w:r>
        <w:t xml:space="preserve">C) Operating Expense Scaling</w:t>
      </w:r>
      <w:bookmarkEnd w:id="48"/>
    </w:p>
    <w:p>
      <w:pPr>
        <w:pStyle w:val="Heading4"/>
      </w:pPr>
      <w:bookmarkStart w:id="49" w:name="opex-category-framework"/>
      <w:r>
        <w:t xml:space="preserve">OpEx Category Framework</w:t>
      </w:r>
      <w:bookmarkEnd w:id="49"/>
    </w:p>
    <w:p>
      <w:pPr>
        <w:pStyle w:val="FirstParagraph"/>
      </w:pPr>
      <w:r>
        <w:rPr>
          <w:b/>
        </w:rPr>
        <w:t xml:space="preserve">Variable with Revenue (scale with deployment):</w:t>
      </w:r>
      <w:r>
        <w:t xml:space="preserve"> </w:t>
      </w:r>
      <w:r>
        <w:t xml:space="preserve">- Sales commissions to installers/Sunrun: 3–5% of hardware revenue</w:t>
      </w:r>
      <w:r>
        <w:t xml:space="preserve"> </w:t>
      </w:r>
      <w:r>
        <w:t xml:space="preserve">- Installation support and warranty service: 2–3% of revenue</w:t>
      </w:r>
      <w:r>
        <w:t xml:space="preserve"> </w:t>
      </w:r>
      <w:r>
        <w:t xml:space="preserve">- Inbound shipping, logistics: 1–2% of COGS</w:t>
      </w:r>
    </w:p>
    <w:p>
      <w:pPr>
        <w:pStyle w:val="BodyText"/>
      </w:pPr>
      <w:r>
        <w:rPr>
          <w:b/>
        </w:rPr>
        <w:t xml:space="preserve">Semi-Fixed (step function growth):</w:t>
      </w:r>
      <w:r>
        <w:t xml:space="preserve"> </w:t>
      </w:r>
      <w:r>
        <w:t xml:space="preserve">- Engineering headcount: Grows 30–50% for every doubling of product complexity</w:t>
      </w:r>
      <w:r>
        <w:t xml:space="preserve"> </w:t>
      </w:r>
      <w:r>
        <w:t xml:space="preserve">-</w:t>
      </w:r>
      <w:r>
        <w:t xml:space="preserve"> </w:t>
      </w:r>
      <w:r>
        <w:t xml:space="preserve">Facility leases in California, Georgia, and Washington:</w:t>
      </w:r>
      <w:r>
        <w:t xml:space="preserve"> </w:t>
      </w:r>
      <w:r>
        <w:t xml:space="preserve">Fixed until next expansion tier</w:t>
      </w:r>
      <w:r>
        <w:t xml:space="preserve"> </w:t>
      </w:r>
      <w:r>
        <w:t xml:space="preserve">- Cloud computing for Gridshare (scales with device count, not hardware revenue)</w:t>
      </w:r>
    </w:p>
    <w:p>
      <w:pPr>
        <w:pStyle w:val="BodyText"/>
      </w:pPr>
      <w:r>
        <w:rPr>
          <w:b/>
        </w:rPr>
        <w:t xml:space="preserve">Fixed (largely independent of revenue):</w:t>
      </w:r>
      <w:r>
        <w:t xml:space="preserve"> </w:t>
      </w:r>
      <w:r>
        <w:t xml:space="preserve">- Executive compensation (~$5–8M/year for C-suite)</w:t>
      </w:r>
      <w:r>
        <w:t xml:space="preserve"> </w:t>
      </w:r>
      <w:r>
        <w:t xml:space="preserve">- Legal/compliance (IP portfolio, Wilson Sonsini retainer)</w:t>
      </w:r>
      <w:r>
        <w:t xml:space="preserve"> </w:t>
      </w:r>
      <w:r>
        <w:t xml:space="preserve">- D&amp;O insurance ($2–4M/year at this stage, increasing pre-IPO)</w:t>
      </w:r>
      <w:r>
        <w:t xml:space="preserve"> </w:t>
      </w:r>
      <w:r>
        <w:t xml:space="preserve">- Corporate G&amp;A</w:t>
      </w:r>
    </w:p>
    <w:p>
      <w:pPr>
        <w:pStyle w:val="Heading4"/>
      </w:pPr>
      <w:bookmarkStart w:id="50" w:name="operating-leverage-inflection-point"/>
      <w:r>
        <w:t xml:space="preserve">Operating Leverage Inflection Point</w:t>
      </w:r>
      <w:bookmarkEnd w:id="50"/>
    </w:p>
    <w:p>
      <w:pPr>
        <w:pStyle w:val="FirstParagraph"/>
      </w:pPr>
      <w:r>
        <w:t xml:space="preserve">At approximately</w:t>
      </w:r>
      <w:r>
        <w:t xml:space="preserve"> </w:t>
      </w:r>
      <w:r>
        <w:rPr>
          <w:b/>
        </w:rPr>
        <w:t xml:space="preserve">$200–250M in revenue</w:t>
      </w:r>
      <w:r>
        <w:t xml:space="preserve"> </w:t>
      </w:r>
      <w:r>
        <w:t xml:space="preserve">(base case: late 2027), Lunar should achieve meaningful operating leverage as:</w:t>
      </w:r>
      <w:r>
        <w:t xml:space="preserve"> </w:t>
      </w:r>
      <w:r>
        <w:t xml:space="preserve">1. The R&amp;D spend (largely complete for Gen 1/2 hardware) becomes a smaller % of revenue</w:t>
      </w:r>
      <w:r>
        <w:t xml:space="preserve"> </w:t>
      </w:r>
      <w:r>
        <w:t xml:space="preserve">2. G&amp;A scales at roughly half the rate of revenue growth</w:t>
      </w:r>
      <w:r>
        <w:t xml:space="preserve"> </w:t>
      </w:r>
      <w:r>
        <w:t xml:space="preserve">3. VPP software ARR begins compounding with no incremental COGS</w:t>
      </w:r>
    </w:p>
    <w:p>
      <w:r>
        <w:pict>
          <v:rect style="width:0;height:1.5pt" o:hralign="center" o:hrstd="t" o:hr="t"/>
        </w:pict>
      </w:r>
    </w:p>
    <w:p>
      <w:pPr>
        <w:pStyle w:val="Heading3"/>
      </w:pPr>
      <w:bookmarkStart w:id="51" w:name="d-breakeven-analysis"/>
      <w:r>
        <w:t xml:space="preserve">D) Breakeven Analysis</w:t>
      </w:r>
      <w:bookmarkEnd w:id="51"/>
    </w:p>
    <w:p>
      <w:pPr>
        <w:pStyle w:val="Heading4"/>
      </w:pPr>
      <w:bookmarkStart w:id="52" w:name="ebitda-breakeven"/>
      <w:r>
        <w:t xml:space="preserve">EBITDA Breakeven</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Revenue Level</w:t>
            </w:r>
          </w:p>
        </w:tc>
        <w:tc>
          <w:tcPr>
            <w:tcBorders>
              <w:bottom w:val="single"/>
            </w:tcBorders>
            <w:vAlign w:val="bottom"/>
          </w:tcPr>
          <w:p>
            <w:pPr>
              <w:pStyle w:val="Compact"/>
              <w:jc w:val="left"/>
            </w:pPr>
            <w:r>
              <w:t xml:space="preserve">Gross Margin</w:t>
            </w:r>
          </w:p>
        </w:tc>
        <w:tc>
          <w:tcPr>
            <w:tcBorders>
              <w:bottom w:val="single"/>
            </w:tcBorders>
            <w:vAlign w:val="bottom"/>
          </w:tcPr>
          <w:p>
            <w:pPr>
              <w:pStyle w:val="Compact"/>
              <w:jc w:val="left"/>
            </w:pPr>
            <w:r>
              <w:t xml:space="preserve">GM Dollars</w:t>
            </w:r>
          </w:p>
        </w:tc>
        <w:tc>
          <w:tcPr>
            <w:tcBorders>
              <w:bottom w:val="single"/>
            </w:tcBorders>
            <w:vAlign w:val="bottom"/>
          </w:tcPr>
          <w:p>
            <w:pPr>
              <w:pStyle w:val="Compact"/>
              <w:jc w:val="left"/>
            </w:pPr>
            <w:r>
              <w:t xml:space="preserve">OpEx</w:t>
            </w:r>
          </w:p>
        </w:tc>
        <w:tc>
          <w:tcPr>
            <w:tcBorders>
              <w:bottom w:val="single"/>
            </w:tcBorders>
            <w:vAlign w:val="bottom"/>
          </w:tcPr>
          <w:p>
            <w:pPr>
              <w:pStyle w:val="Compact"/>
              <w:jc w:val="left"/>
            </w:pPr>
            <w:r>
              <w:t xml:space="preserve">EBITDA</w:t>
            </w:r>
          </w:p>
        </w:tc>
      </w:tr>
      <w:tr>
        <w:tc>
          <w:p>
            <w:pPr>
              <w:pStyle w:val="Compact"/>
              <w:jc w:val="left"/>
            </w:pPr>
            <w:r>
              <w:t xml:space="preserve">$35M (today)</w:t>
            </w:r>
          </w:p>
        </w:tc>
        <w:tc>
          <w:p>
            <w:pPr>
              <w:pStyle w:val="Compact"/>
              <w:jc w:val="left"/>
            </w:pPr>
            <w:r>
              <w:t xml:space="preserve">18%</w:t>
            </w:r>
          </w:p>
        </w:tc>
        <w:tc>
          <w:p>
            <w:pPr>
              <w:pStyle w:val="Compact"/>
              <w:jc w:val="left"/>
            </w:pPr>
            <w:r>
              <w:t xml:space="preserve">$6.3M</w:t>
            </w:r>
          </w:p>
        </w:tc>
        <w:tc>
          <w:p>
            <w:pPr>
              <w:pStyle w:val="Compact"/>
              <w:jc w:val="left"/>
            </w:pPr>
            <w:r>
              <w:t xml:space="preserve">$160–180M</w:t>
            </w:r>
          </w:p>
        </w:tc>
        <w:tc>
          <w:p>
            <w:pPr>
              <w:pStyle w:val="Compact"/>
              <w:jc w:val="left"/>
            </w:pPr>
            <w:r>
              <w:t xml:space="preserve">-$154M</w:t>
            </w:r>
          </w:p>
        </w:tc>
      </w:tr>
      <w:tr>
        <w:tc>
          <w:p>
            <w:pPr>
              <w:pStyle w:val="Compact"/>
              <w:jc w:val="left"/>
            </w:pPr>
            <w:r>
              <w:t xml:space="preserve">$140M (base 2026)</w:t>
            </w:r>
          </w:p>
        </w:tc>
        <w:tc>
          <w:p>
            <w:pPr>
              <w:pStyle w:val="Compact"/>
              <w:jc w:val="left"/>
            </w:pPr>
            <w:r>
              <w:t xml:space="preserve">28%</w:t>
            </w:r>
          </w:p>
        </w:tc>
        <w:tc>
          <w:p>
            <w:pPr>
              <w:pStyle w:val="Compact"/>
              <w:jc w:val="left"/>
            </w:pPr>
            <w:r>
              <w:t xml:space="preserve">$39M</w:t>
            </w:r>
          </w:p>
        </w:tc>
        <w:tc>
          <w:p>
            <w:pPr>
              <w:pStyle w:val="Compact"/>
              <w:jc w:val="left"/>
            </w:pPr>
            <w:r>
              <w:t xml:space="preserve">$165M</w:t>
            </w:r>
          </w:p>
        </w:tc>
        <w:tc>
          <w:p>
            <w:pPr>
              <w:pStyle w:val="Compact"/>
              <w:jc w:val="left"/>
            </w:pPr>
            <w:r>
              <w:t xml:space="preserve">-$126M</w:t>
            </w:r>
          </w:p>
        </w:tc>
      </w:tr>
      <w:tr>
        <w:tc>
          <w:p>
            <w:pPr>
              <w:pStyle w:val="Compact"/>
              <w:jc w:val="left"/>
            </w:pPr>
            <w:r>
              <w:t xml:space="preserve">$300M (base 2027)</w:t>
            </w:r>
          </w:p>
        </w:tc>
        <w:tc>
          <w:p>
            <w:pPr>
              <w:pStyle w:val="Compact"/>
              <w:jc w:val="left"/>
            </w:pPr>
            <w:r>
              <w:t xml:space="preserve">33%</w:t>
            </w:r>
          </w:p>
        </w:tc>
        <w:tc>
          <w:p>
            <w:pPr>
              <w:pStyle w:val="Compact"/>
              <w:jc w:val="left"/>
            </w:pPr>
            <w:r>
              <w:t xml:space="preserve">$99M</w:t>
            </w:r>
          </w:p>
        </w:tc>
        <w:tc>
          <w:p>
            <w:pPr>
              <w:pStyle w:val="Compact"/>
              <w:jc w:val="left"/>
            </w:pPr>
            <w:r>
              <w:t xml:space="preserve">$175M</w:t>
            </w:r>
          </w:p>
        </w:tc>
        <w:tc>
          <w:p>
            <w:pPr>
              <w:pStyle w:val="Compact"/>
              <w:jc w:val="left"/>
            </w:pPr>
            <w:r>
              <w:t xml:space="preserve">-$76M</w:t>
            </w:r>
          </w:p>
        </w:tc>
      </w:tr>
      <w:tr>
        <w:tc>
          <w:p>
            <w:pPr>
              <w:pStyle w:val="Compact"/>
              <w:jc w:val="left"/>
            </w:pPr>
            <w:r>
              <w:t xml:space="preserve">$600M (base 2028)</w:t>
            </w:r>
          </w:p>
        </w:tc>
        <w:tc>
          <w:p>
            <w:pPr>
              <w:pStyle w:val="Compact"/>
              <w:jc w:val="left"/>
            </w:pPr>
            <w:r>
              <w:t xml:space="preserve">38%</w:t>
            </w:r>
          </w:p>
        </w:tc>
        <w:tc>
          <w:p>
            <w:pPr>
              <w:pStyle w:val="Compact"/>
              <w:jc w:val="left"/>
            </w:pPr>
            <w:r>
              <w:t xml:space="preserve">$228M</w:t>
            </w:r>
          </w:p>
        </w:tc>
        <w:tc>
          <w:p>
            <w:pPr>
              <w:pStyle w:val="Compact"/>
              <w:jc w:val="left"/>
            </w:pPr>
            <w:r>
              <w:t xml:space="preserve">$190M</w:t>
            </w:r>
          </w:p>
        </w:tc>
        <w:tc>
          <w:p>
            <w:pPr>
              <w:pStyle w:val="Compact"/>
              <w:jc w:val="left"/>
            </w:pPr>
            <w:r>
              <w:t xml:space="preserve">+$38M</w:t>
            </w:r>
          </w:p>
        </w:tc>
      </w:tr>
    </w:tbl>
    <w:p>
      <w:pPr>
        <w:pStyle w:val="BodyText"/>
      </w:pPr>
      <w:r>
        <w:rPr>
          <w:b/>
        </w:rPr>
        <w:t xml:space="preserve">EBITDA breakeven likely: Late 2028 under base case; 2027 only under bull case</w:t>
      </w:r>
    </w:p>
    <w:p>
      <w:pPr>
        <w:pStyle w:val="Heading4"/>
      </w:pPr>
      <w:bookmarkStart w:id="53" w:name="free-cash-flow-breakeven"/>
      <w:r>
        <w:t xml:space="preserve">Free Cash Flow Breakeven</w:t>
      </w:r>
      <w:bookmarkEnd w:id="53"/>
    </w:p>
    <w:p>
      <w:pPr>
        <w:pStyle w:val="FirstParagraph"/>
      </w:pPr>
      <w:r>
        <w:t xml:space="preserve">FCF breakeven is harder due to the capital intensity of manufacturing scale-up:</w:t>
      </w:r>
      <w:r>
        <w:t xml:space="preserve"> </w:t>
      </w:r>
      <w:r>
        <w:t xml:space="preserve">- Each 10,000-unit capacity increase requires approximately $15–30M in equipment capex</w:t>
      </w:r>
      <w:r>
        <w:t xml:space="preserve"> </w:t>
      </w:r>
      <w:r>
        <w:t xml:space="preserve">- Working capital build (inventory, receivables) scales with revenue</w:t>
      </w:r>
      <w:r>
        <w:t xml:space="preserve"> </w:t>
      </w:r>
      <w:r>
        <w:t xml:space="preserve">- FCF breakeven likely:</w:t>
      </w:r>
      <w:r>
        <w:t xml:space="preserve"> </w:t>
      </w:r>
      <w:r>
        <w:rPr>
          <w:b/>
        </w:rPr>
        <w:t xml:space="preserve">2029–2030</w:t>
      </w:r>
      <w:r>
        <w:t xml:space="preserve"> </w:t>
      </w:r>
      <w:r>
        <w:t xml:space="preserve">under base case</w:t>
      </w:r>
    </w:p>
    <w:p>
      <w:pPr>
        <w:pStyle w:val="Heading4"/>
      </w:pPr>
      <w:bookmarkStart w:id="54" w:name="Xbad6ac6012d302b0586416a5cdd24f028bf16e4"/>
      <w:r>
        <w:t xml:space="preserve">Does the CEO’s</w:t>
      </w:r>
      <w:r>
        <w:t xml:space="preserve"> </w:t>
      </w:r>
      <w:r>
        <w:t xml:space="preserve">“</w:t>
      </w:r>
      <w:r>
        <w:t xml:space="preserve">Never Raise Again</w:t>
      </w:r>
      <w:r>
        <w:t xml:space="preserve">”</w:t>
      </w:r>
      <w:r>
        <w:t xml:space="preserve"> </w:t>
      </w:r>
      <w:r>
        <w:t xml:space="preserve">Claim Hold Up?</w:t>
      </w:r>
      <w:bookmarkEnd w:id="54"/>
    </w:p>
    <w:p>
      <w:pPr>
        <w:pStyle w:val="FirstParagraph"/>
      </w:pPr>
      <w:r>
        <w:rPr>
          <w:b/>
        </w:rPr>
        <w:t xml:space="preserve">No, under most scenarios it does not.</w:t>
      </w:r>
      <w:r>
        <w:t xml:space="preserve"> </w:t>
      </w:r>
      <w:r>
        <w:t xml:space="preserve">Under the base case:</w:t>
      </w:r>
      <w:r>
        <w:t xml:space="preserve"> </w:t>
      </w:r>
      <w:r>
        <w:t xml:space="preserve">- Lunar needs ~$250–350M in additional capital to reach FCF breakeven</w:t>
      </w:r>
      <w:r>
        <w:t xml:space="preserve"> </w:t>
      </w:r>
      <w:r>
        <w:t xml:space="preserve">- Current cash position ($85–115M) + 45X credits ($5–25M/year) falls short</w:t>
      </w:r>
      <w:r>
        <w:t xml:space="preserve"> </w:t>
      </w:r>
      <w:r>
        <w:t xml:space="preserve">- The gap can be bridged by DOE LPO debt, equipment financing, and a potential project finance facility for the VPP fleet, but this requires significant financial engineering</w:t>
      </w:r>
    </w:p>
    <w:p>
      <w:pPr>
        <w:pStyle w:val="BodyText"/>
      </w:pPr>
      <w:r>
        <w:t xml:space="preserve">The claim is only defensible if:</w:t>
      </w:r>
      <w:r>
        <w:t xml:space="preserve"> </w:t>
      </w:r>
      <w:r>
        <w:t xml:space="preserve">1. A large DOE LPO loan ($100–200M) is secured in 2026</w:t>
      </w:r>
      <w:r>
        <w:t xml:space="preserve"> </w:t>
      </w:r>
      <w:r>
        <w:t xml:space="preserve">2. 45X credits are monetized aggressively ($15–25M/year)</w:t>
      </w:r>
      <w:r>
        <w:t xml:space="preserve"> </w:t>
      </w:r>
      <w:r>
        <w:t xml:space="preserve">3. The manufacturing ramp hits the bull case (100K units by 2028 = $1.3B revenue)</w:t>
      </w:r>
      <w:r>
        <w:t xml:space="preserve"> </w:t>
      </w:r>
      <w:r>
        <w:t xml:space="preserve">4. Sunrun or another strategic partner provides off-balance-sheet financing via tax equity structures</w:t>
      </w:r>
    </w:p>
    <w:p>
      <w:r>
        <w:pict>
          <v:rect style="width:0;height:1.5pt" o:hralign="center" o:hrstd="t" o:hr="t"/>
        </w:pict>
      </w:r>
    </w:p>
    <w:p>
      <w:pPr>
        <w:pStyle w:val="Heading2"/>
      </w:pPr>
      <w:bookmarkStart w:id="55" w:name="section-3-exit-scenario-analysis"/>
      <w:r>
        <w:t xml:space="preserve">SECTION 3: EXIT SCENARIO ANALYSIS</w:t>
      </w:r>
      <w:bookmarkEnd w:id="55"/>
    </w:p>
    <w:p>
      <w:pPr>
        <w:pStyle w:val="Heading3"/>
      </w:pPr>
      <w:bookmarkStart w:id="56" w:name="a-ipo-pathway"/>
      <w:r>
        <w:t xml:space="preserve">A) IPO Pathway</w:t>
      </w:r>
      <w:bookmarkEnd w:id="56"/>
    </w:p>
    <w:p>
      <w:pPr>
        <w:pStyle w:val="Heading4"/>
      </w:pPr>
      <w:bookmarkStart w:id="57" w:name="public-comparables-analysis"/>
      <w:r>
        <w:t xml:space="preserve">Public Comparables Analysis</w:t>
      </w:r>
      <w:bookmarkEnd w:id="57"/>
    </w:p>
    <w:p>
      <w:pPr>
        <w:pStyle w:val="FirstParagraph"/>
      </w:pPr>
      <w:r>
        <w:rPr>
          <w:b/>
        </w:rPr>
        <w:t xml:space="preserve">Enphase Energy (ENPH) — The Gold Standard Comp</w:t>
      </w:r>
    </w:p>
    <w:p>
      <w:pPr>
        <w:pStyle w:val="BodyText"/>
      </w:pPr>
      <w:r>
        <w:t xml:space="preserve">Enphase Energy revenue for the twelve months ending September 30, 2025 was $1.512B, a 20.97% increase year-over-year. Annual revenue for 2024 was $1.33B, a 41.92% decline from 2023. Annual revenue for 2023 was $2.291B.</w:t>
      </w:r>
    </w:p>
    <w:p>
      <w:pPr>
        <w:pStyle w:val="BodyText"/>
      </w:pPr>
      <w:r>
        <w:t xml:space="preserve">Profitability remains robust, with gross margins improving to 48.48% and operating margins rising to 12.56%.</w:t>
      </w:r>
    </w:p>
    <w:p>
      <w:pPr>
        <w:pStyle w:val="BodyText"/>
      </w:pPr>
      <w:r>
        <w:t xml:space="preserve">Enphase’s revenue volatility (peak of $2.3B to trough of $1.3B in two years) illustrates the extreme cyclicality of the residential solar/storage market. For Lunar, this is a cautionary tale—IPO timing matters enormously. Enphase at its 2023 peak traded at 40–60x revenue; it now trades at approximately 15–20x trailing revenue. The</w:t>
      </w:r>
      <w:r>
        <w:t xml:space="preserve"> </w:t>
      </w:r>
      <w:r>
        <w:rPr>
          <w:b/>
        </w:rPr>
        <w:t xml:space="preserve">lesson for Lunar:</w:t>
      </w:r>
      <w:r>
        <w:t xml:space="preserve"> </w:t>
      </w:r>
      <w:r>
        <w:t xml:space="preserve">IPO into a bull cycle, not a trough.</w:t>
      </w:r>
    </w:p>
    <w:p>
      <w:pPr>
        <w:pStyle w:val="BodyText"/>
      </w:pPr>
      <w:r>
        <w:rPr>
          <w:b/>
        </w:rPr>
        <w:t xml:space="preserve">Stem Inc. (STEM) — The Cautionary Tale</w:t>
      </w:r>
    </w:p>
    <w:p>
      <w:pPr>
        <w:pStyle w:val="BodyText"/>
      </w:pPr>
      <w:r>
        <w:t xml:space="preserve">The company went public via a SPAC in April 2021—this fact alone speaks volumes about the quality of the business.</w:t>
      </w:r>
    </w:p>
    <w:p>
      <w:pPr>
        <w:pStyle w:val="BodyText"/>
      </w:pPr>
      <w:r>
        <w:t xml:space="preserve">Stem grew revenues 10-fold from $36 million in 2020 to $462 million in 2023, but a large majority (~85%) of revenue was still derived from low-margin hardware sales.</w:t>
      </w:r>
    </w:p>
    <w:p>
      <w:pPr>
        <w:pStyle w:val="BodyText"/>
      </w:pPr>
      <w:r>
        <w:t xml:space="preserve">The company listed on the NYSE via SPAC merger but received a stock exchange warning that its shares could be delisted after trading below the required minimum average share price of $1.00 for more than 30 consecutive days. At the time of writing, shares were trading at $0.46, 95.29% down from their $10.00 listing price.</w:t>
      </w:r>
    </w:p>
    <w:p>
      <w:pPr>
        <w:pStyle w:val="BodyText"/>
      </w:pPr>
      <w:r>
        <w:rPr>
          <w:b/>
        </w:rPr>
        <w:t xml:space="preserve">The Stem autopsy for Lunar:</w:t>
      </w:r>
      <w:r>
        <w:t xml:space="preserve"> </w:t>
      </w:r>
      <w:r>
        <w:t xml:space="preserve">1.</w:t>
      </w:r>
      <w:r>
        <w:t xml:space="preserve"> </w:t>
      </w:r>
      <w:r>
        <w:t xml:space="preserve">Stem was accused of overstating its software revenues by falsely claiming that 100% of its services revenue line was attributable to software revenues.</w:t>
      </w:r>
      <w:r>
        <w:t xml:space="preserve"> </w:t>
      </w:r>
      <w:r>
        <w:rPr>
          <w:b/>
        </w:rPr>
        <w:t xml:space="preserve">Lesson:</w:t>
      </w:r>
      <w:r>
        <w:t xml:space="preserve"> </w:t>
      </w:r>
      <w:r>
        <w:t xml:space="preserve">Lunar must be meticulous in segmenting hardware vs. software vs. VPP revenues for public market credibility.</w:t>
      </w:r>
      <w:r>
        <w:t xml:space="preserve"> </w:t>
      </w:r>
      <w:r>
        <w:t xml:space="preserve">2.</w:t>
      </w:r>
      <w:r>
        <w:t xml:space="preserve"> </w:t>
      </w:r>
      <w:r>
        <w:t xml:space="preserve">Stem meaningfully missed its original 2023 revenue guidance of $550–600 million vs. $462 million actual.</w:t>
      </w:r>
      <w:r>
        <w:t xml:space="preserve"> </w:t>
      </w:r>
      <w:r>
        <w:rPr>
          <w:b/>
        </w:rPr>
        <w:t xml:space="preserve">Lesson:</w:t>
      </w:r>
      <w:r>
        <w:t xml:space="preserve"> </w:t>
      </w:r>
      <w:r>
        <w:t xml:space="preserve">Sandbagging guidance is essential pre-IPO.</w:t>
      </w:r>
      <w:r>
        <w:t xml:space="preserve"> </w:t>
      </w:r>
      <w:r>
        <w:t xml:space="preserve">3.</w:t>
      </w:r>
      <w:r>
        <w:t xml:space="preserve"> </w:t>
      </w:r>
      <w:r>
        <w:t xml:space="preserve">Over three years post-SPAC, Stem’s operations consumed a combined $414.7 million, or about three-fourths of the cash it raised through its SPAC merger.</w:t>
      </w:r>
      <w:r>
        <w:t xml:space="preserve"> </w:t>
      </w:r>
      <w:r>
        <w:rPr>
          <w:b/>
        </w:rPr>
        <w:t xml:space="preserve">Lesson:</w:t>
      </w:r>
      <w:r>
        <w:t xml:space="preserve"> </w:t>
      </w:r>
      <w:r>
        <w:t xml:space="preserve">Hardware businesses with software aspirations burn cash faster than software-native businesses.</w:t>
      </w:r>
      <w:r>
        <w:t xml:space="preserve"> </w:t>
      </w:r>
      <w:r>
        <w:t xml:space="preserve">4. The SPAC route itself was a problem:</w:t>
      </w:r>
      <w:r>
        <w:t xml:space="preserve"> </w:t>
      </w:r>
      <w:r>
        <w:t xml:space="preserve">most bad cleantech ideas that received far too much money were funded by SPACs.</w:t>
      </w:r>
      <w:r>
        <w:t xml:space="preserve"> </w:t>
      </w:r>
      <w:r>
        <w:rPr>
          <w:b/>
        </w:rPr>
        <w:t xml:space="preserve">Lesson for Lunar:</w:t>
      </w:r>
      <w:r>
        <w:t xml:space="preserve"> </w:t>
      </w:r>
      <w:r>
        <w:t xml:space="preserve">Avoid the SPAC route entirely; pursue a traditional S-1 IPO.</w:t>
      </w:r>
    </w:p>
    <w:p>
      <w:pPr>
        <w:pStyle w:val="Heading4"/>
      </w:pPr>
      <w:bookmarkStart w:id="58" w:name="ipo-readiness-requirements"/>
      <w:r>
        <w:t xml:space="preserve">IPO Readiness Requirements</w:t>
      </w:r>
      <w:bookmarkEnd w:id="58"/>
    </w:p>
    <w:p>
      <w:pPr>
        <w:pStyle w:val="FirstParagraph"/>
      </w:pPr>
      <w:r>
        <w:t xml:space="preserve">For a credible cleantech hardware/software IPO in 2028–2029:</w:t>
      </w:r>
      <w:r>
        <w:t xml:space="preserve"> </w:t>
      </w:r>
      <w:r>
        <w:t xml:space="preserve">-</w:t>
      </w:r>
      <w:r>
        <w:t xml:space="preserve"> </w:t>
      </w:r>
      <w:r>
        <w:rPr>
          <w:b/>
        </w:rPr>
        <w:t xml:space="preserve">Revenue:</w:t>
      </w:r>
      <w:r>
        <w:t xml:space="preserve"> </w:t>
      </w:r>
      <w:r>
        <w:t xml:space="preserve">$400M+ (preferably $500M+) with &gt;50% y/y growth</w:t>
      </w:r>
      <w:r>
        <w:t xml:space="preserve"> </w:t>
      </w:r>
      <w:r>
        <w:t xml:space="preserve">-</w:t>
      </w:r>
      <w:r>
        <w:t xml:space="preserve"> </w:t>
      </w:r>
      <w:r>
        <w:rPr>
          <w:b/>
        </w:rPr>
        <w:t xml:space="preserve">Gross margin:</w:t>
      </w:r>
      <w:r>
        <w:t xml:space="preserve"> </w:t>
      </w:r>
      <w:r>
        <w:t xml:space="preserve">35%+ blended (with clear software margin uplift narrative)</w:t>
      </w:r>
      <w:r>
        <w:t xml:space="preserve"> </w:t>
      </w:r>
      <w:r>
        <w:t xml:space="preserve">-</w:t>
      </w:r>
      <w:r>
        <w:t xml:space="preserve"> </w:t>
      </w:r>
      <w:r>
        <w:rPr>
          <w:b/>
        </w:rPr>
        <w:t xml:space="preserve">EBITDA:</w:t>
      </w:r>
      <w:r>
        <w:t xml:space="preserve"> </w:t>
      </w:r>
      <w:r>
        <w:t xml:space="preserve">Positive or within 12 months of positive</w:t>
      </w:r>
      <w:r>
        <w:t xml:space="preserve"> </w:t>
      </w:r>
      <w:r>
        <w:t xml:space="preserve">-</w:t>
      </w:r>
      <w:r>
        <w:t xml:space="preserve"> </w:t>
      </w:r>
      <w:r>
        <w:rPr>
          <w:b/>
        </w:rPr>
        <w:t xml:space="preserve">ARR:</w:t>
      </w:r>
      <w:r>
        <w:t xml:space="preserve"> </w:t>
      </w:r>
      <w:r>
        <w:t xml:space="preserve">Meaningful recurring VPP/software revenue (&gt;$30M at software-level margins)</w:t>
      </w:r>
      <w:r>
        <w:t xml:space="preserve"> </w:t>
      </w:r>
      <w:r>
        <w:t xml:space="preserve">-</w:t>
      </w:r>
      <w:r>
        <w:t xml:space="preserve"> </w:t>
      </w:r>
      <w:r>
        <w:rPr>
          <w:b/>
        </w:rPr>
        <w:t xml:space="preserve">Unit economics:</w:t>
      </w:r>
      <w:r>
        <w:t xml:space="preserve"> </w:t>
      </w:r>
      <w:r>
        <w:t xml:space="preserve">Demonstrated contribution margin breakeven at the deployment level</w:t>
      </w:r>
      <w:r>
        <w:t xml:space="preserve"> </w:t>
      </w:r>
      <w:r>
        <w:t xml:space="preserve">-</w:t>
      </w:r>
      <w:r>
        <w:t xml:space="preserve"> </w:t>
      </w:r>
      <w:r>
        <w:rPr>
          <w:b/>
        </w:rPr>
        <w:t xml:space="preserve">Geographic mix:</w:t>
      </w:r>
      <w:r>
        <w:t xml:space="preserve"> </w:t>
      </w:r>
      <w:r>
        <w:t xml:space="preserve">Presence in 5+ states; international VPP revenues</w:t>
      </w:r>
    </w:p>
    <w:p>
      <w:pPr>
        <w:pStyle w:val="Heading4"/>
      </w:pPr>
      <w:bookmarkStart w:id="59" w:name="ipo-valuation-ranges"/>
      <w:r>
        <w:t xml:space="preserve">IPO Valuation Ranges</w:t>
      </w:r>
      <w:bookmarkEnd w:id="59"/>
    </w:p>
    <w:tbl>
      <w:tblPr>
        <w:tblStyle w:val="Table"/>
        <w:tblW w:type="pct" w:w="5000.0"/>
        <w:tblLook w:firstRow="1"/>
      </w:tblPr>
      <w:tblGrid>
        <w:gridCol w:w="1305"/>
        <w:gridCol w:w="1131"/>
        <w:gridCol w:w="1131"/>
        <w:gridCol w:w="2262"/>
        <w:gridCol w:w="2088"/>
      </w:tblGrid>
      <w:tr>
        <w:trPr>
          <w:cnfStyle w:firstRow="1"/>
        </w:trPr>
        <w:tc>
          <w:tcPr>
            <w:tcBorders>
              <w:bottom w:val="single"/>
            </w:tcBorders>
            <w:vAlign w:val="bottom"/>
          </w:tcPr>
          <w:p>
            <w:pPr>
              <w:pStyle w:val="Compact"/>
              <w:jc w:val="left"/>
            </w:pPr>
            <w:r>
              <w:t xml:space="preserve">Revenue at IPO</w:t>
            </w:r>
          </w:p>
        </w:tc>
        <w:tc>
          <w:tcPr>
            <w:tcBorders>
              <w:bottom w:val="single"/>
            </w:tcBorders>
            <w:vAlign w:val="bottom"/>
          </w:tcPr>
          <w:p>
            <w:pPr>
              <w:pStyle w:val="Compact"/>
              <w:jc w:val="left"/>
            </w:pPr>
            <w:r>
              <w:t xml:space="preserve">Growth Rate</w:t>
            </w:r>
          </w:p>
        </w:tc>
        <w:tc>
          <w:tcPr>
            <w:tcBorders>
              <w:bottom w:val="single"/>
            </w:tcBorders>
            <w:vAlign w:val="bottom"/>
          </w:tcPr>
          <w:p>
            <w:pPr>
              <w:pStyle w:val="Compact"/>
              <w:jc w:val="left"/>
            </w:pPr>
            <w:r>
              <w:t xml:space="preserve">Gross Margin</w:t>
            </w:r>
          </w:p>
        </w:tc>
        <w:tc>
          <w:tcPr>
            <w:tcBorders>
              <w:bottom w:val="single"/>
            </w:tcBorders>
            <w:vAlign w:val="bottom"/>
          </w:tcPr>
          <w:p>
            <w:pPr>
              <w:pStyle w:val="Compact"/>
              <w:jc w:val="left"/>
            </w:pPr>
            <w:r>
              <w:t xml:space="preserve">Likely EV/Revenue Multiple</w:t>
            </w:r>
          </w:p>
        </w:tc>
        <w:tc>
          <w:tcPr>
            <w:tcBorders>
              <w:bottom w:val="single"/>
            </w:tcBorders>
            <w:vAlign w:val="bottom"/>
          </w:tcPr>
          <w:p>
            <w:pPr>
              <w:pStyle w:val="Compact"/>
              <w:jc w:val="left"/>
            </w:pPr>
            <w:r>
              <w:t xml:space="preserve">Implied Enterprise Value</w:t>
            </w:r>
          </w:p>
        </w:tc>
      </w:tr>
      <w:tr>
        <w:tc>
          <w:p>
            <w:pPr>
              <w:pStyle w:val="Compact"/>
              <w:jc w:val="left"/>
            </w:pPr>
            <w:r>
              <w:t xml:space="preserve">$400M</w:t>
            </w:r>
          </w:p>
        </w:tc>
        <w:tc>
          <w:p>
            <w:pPr>
              <w:pStyle w:val="Compact"/>
              <w:jc w:val="left"/>
            </w:pPr>
            <w:r>
              <w:t xml:space="preserve">60%+</w:t>
            </w:r>
          </w:p>
        </w:tc>
        <w:tc>
          <w:p>
            <w:pPr>
              <w:pStyle w:val="Compact"/>
              <w:jc w:val="left"/>
            </w:pPr>
            <w:r>
              <w:t xml:space="preserve">32%</w:t>
            </w:r>
          </w:p>
        </w:tc>
        <w:tc>
          <w:p>
            <w:pPr>
              <w:pStyle w:val="Compact"/>
              <w:jc w:val="left"/>
            </w:pPr>
            <w:r>
              <w:t xml:space="preserve">8–12x</w:t>
            </w:r>
          </w:p>
        </w:tc>
        <w:tc>
          <w:p>
            <w:pPr>
              <w:pStyle w:val="Compact"/>
              <w:jc w:val="left"/>
            </w:pPr>
            <w:r>
              <w:t xml:space="preserve">$3.2–4.8B</w:t>
            </w:r>
          </w:p>
        </w:tc>
      </w:tr>
      <w:tr>
        <w:tc>
          <w:p>
            <w:pPr>
              <w:pStyle w:val="Compact"/>
              <w:jc w:val="left"/>
            </w:pPr>
            <w:r>
              <w:t xml:space="preserve">$600M</w:t>
            </w:r>
          </w:p>
        </w:tc>
        <w:tc>
          <w:p>
            <w:pPr>
              <w:pStyle w:val="Compact"/>
              <w:jc w:val="left"/>
            </w:pPr>
            <w:r>
              <w:t xml:space="preserve">50%+</w:t>
            </w:r>
          </w:p>
        </w:tc>
        <w:tc>
          <w:p>
            <w:pPr>
              <w:pStyle w:val="Compact"/>
              <w:jc w:val="left"/>
            </w:pPr>
            <w:r>
              <w:t xml:space="preserve">36%</w:t>
            </w:r>
          </w:p>
        </w:tc>
        <w:tc>
          <w:p>
            <w:pPr>
              <w:pStyle w:val="Compact"/>
              <w:jc w:val="left"/>
            </w:pPr>
            <w:r>
              <w:t xml:space="preserve">10–15x</w:t>
            </w:r>
          </w:p>
        </w:tc>
        <w:tc>
          <w:p>
            <w:pPr>
              <w:pStyle w:val="Compact"/>
              <w:jc w:val="left"/>
            </w:pPr>
            <w:r>
              <w:t xml:space="preserve">$6–9B</w:t>
            </w:r>
          </w:p>
        </w:tc>
      </w:tr>
      <w:tr>
        <w:tc>
          <w:p>
            <w:pPr>
              <w:pStyle w:val="Compact"/>
              <w:jc w:val="left"/>
            </w:pPr>
            <w:r>
              <w:t xml:space="preserve">$800M</w:t>
            </w:r>
          </w:p>
        </w:tc>
        <w:tc>
          <w:p>
            <w:pPr>
              <w:pStyle w:val="Compact"/>
              <w:jc w:val="left"/>
            </w:pPr>
            <w:r>
              <w:t xml:space="preserve">40%+</w:t>
            </w:r>
          </w:p>
        </w:tc>
        <w:tc>
          <w:p>
            <w:pPr>
              <w:pStyle w:val="Compact"/>
              <w:jc w:val="left"/>
            </w:pPr>
            <w:r>
              <w:t xml:space="preserve">40%</w:t>
            </w:r>
          </w:p>
        </w:tc>
        <w:tc>
          <w:p>
            <w:pPr>
              <w:pStyle w:val="Compact"/>
              <w:jc w:val="left"/>
            </w:pPr>
            <w:r>
              <w:t xml:space="preserve">12–18x</w:t>
            </w:r>
          </w:p>
        </w:tc>
        <w:tc>
          <w:p>
            <w:pPr>
              <w:pStyle w:val="Compact"/>
              <w:jc w:val="left"/>
            </w:pPr>
            <w:r>
              <w:t xml:space="preserve">$9.6–14.4B</w:t>
            </w:r>
          </w:p>
        </w:tc>
      </w:tr>
    </w:tbl>
    <w:p>
      <w:pPr>
        <w:pStyle w:val="BodyText"/>
      </w:pPr>
      <w:r>
        <w:rPr>
          <w:b/>
        </w:rPr>
        <w:t xml:space="preserve">Earliest realistic IPO date:</w:t>
      </w:r>
      <w:r>
        <w:t xml:space="preserve"> </w:t>
      </w:r>
      <w:r>
        <w:t xml:space="preserve">Q3 2028 at the absolute earliest (requiring bull case execution).</w:t>
      </w:r>
      <w:r>
        <w:t xml:space="preserve"> </w:t>
      </w:r>
      <w:r>
        <w:rPr>
          <w:b/>
        </w:rPr>
        <w:t xml:space="preserve">Base case IPO window: 2029–2030.</w:t>
      </w:r>
    </w:p>
    <w:p>
      <w:r>
        <w:pict>
          <v:rect style="width:0;height:1.5pt" o:hralign="center" o:hrstd="t" o:hr="t"/>
        </w:pict>
      </w:r>
    </w:p>
    <w:p>
      <w:pPr>
        <w:pStyle w:val="Heading3"/>
      </w:pPr>
      <w:bookmarkStart w:id="60" w:name="b-strategic-acquisition-scenarios"/>
      <w:r>
        <w:t xml:space="preserve">B) Strategic Acquisition Scenarios</w:t>
      </w:r>
      <w:bookmarkEnd w:id="60"/>
    </w:p>
    <w:p>
      <w:pPr>
        <w:pStyle w:val="Heading4"/>
      </w:pPr>
      <w:bookmarkStart w:id="61" w:name="ranked-acquirer-analysis"/>
      <w:r>
        <w:t xml:space="preserve">Ranked Acquirer Analysis</w:t>
      </w:r>
      <w:bookmarkEnd w:id="61"/>
    </w:p>
    <w:p>
      <w:pPr>
        <w:pStyle w:val="FirstParagraph"/>
      </w:pPr>
      <w:r>
        <w:rPr>
          <w:b/>
        </w:rPr>
        <w:t xml:space="preserve">1. Sunrun (RUN) — Most Likely, Highest Strategic Logic</w:t>
      </w:r>
    </w:p>
    <w:p>
      <w:pPr>
        <w:pStyle w:val="BodyText"/>
      </w:pPr>
      <w:r>
        <w:t xml:space="preserve">Sunrun exited 2025 with storage attachment rates at 71%, up 9 percentage points from the prior year, and accelerated its shift to solar-plus-storage and distributed power plants.</w:t>
      </w:r>
    </w:p>
    <w:p>
      <w:pPr>
        <w:pStyle w:val="BodyText"/>
      </w:pPr>
      <w:r>
        <w:t xml:space="preserve">Sunrun has installed more than 237,000 storage and solar systems, representing approximately 4.0 gigawatt hours of networked storage capacity.</w:t>
      </w:r>
    </w:p>
    <w:p>
      <w:pPr>
        <w:numPr>
          <w:ilvl w:val="0"/>
          <w:numId w:val="1002"/>
        </w:numPr>
        <w:pStyle w:val="Compact"/>
      </w:pPr>
      <w:r>
        <w:rPr>
          <w:b/>
        </w:rPr>
        <w:t xml:space="preserve">Strategic rationale:</w:t>
      </w:r>
      <w:r>
        <w:t xml:space="preserve"> </w:t>
      </w:r>
      <w:r>
        <w:t xml:space="preserve">Sunrun is moving decisively toward a battery-first model. Acquiring Lunar would give Sunrun control of its primary battery hardware supplier, eliminate third-party margin leakage, and vertically integrate the Gridshare VPP platform—which Sunrun already uses.</w:t>
      </w:r>
    </w:p>
    <w:p>
      <w:pPr>
        <w:numPr>
          <w:ilvl w:val="0"/>
          <w:numId w:val="1002"/>
        </w:numPr>
        <w:pStyle w:val="Compact"/>
      </w:pPr>
      <w:r>
        <w:t xml:space="preserve">Lynn Jurich, who co-founded and serves as co-executive chair of Sunrun, chairs Lunar Energy’s board of directors.</w:t>
      </w:r>
      <w:r>
        <w:t xml:space="preserve"> </w:t>
      </w:r>
      <w:r>
        <w:t xml:space="preserve">This existing governance relationship is a double-edged sword: it facilitates a friendly acquisition but may also create conflicts around pricing fairness to Lunar minority shareholders.</w:t>
      </w:r>
    </w:p>
    <w:p>
      <w:pPr>
        <w:numPr>
          <w:ilvl w:val="0"/>
          <w:numId w:val="1002"/>
        </w:numPr>
        <w:pStyle w:val="Compact"/>
      </w:pPr>
      <w:r>
        <w:rPr>
          <w:b/>
        </w:rPr>
        <w:t xml:space="preserve">Sunrun financial capacity:</w:t>
      </w:r>
      <w:r>
        <w:t xml:space="preserve"> </w:t>
      </w:r>
      <w:r>
        <w:t xml:space="preserve">Contracted Net Earning Assets were $3.6 billion as of December 31, 2025.</w:t>
      </w:r>
      <w:r>
        <w:t xml:space="preserve"> </w:t>
      </w:r>
      <w:r>
        <w:t xml:space="preserve">However, Sunrun’s recourse balance sheet is constrained.</w:t>
      </w:r>
      <w:r>
        <w:t xml:space="preserve"> </w:t>
      </w:r>
      <w:r>
        <w:t xml:space="preserve">The focus remains on paying down parent debt, with $100 million targeted for 2026.</w:t>
      </w:r>
      <w:r>
        <w:t xml:space="preserve"> </w:t>
      </w:r>
      <w:r>
        <w:t xml:space="preserve">A cash acquisition of Lunar at $1–2B would likely require significant debt financing or stock consideration.</w:t>
      </w:r>
    </w:p>
    <w:p>
      <w:pPr>
        <w:numPr>
          <w:ilvl w:val="0"/>
          <w:numId w:val="1002"/>
        </w:numPr>
        <w:pStyle w:val="Compact"/>
      </w:pPr>
      <w:r>
        <w:rPr>
          <w:b/>
        </w:rPr>
        <w:t xml:space="preserve">Estimated acquisition price:</w:t>
      </w:r>
      <w:r>
        <w:t xml:space="preserve"> </w:t>
      </w:r>
      <w:r>
        <w:t xml:space="preserve">$1.2–2.0B (3–5x projected 2027 revenue)</w:t>
      </w:r>
    </w:p>
    <w:p>
      <w:pPr>
        <w:numPr>
          <w:ilvl w:val="0"/>
          <w:numId w:val="1002"/>
        </w:numPr>
        <w:pStyle w:val="Compact"/>
      </w:pPr>
      <w:r>
        <w:rPr>
          <w:b/>
        </w:rPr>
        <w:t xml:space="preserve">Deal-breakers:</w:t>
      </w:r>
      <w:r>
        <w:t xml:space="preserve"> </w:t>
      </w:r>
      <w:r>
        <w:t xml:space="preserve">Sunrun’s own stock price weakness (currently ~$20, far below 2021 highs); Lunar shareholders may demand a higher multiple than Sunrun can justify on its balance sheet; SK Group and B Capital may demand a premium to their implied Series D entry price.</w:t>
      </w:r>
    </w:p>
    <w:p>
      <w:pPr>
        <w:numPr>
          <w:ilvl w:val="0"/>
          <w:numId w:val="1002"/>
        </w:numPr>
        <w:pStyle w:val="Compact"/>
      </w:pPr>
      <w:r>
        <w:rPr>
          <w:b/>
        </w:rPr>
        <w:t xml:space="preserve">Probability:</w:t>
      </w:r>
      <w:r>
        <w:t xml:space="preserve"> </w:t>
      </w:r>
      <w:r>
        <w:t xml:space="preserve">35% within 3 years</w:t>
      </w:r>
    </w:p>
    <w:p>
      <w:pPr>
        <w:numPr>
          <w:ilvl w:val="0"/>
          <w:numId w:val="1002"/>
        </w:numPr>
        <w:pStyle w:val="Compact"/>
      </w:pPr>
      <w:r>
        <w:rPr>
          <w:b/>
        </w:rPr>
        <w:t xml:space="preserve">Timing:</w:t>
      </w:r>
      <w:r>
        <w:t xml:space="preserve"> </w:t>
      </w:r>
      <w:r>
        <w:t xml:space="preserve">2027–2028 (post manufacturing ramp demonstration)</w:t>
      </w:r>
    </w:p>
    <w:p>
      <w:pPr>
        <w:pStyle w:val="FirstParagraph"/>
      </w:pPr>
      <w:r>
        <w:rPr>
          <w:b/>
        </w:rPr>
        <w:t xml:space="preserve">2. Shell (owns Sonnen) — Credible Strategic Buyer</w:t>
      </w:r>
      <w:r>
        <w:t xml:space="preserve"> </w:t>
      </w:r>
      <w:r>
        <w:t xml:space="preserve">Shell acquired Sonnen in 2019 for an undisclosed amount (estimated $300–500M), adding a leading European residential battery and VPP operator. Sonnen directly competes with Lunar in the battery + VPP market. Acquiring Lunar would give Shell the dominant US residential storage position.</w:t>
      </w:r>
      <w:r>
        <w:t xml:space="preserve"> </w:t>
      </w:r>
      <w:r>
        <w:t xml:space="preserve">-</w:t>
      </w:r>
      <w:r>
        <w:t xml:space="preserve"> </w:t>
      </w:r>
      <w:r>
        <w:rPr>
          <w:b/>
        </w:rPr>
        <w:t xml:space="preserve">Synergies:</w:t>
      </w:r>
      <w:r>
        <w:t xml:space="preserve"> </w:t>
      </w:r>
      <w:r>
        <w:t xml:space="preserve">Combined Lunar (US) + Sonnen (Europe) + Shell’s energy trading capabilities = vertically integrated global residential energy platform</w:t>
      </w:r>
      <w:r>
        <w:t xml:space="preserve"> </w:t>
      </w:r>
      <w:r>
        <w:t xml:space="preserve">-</w:t>
      </w:r>
      <w:r>
        <w:t xml:space="preserve"> </w:t>
      </w:r>
      <w:r>
        <w:rPr>
          <w:b/>
        </w:rPr>
        <w:t xml:space="preserve">Price range:</w:t>
      </w:r>
      <w:r>
        <w:t xml:space="preserve"> </w:t>
      </w:r>
      <w:r>
        <w:t xml:space="preserve">$2–4B (Shell can write this check easily)</w:t>
      </w:r>
      <w:r>
        <w:t xml:space="preserve"> </w:t>
      </w:r>
      <w:r>
        <w:t xml:space="preserve">-</w:t>
      </w:r>
      <w:r>
        <w:t xml:space="preserve"> </w:t>
      </w:r>
      <w:r>
        <w:rPr>
          <w:b/>
        </w:rPr>
        <w:t xml:space="preserve">Deal-breakers:</w:t>
      </w:r>
      <w:r>
        <w:t xml:space="preserve"> </w:t>
      </w:r>
      <w:r>
        <w:t xml:space="preserve">US regulatory review of European oil major acquiring US energy infrastructure; antitrust given Sonnen overlap</w:t>
      </w:r>
      <w:r>
        <w:t xml:space="preserve"> </w:t>
      </w:r>
      <w:r>
        <w:t xml:space="preserve">-</w:t>
      </w:r>
      <w:r>
        <w:t xml:space="preserve"> </w:t>
      </w:r>
      <w:r>
        <w:rPr>
          <w:b/>
        </w:rPr>
        <w:t xml:space="preserve">Probability:</w:t>
      </w:r>
      <w:r>
        <w:t xml:space="preserve"> </w:t>
      </w:r>
      <w:r>
        <w:t xml:space="preserve">15%</w:t>
      </w:r>
      <w:r>
        <w:t xml:space="preserve"> </w:t>
      </w:r>
      <w:r>
        <w:t xml:space="preserve">-</w:t>
      </w:r>
      <w:r>
        <w:t xml:space="preserve"> </w:t>
      </w:r>
      <w:r>
        <w:rPr>
          <w:b/>
        </w:rPr>
        <w:t xml:space="preserve">Timing:</w:t>
      </w:r>
      <w:r>
        <w:t xml:space="preserve"> </w:t>
      </w:r>
      <w:r>
        <w:t xml:space="preserve">2027–2029</w:t>
      </w:r>
    </w:p>
    <w:p>
      <w:pPr>
        <w:pStyle w:val="BodyText"/>
      </w:pPr>
      <w:r>
        <w:rPr>
          <w:b/>
        </w:rPr>
        <w:t xml:space="preserve">3. Schneider Electric — Software + Hardware Integration Play</w:t>
      </w:r>
      <w:r>
        <w:t xml:space="preserve"> </w:t>
      </w:r>
      <w:r>
        <w:t xml:space="preserve">Schneider has been aggressively building its EcoStruxure home energy management platform and has significant exposure to distributed energy. Lunar’s Gridshare VPP software would complement Schneider’s commercial building EMS portfolio.</w:t>
      </w:r>
      <w:r>
        <w:t xml:space="preserve"> </w:t>
      </w:r>
      <w:r>
        <w:t xml:space="preserve">-</w:t>
      </w:r>
      <w:r>
        <w:t xml:space="preserve"> </w:t>
      </w:r>
      <w:r>
        <w:rPr>
          <w:b/>
        </w:rPr>
        <w:t xml:space="preserve">Synergies:</w:t>
      </w:r>
      <w:r>
        <w:t xml:space="preserve"> </w:t>
      </w:r>
      <w:r>
        <w:t xml:space="preserve">Cross-selling into Schneider’s existing commercial real estate customer base; geographic expansion for Gridshare in Europe and Asia Pacific</w:t>
      </w:r>
      <w:r>
        <w:t xml:space="preserve"> </w:t>
      </w:r>
      <w:r>
        <w:t xml:space="preserve">-</w:t>
      </w:r>
      <w:r>
        <w:t xml:space="preserve"> </w:t>
      </w:r>
      <w:r>
        <w:rPr>
          <w:b/>
        </w:rPr>
        <w:t xml:space="preserve">Price range:</w:t>
      </w:r>
      <w:r>
        <w:t xml:space="preserve"> </w:t>
      </w:r>
      <w:r>
        <w:t xml:space="preserve">$1.5–3B</w:t>
      </w:r>
      <w:r>
        <w:t xml:space="preserve"> </w:t>
      </w:r>
      <w:r>
        <w:t xml:space="preserve">-</w:t>
      </w:r>
      <w:r>
        <w:t xml:space="preserve"> </w:t>
      </w:r>
      <w:r>
        <w:rPr>
          <w:b/>
        </w:rPr>
        <w:t xml:space="preserve">Probability:</w:t>
      </w:r>
      <w:r>
        <w:t xml:space="preserve"> </w:t>
      </w:r>
      <w:r>
        <w:t xml:space="preserve">10%</w:t>
      </w:r>
    </w:p>
    <w:p>
      <w:pPr>
        <w:pStyle w:val="BodyText"/>
      </w:pPr>
      <w:r>
        <w:rPr>
          <w:b/>
        </w:rPr>
        <w:t xml:space="preserve">4. Eaton Corporation — Vertical Integration</w:t>
      </w:r>
      <w:r>
        <w:t xml:space="preserve"> </w:t>
      </w:r>
      <w:r>
        <w:t xml:space="preserve">Eaton has an existing partnership with Lunar on integration with Eaton’s residential backup power products. Acquiring Lunar would give Eaton a complete home energy stack (panels → battery → Gridshare → VPP).</w:t>
      </w:r>
      <w:r>
        <w:t xml:space="preserve"> </w:t>
      </w:r>
      <w:r>
        <w:t xml:space="preserve">-</w:t>
      </w:r>
      <w:r>
        <w:t xml:space="preserve"> </w:t>
      </w:r>
      <w:r>
        <w:rPr>
          <w:b/>
        </w:rPr>
        <w:t xml:space="preserve">Synergies:</w:t>
      </w:r>
      <w:r>
        <w:t xml:space="preserve"> </w:t>
      </w:r>
      <w:r>
        <w:t xml:space="preserve">Eaton’s electrical distribution expertise + Lunar’s software = full-stack home energy management</w:t>
      </w:r>
      <w:r>
        <w:t xml:space="preserve"> </w:t>
      </w:r>
      <w:r>
        <w:t xml:space="preserve">-</w:t>
      </w:r>
      <w:r>
        <w:t xml:space="preserve"> </w:t>
      </w:r>
      <w:r>
        <w:rPr>
          <w:b/>
        </w:rPr>
        <w:t xml:space="preserve">Price range:</w:t>
      </w:r>
      <w:r>
        <w:t xml:space="preserve"> </w:t>
      </w:r>
      <w:r>
        <w:t xml:space="preserve">$1.5–2.5B</w:t>
      </w:r>
      <w:r>
        <w:t xml:space="preserve"> </w:t>
      </w:r>
      <w:r>
        <w:t xml:space="preserve">-</w:t>
      </w:r>
      <w:r>
        <w:t xml:space="preserve"> </w:t>
      </w:r>
      <w:r>
        <w:rPr>
          <w:b/>
        </w:rPr>
        <w:t xml:space="preserve">Probability:</w:t>
      </w:r>
      <w:r>
        <w:t xml:space="preserve"> </w:t>
      </w:r>
      <w:r>
        <w:t xml:space="preserve">12%</w:t>
      </w:r>
      <w:r>
        <w:t xml:space="preserve"> </w:t>
      </w:r>
      <w:r>
        <w:t xml:space="preserve">-</w:t>
      </w:r>
      <w:r>
        <w:t xml:space="preserve"> </w:t>
      </w:r>
      <w:r>
        <w:rPr>
          <w:b/>
        </w:rPr>
        <w:t xml:space="preserve">Deal-breakers:</w:t>
      </w:r>
      <w:r>
        <w:t xml:space="preserve"> </w:t>
      </w:r>
      <w:r>
        <w:t xml:space="preserve">Eaton’s acquisition appetite has historically been for mature cash-flowing businesses; a pre-profit Lunar may not fit their financial model</w:t>
      </w:r>
    </w:p>
    <w:p>
      <w:pPr>
        <w:pStyle w:val="BodyText"/>
      </w:pPr>
      <w:r>
        <w:rPr>
          <w:b/>
        </w:rPr>
        <w:t xml:space="preserve">5. SK Group — Vertical Forward Integration</w:t>
      </w:r>
    </w:p>
    <w:p>
      <w:pPr>
        <w:pStyle w:val="BodyText"/>
      </w:pPr>
      <w:r>
        <w:t xml:space="preserve">SK Group is a South Korean conglomerate with expertise in battery technology and manufacturing.</w:t>
      </w:r>
      <w:r>
        <w:t xml:space="preserve"> </w:t>
      </w:r>
      <w:r>
        <w:t xml:space="preserve">SK is already an investor and manufacturing partner. Acquiring the rest would give SK direct access to the US residential market and Gridshare’s international VPP platform.</w:t>
      </w:r>
      <w:r>
        <w:t xml:space="preserve"> </w:t>
      </w:r>
      <w:r>
        <w:t xml:space="preserve">-</w:t>
      </w:r>
      <w:r>
        <w:t xml:space="preserve"> </w:t>
      </w:r>
      <w:r>
        <w:rPr>
          <w:b/>
        </w:rPr>
        <w:t xml:space="preserve">Synergies:</w:t>
      </w:r>
      <w:r>
        <w:t xml:space="preserve"> </w:t>
      </w:r>
      <w:r>
        <w:t xml:space="preserve">SK’s cell manufacturing + Lunar’s system assembly = vertically integrated US battery supply chain; eliminates cell procurement cost (potentially 40–50% of COGS)</w:t>
      </w:r>
      <w:r>
        <w:t xml:space="preserve"> </w:t>
      </w:r>
      <w:r>
        <w:t xml:space="preserve">-</w:t>
      </w:r>
      <w:r>
        <w:t xml:space="preserve"> </w:t>
      </w:r>
      <w:r>
        <w:rPr>
          <w:b/>
        </w:rPr>
        <w:t xml:space="preserve">Price range:</w:t>
      </w:r>
      <w:r>
        <w:t xml:space="preserve"> </w:t>
      </w:r>
      <w:r>
        <w:t xml:space="preserve">$1.5–3B</w:t>
      </w:r>
      <w:r>
        <w:t xml:space="preserve"> </w:t>
      </w:r>
      <w:r>
        <w:t xml:space="preserve">-</w:t>
      </w:r>
      <w:r>
        <w:t xml:space="preserve"> </w:t>
      </w:r>
      <w:r>
        <w:rPr>
          <w:b/>
        </w:rPr>
        <w:t xml:space="preserve">Deal-breakers:</w:t>
      </w:r>
      <w:r>
        <w:t xml:space="preserve"> </w:t>
      </w:r>
      <w:r>
        <w:t xml:space="preserve">CFIUS review of Korean conglomerate acquiring US energy infrastructure and VPP software; national security concerns</w:t>
      </w:r>
      <w:r>
        <w:t xml:space="preserve"> </w:t>
      </w:r>
      <w:r>
        <w:t xml:space="preserve">-</w:t>
      </w:r>
      <w:r>
        <w:t xml:space="preserve"> </w:t>
      </w:r>
      <w:r>
        <w:rPr>
          <w:b/>
        </w:rPr>
        <w:t xml:space="preserve">Probability:</w:t>
      </w:r>
      <w:r>
        <w:t xml:space="preserve"> </w:t>
      </w:r>
      <w:r>
        <w:t xml:space="preserve">20%</w:t>
      </w:r>
    </w:p>
    <w:p>
      <w:pPr>
        <w:pStyle w:val="BodyText"/>
      </w:pPr>
      <w:r>
        <w:rPr>
          <w:b/>
        </w:rPr>
        <w:t xml:space="preserve">6. Samsung/LG — Forward Integration from Cells to Systems</w:t>
      </w:r>
      <w:r>
        <w:t xml:space="preserve"> </w:t>
      </w:r>
      <w:r>
        <w:t xml:space="preserve">Both Samsung SDI and LG Energy Solution are major LFP/NMC cell manufacturers looking to move downstream into system integration and software to capture higher-margin revenue.</w:t>
      </w:r>
      <w:r>
        <w:t xml:space="preserve"> </w:t>
      </w:r>
      <w:r>
        <w:t xml:space="preserve">-</w:t>
      </w:r>
      <w:r>
        <w:t xml:space="preserve"> </w:t>
      </w:r>
      <w:r>
        <w:rPr>
          <w:b/>
        </w:rPr>
        <w:t xml:space="preserve">Price range:</w:t>
      </w:r>
      <w:r>
        <w:t xml:space="preserve"> </w:t>
      </w:r>
      <w:r>
        <w:t xml:space="preserve">$1.5–2.5B</w:t>
      </w:r>
      <w:r>
        <w:t xml:space="preserve"> </w:t>
      </w:r>
      <w:r>
        <w:t xml:space="preserve">-</w:t>
      </w:r>
      <w:r>
        <w:t xml:space="preserve"> </w:t>
      </w:r>
      <w:r>
        <w:rPr>
          <w:b/>
        </w:rPr>
        <w:t xml:space="preserve">Deal-breakers:</w:t>
      </w:r>
      <w:r>
        <w:t xml:space="preserve"> </w:t>
      </w:r>
      <w:r>
        <w:t xml:space="preserve">CFIUS risk (Korean companies with Chinese manufacturing); competition with existing OEM customers</w:t>
      </w:r>
      <w:r>
        <w:t xml:space="preserve"> </w:t>
      </w:r>
      <w:r>
        <w:t xml:space="preserve">-</w:t>
      </w:r>
      <w:r>
        <w:t xml:space="preserve"> </w:t>
      </w:r>
      <w:r>
        <w:rPr>
          <w:b/>
        </w:rPr>
        <w:t xml:space="preserve">Probability:</w:t>
      </w:r>
      <w:r>
        <w:t xml:space="preserve"> </w:t>
      </w:r>
      <w:r>
        <w:t xml:space="preserve">8%</w:t>
      </w:r>
    </w:p>
    <w:p>
      <w:pPr>
        <w:pStyle w:val="BodyText"/>
      </w:pPr>
      <w:r>
        <w:rPr>
          <w:b/>
        </w:rPr>
        <w:t xml:space="preserve">7. Utility Acquirers (NextEra, SCE, NRG)</w:t>
      </w:r>
    </w:p>
    <w:p>
      <w:pPr>
        <w:pStyle w:val="BodyText"/>
      </w:pPr>
      <w:r>
        <w:t xml:space="preserve">In Q4 2025, Sunrun announced a partnership with NRG, pairing Sunrun’s storage and solar with optimized rate plans through NRG’s retail electric provider.</w:t>
      </w:r>
      <w:r>
        <w:t xml:space="preserve"> </w:t>
      </w:r>
      <w:r>
        <w:t xml:space="preserve">Utilities are seeking to own the DER aggregation layer, not just dispatch it.</w:t>
      </w:r>
      <w:r>
        <w:t xml:space="preserve"> </w:t>
      </w:r>
      <w:r>
        <w:t xml:space="preserve">-</w:t>
      </w:r>
      <w:r>
        <w:t xml:space="preserve"> </w:t>
      </w:r>
      <w:r>
        <w:rPr>
          <w:b/>
        </w:rPr>
        <w:t xml:space="preserve">Synergies:</w:t>
      </w:r>
      <w:r>
        <w:t xml:space="preserve"> </w:t>
      </w:r>
      <w:r>
        <w:t xml:space="preserve">VPP software acquisition allows utilities to control distributed resources without Lunar’s intermediation</w:t>
      </w:r>
      <w:r>
        <w:t xml:space="preserve"> </w:t>
      </w:r>
      <w:r>
        <w:t xml:space="preserve">-</w:t>
      </w:r>
      <w:r>
        <w:t xml:space="preserve"> </w:t>
      </w:r>
      <w:r>
        <w:rPr>
          <w:b/>
        </w:rPr>
        <w:t xml:space="preserve">Price range:</w:t>
      </w:r>
      <w:r>
        <w:t xml:space="preserve"> </w:t>
      </w:r>
      <w:r>
        <w:t xml:space="preserve">$800M–$1.5B (utilities apply regulated utility discount rates to software; lower multiples)</w:t>
      </w:r>
      <w:r>
        <w:t xml:space="preserve"> </w:t>
      </w:r>
      <w:r>
        <w:t xml:space="preserve">-</w:t>
      </w:r>
      <w:r>
        <w:t xml:space="preserve"> </w:t>
      </w:r>
      <w:r>
        <w:rPr>
          <w:b/>
        </w:rPr>
        <w:t xml:space="preserve">Deal-breakers:</w:t>
      </w:r>
      <w:r>
        <w:t xml:space="preserve"> </w:t>
      </w:r>
      <w:r>
        <w:t xml:space="preserve">Utilities typically overpay for tech and then fail to integrate; regulatory approval timelines; Sunrun board chair would likely block a utility acquisition of Lunar’s hardware</w:t>
      </w:r>
    </w:p>
    <w:p>
      <w:pPr>
        <w:pStyle w:val="BodyText"/>
      </w:pPr>
      <w:r>
        <w:rPr>
          <w:b/>
        </w:rPr>
        <w:t xml:space="preserve">8. Private Equity (KKR, Brookfield, Blackstone)</w:t>
      </w:r>
      <w:r>
        <w:t xml:space="preserve"> </w:t>
      </w:r>
      <w:r>
        <w:t xml:space="preserve">The VPP fleet—if treated as contracted infrastructure—could be attractive to infrastructure-focused PE.</w:t>
      </w:r>
      <w:r>
        <w:t xml:space="preserve"> </w:t>
      </w:r>
      <w:r>
        <w:t xml:space="preserve">-</w:t>
      </w:r>
      <w:r>
        <w:t xml:space="preserve"> </w:t>
      </w:r>
      <w:r>
        <w:rPr>
          <w:b/>
        </w:rPr>
        <w:t xml:space="preserve">Thesis:</w:t>
      </w:r>
      <w:r>
        <w:t xml:space="preserve"> </w:t>
      </w:r>
      <w:r>
        <w:t xml:space="preserve">Securitize the VPP revenue stream; extract software margins; eventually IPO or sell to a strategic</w:t>
      </w:r>
      <w:r>
        <w:t xml:space="preserve"> </w:t>
      </w:r>
      <w:r>
        <w:t xml:space="preserve">-</w:t>
      </w:r>
      <w:r>
        <w:t xml:space="preserve"> </w:t>
      </w:r>
      <w:r>
        <w:rPr>
          <w:b/>
        </w:rPr>
        <w:t xml:space="preserve">Price range:</w:t>
      </w:r>
      <w:r>
        <w:t xml:space="preserve"> </w:t>
      </w:r>
      <w:r>
        <w:t xml:space="preserve">$700M–$1.2B (PE applies infrastructure discount; not a strategic premium)</w:t>
      </w:r>
      <w:r>
        <w:t xml:space="preserve"> </w:t>
      </w:r>
      <w:r>
        <w:t xml:space="preserve">-</w:t>
      </w:r>
      <w:r>
        <w:t xml:space="preserve"> </w:t>
      </w:r>
      <w:r>
        <w:rPr>
          <w:b/>
        </w:rPr>
        <w:t xml:space="preserve">Deal-breakers:</w:t>
      </w:r>
      <w:r>
        <w:t xml:space="preserve"> </w:t>
      </w:r>
      <w:r>
        <w:t xml:space="preserve">Series C/D investors would resist a PE exit at their implied entry valuation; founders unlikely to accept a PE buyout at this stage</w:t>
      </w:r>
    </w:p>
    <w:p>
      <w:r>
        <w:pict>
          <v:rect style="width:0;height:1.5pt" o:hralign="center" o:hrstd="t" o:hr="t"/>
        </w:pict>
      </w:r>
    </w:p>
    <w:p>
      <w:pPr>
        <w:pStyle w:val="Heading3"/>
      </w:pPr>
      <w:bookmarkStart w:id="62" w:name="X035f53ee1ec2ac4bc41d183e41f0a160611319a"/>
      <w:r>
        <w:t xml:space="preserve">C) Partial Divestiture — Gridshare as Standalone Asset</w:t>
      </w:r>
      <w:bookmarkEnd w:id="62"/>
    </w:p>
    <w:p>
      <w:pPr>
        <w:pStyle w:val="Heading4"/>
      </w:pPr>
      <w:bookmarkStart w:id="63" w:name="gridshare-value-analysis"/>
      <w:r>
        <w:t xml:space="preserve">Gridshare Value Analysis</w:t>
      </w:r>
      <w:bookmarkEnd w:id="63"/>
    </w:p>
    <w:p>
      <w:pPr>
        <w:pStyle w:val="FirstParagraph"/>
      </w:pPr>
      <w:r>
        <w:t xml:space="preserve">Lunar Energy’s latest investment was in GridShare Japan as part of a Corporate Minority on November 28, 2025.</w:t>
      </w:r>
    </w:p>
    <w:p>
      <w:pPr>
        <w:pStyle w:val="BodyText"/>
      </w:pPr>
      <w:r>
        <w:t xml:space="preserve">Lunar Energy is deepening its commitment to Japan’s clean energy future by supporting a new phase of growth for Gridshare Japan.</w:t>
      </w:r>
      <w:r>
        <w:t xml:space="preserve"> </w:t>
      </w:r>
      <w:r>
        <w:t xml:space="preserve">This minority investment structure—rather than full consolidation—is</w:t>
      </w:r>
      <w:r>
        <w:t xml:space="preserve"> </w:t>
      </w:r>
      <w:r>
        <w:rPr>
          <w:b/>
        </w:rPr>
        <w:t xml:space="preserve">a significant signal</w:t>
      </w:r>
      <w:r>
        <w:t xml:space="preserve"> </w:t>
      </w:r>
      <w:r>
        <w:t xml:space="preserve">that Lunar may be deliberately structuring Gridshare Japan as a separable entity.</w:t>
      </w:r>
    </w:p>
    <w:p>
      <w:pPr>
        <w:pStyle w:val="BodyText"/>
      </w:pPr>
      <w:r>
        <w:rPr>
          <w:b/>
        </w:rPr>
        <w:t xml:space="preserve">Gridshare standalone valuation model:</w:t>
      </w:r>
    </w:p>
    <w:p>
      <w:pPr>
        <w:pStyle w:val="BodyText"/>
      </w:pPr>
      <w:r>
        <w:t xml:space="preserve">The company claims to manage 650MW of devices globally, with one program dispatching over 500 MW of power—enough to power half of San Francisco during peak demand.</w:t>
      </w:r>
    </w:p>
    <w:p>
      <w:pPr>
        <w:pStyle w:val="BodyText"/>
      </w:pPr>
      <w:r>
        <w:t xml:space="preserve">The VPP software controls close to 150,000 devices in homes.</w:t>
      </w:r>
    </w:p>
    <w:p>
      <w:pPr>
        <w:numPr>
          <w:ilvl w:val="0"/>
          <w:numId w:val="1003"/>
        </w:numPr>
        <w:pStyle w:val="Compact"/>
      </w:pPr>
      <w:r>
        <w:rPr>
          <w:b/>
        </w:rPr>
        <w:t xml:space="preserve">Revenue from VPP software licensing/revenue share:</w:t>
      </w:r>
      <w:r>
        <w:t xml:space="preserve"> </w:t>
      </w:r>
      <w:r>
        <w:t xml:space="preserve">~$14M annually (at $93/device/year take rate)</w:t>
      </w:r>
    </w:p>
    <w:p>
      <w:pPr>
        <w:numPr>
          <w:ilvl w:val="0"/>
          <w:numId w:val="1003"/>
        </w:numPr>
        <w:pStyle w:val="Compact"/>
      </w:pPr>
      <w:r>
        <w:rPr>
          <w:b/>
        </w:rPr>
        <w:t xml:space="preserve">Customer relationships:</w:t>
      </w:r>
      <w:r>
        <w:t xml:space="preserve"> </w:t>
      </w:r>
      <w:r>
        <w:t xml:space="preserve">Sunrun (US), ITOCHU (Japan), European utilities, California CCAs</w:t>
      </w:r>
    </w:p>
    <w:p>
      <w:pPr>
        <w:numPr>
          <w:ilvl w:val="0"/>
          <w:numId w:val="1003"/>
        </w:numPr>
        <w:pStyle w:val="Compact"/>
      </w:pPr>
      <w:r>
        <w:rPr>
          <w:b/>
        </w:rPr>
        <w:t xml:space="preserve">Comparable:</w:t>
      </w:r>
      <w:r>
        <w:t xml:space="preserve"> </w:t>
      </w:r>
      <w:r>
        <w:t xml:space="preserve">Autogrid (VPP software) was acquired by Enel for ~$50–100M on ~$10M ARR (5–10x ARR). OhmConnect (residential VPP) raised at $800M+. AutoGrid’s $100M acquisition at similar ARR suggests</w:t>
      </w:r>
      <w:r>
        <w:t xml:space="preserve"> </w:t>
      </w:r>
      <w:r>
        <w:rPr>
          <w:b/>
        </w:rPr>
        <w:t xml:space="preserve">Gridshare standalone is worth $50–150M today</w:t>
      </w:r>
      <w:r>
        <w:t xml:space="preserve">, scaling to $300–500M at 300,000+ devices under management.</w:t>
      </w:r>
    </w:p>
    <w:p>
      <w:pPr>
        <w:pStyle w:val="FirstParagraph"/>
      </w:pPr>
      <w:r>
        <w:rPr>
          <w:b/>
        </w:rPr>
        <w:t xml:space="preserve">Should Gridshare be separated?</w:t>
      </w:r>
      <w:r>
        <w:t xml:space="preserve"> </w:t>
      </w:r>
      <w:r>
        <w:t xml:space="preserve">-</w:t>
      </w:r>
      <w:r>
        <w:t xml:space="preserve"> </w:t>
      </w:r>
      <w:r>
        <w:rPr>
          <w:b/>
        </w:rPr>
        <w:t xml:space="preserve">Arguments for separation:</w:t>
      </w:r>
      <w:r>
        <w:t xml:space="preserve"> </w:t>
      </w:r>
      <w:r>
        <w:t xml:space="preserve">Unlocks software-style valuation multiples; creates separate currency (Gridshare equity) for international JV structures; reduces hardware volatility for software investors</w:t>
      </w:r>
      <w:r>
        <w:t xml:space="preserve"> </w:t>
      </w:r>
      <w:r>
        <w:t xml:space="preserve">-</w:t>
      </w:r>
      <w:r>
        <w:t xml:space="preserve"> </w:t>
      </w:r>
      <w:r>
        <w:rPr>
          <w:b/>
        </w:rPr>
        <w:t xml:space="preserve">Arguments against:</w:t>
      </w:r>
      <w:r>
        <w:t xml:space="preserve"> </w:t>
      </w:r>
      <w:r>
        <w:t xml:space="preserve">Destroys the integrated hardware+software value proposition that differentiates Lunar from Sonnen, Tesla, Enphase; removes the primary competitive moat; the Gridshare platform’s value depends heavily on Lunar hardware deployments creating proprietary data</w:t>
      </w:r>
    </w:p>
    <w:p>
      <w:pPr>
        <w:pStyle w:val="BodyText"/>
      </w:pPr>
      <w:r>
        <w:rPr>
          <w:b/>
        </w:rPr>
        <w:t xml:space="preserve">Verdict:</w:t>
      </w:r>
      <w:r>
        <w:t xml:space="preserve"> </w:t>
      </w:r>
      <w:r>
        <w:t xml:space="preserve">Do NOT separate Gridshare from Lunar hardware. The integrated model is the value. Gridshare Japan minority investment may simply be a structure to facilitate ITOCHU’s ongoing participation in VPP programs under Japanese regulatory frameworks, not a spin-off signal.</w:t>
      </w:r>
    </w:p>
    <w:p>
      <w:r>
        <w:pict>
          <v:rect style="width:0;height:1.5pt" o:hralign="center" o:hrstd="t" o:hr="t"/>
        </w:pict>
      </w:r>
    </w:p>
    <w:p>
      <w:pPr>
        <w:pStyle w:val="Heading3"/>
      </w:pPr>
      <w:bookmarkStart w:id="64" w:name="d-distressed-scenarios"/>
      <w:r>
        <w:t xml:space="preserve">D) Distressed Scenarios</w:t>
      </w:r>
      <w:bookmarkEnd w:id="64"/>
    </w:p>
    <w:p>
      <w:pPr>
        <w:pStyle w:val="Heading4"/>
      </w:pPr>
      <w:bookmarkStart w:id="65" w:name="cash-exhaustion-path"/>
      <w:r>
        <w:t xml:space="preserve">Cash Exhaustion Path</w:t>
      </w:r>
      <w:bookmarkEnd w:id="65"/>
    </w:p>
    <w:p>
      <w:pPr>
        <w:pStyle w:val="FirstParagraph"/>
      </w:pPr>
      <w:r>
        <w:rPr>
          <w:b/>
        </w:rPr>
        <w:t xml:space="preserve">Scenario:</w:t>
      </w:r>
      <w:r>
        <w:t xml:space="preserve"> </w:t>
      </w:r>
      <w:r>
        <w:t xml:space="preserve">Manufacturing scale-up costs 50% more than budgeted, revenue ramp lags by 2 quarters, and IRA rollbacks reduce third-party owner demand.</w:t>
      </w:r>
    </w:p>
    <w:p>
      <w:pPr>
        <w:pStyle w:val="BodyText"/>
      </w:pPr>
      <w:r>
        <w:t xml:space="preserve">Under this scenario:</w:t>
      </w:r>
      <w:r>
        <w:t xml:space="preserve"> </w:t>
      </w:r>
      <w:r>
        <w:t xml:space="preserve">- Q4 2026: Cash falls below $30M</w:t>
      </w:r>
      <w:r>
        <w:t xml:space="preserve"> </w:t>
      </w:r>
      <w:r>
        <w:t xml:space="preserve">- Q1 2027: Emergency bridge loan required; likely $20–50M at punitive terms</w:t>
      </w:r>
      <w:r>
        <w:t xml:space="preserve"> </w:t>
      </w:r>
      <w:r>
        <w:t xml:space="preserve">- Potential down round at $600–700M post-money (vs. $800M–$1.2B Series D implied)</w:t>
      </w:r>
    </w:p>
    <w:p>
      <w:pPr>
        <w:pStyle w:val="BodyText"/>
      </w:pPr>
      <w:r>
        <w:rPr>
          <w:b/>
        </w:rPr>
        <w:t xml:space="preserve">Down round consequences:</w:t>
      </w:r>
      <w:r>
        <w:t xml:space="preserve"> </w:t>
      </w:r>
      <w:r>
        <w:t xml:space="preserve">- Full ratchet anti-dilution (if present) devastates common stock further</w:t>
      </w:r>
      <w:r>
        <w:t xml:space="preserve"> </w:t>
      </w:r>
      <w:r>
        <w:t xml:space="preserve">- Employee option repricing creates accounting complications</w:t>
      </w:r>
      <w:r>
        <w:t xml:space="preserve"> </w:t>
      </w:r>
      <w:r>
        <w:t xml:space="preserve">- Competitive signaling damages installer and utility partnership confidence</w:t>
      </w:r>
      <w:r>
        <w:t xml:space="preserve"> </w:t>
      </w:r>
      <w:r>
        <w:t xml:space="preserve">- Sunrun’s strategic position strengthens relative to Lunar’s negotiating leverage</w:t>
      </w:r>
    </w:p>
    <w:p>
      <w:pPr>
        <w:pStyle w:val="BodyText"/>
      </w:pPr>
      <w:r>
        <w:rPr>
          <w:b/>
        </w:rPr>
        <w:t xml:space="preserve">Fire sale valuation:</w:t>
      </w:r>
      <w:r>
        <w:t xml:space="preserve"> </w:t>
      </w:r>
      <w:r>
        <w:t xml:space="preserve">- Manufacturing equipment (Georgia + Washington): $30–60M</w:t>
      </w:r>
      <w:r>
        <w:t xml:space="preserve"> </w:t>
      </w:r>
      <w:r>
        <w:t xml:space="preserve">- IP portfolio (10+ years of Moixa VPP algorithms + Lunar patents): $50–100M</w:t>
      </w:r>
      <w:r>
        <w:t xml:space="preserve"> </w:t>
      </w:r>
      <w:r>
        <w:t xml:space="preserve">- Customer contracts (150K device relationships, Sunrun distribution agreement): $75–150M</w:t>
      </w:r>
      <w:r>
        <w:t xml:space="preserve"> </w:t>
      </w:r>
      <w:r>
        <w:t xml:space="preserve">- Engineering talent: $0 (acqui-hire premium negligible at scale)</w:t>
      </w:r>
      <w:r>
        <w:t xml:space="preserve"> </w:t>
      </w:r>
      <w:r>
        <w:t xml:space="preserve">-</w:t>
      </w:r>
      <w:r>
        <w:t xml:space="preserve"> </w:t>
      </w:r>
      <w:r>
        <w:rPr>
          <w:b/>
        </w:rPr>
        <w:t xml:space="preserve">Fire sale range: $155–310M</w:t>
      </w:r>
      <w:r>
        <w:t xml:space="preserve"> </w:t>
      </w:r>
      <w:r>
        <w:t xml:space="preserve">— below the $532M liquidation preference, wiping out all common equity and creating losses for early preferred holders</w:t>
      </w:r>
    </w:p>
    <w:p>
      <w:pPr>
        <w:pStyle w:val="BodyText"/>
      </w:pPr>
      <w:r>
        <w:rPr>
          <w:b/>
        </w:rPr>
        <w:t xml:space="preserve">Sunrun opportunistic acquisition at discount:</w:t>
      </w:r>
      <w:r>
        <w:t xml:space="preserve"> </w:t>
      </w:r>
      <w:r>
        <w:t xml:space="preserve">- With board chair position, information rights, and ROFR on any sale, Sunrun is uniquely positioned to acquire Lunar in a distressed scenario at $400–600M (below the liquidation preference)</w:t>
      </w:r>
      <w:r>
        <w:t xml:space="preserve"> </w:t>
      </w:r>
      <w:r>
        <w:t xml:space="preserve">- This would likely require a</w:t>
      </w:r>
      <w:r>
        <w:t xml:space="preserve"> </w:t>
      </w:r>
      <w:r>
        <w:rPr>
          <w:b/>
        </w:rPr>
        <w:t xml:space="preserve">drag-along</w:t>
      </w:r>
      <w:r>
        <w:t xml:space="preserve"> </w:t>
      </w:r>
      <w:r>
        <w:t xml:space="preserve">of other preferred holders and could face shareholder litigation if the price is below the Series C/D implied valuations</w:t>
      </w:r>
      <w:r>
        <w:t xml:space="preserve"> </w:t>
      </w:r>
      <w:r>
        <w:t xml:space="preserve">-</w:t>
      </w:r>
      <w:r>
        <w:t xml:space="preserve"> </w:t>
      </w:r>
      <w:r>
        <w:rPr>
          <w:b/>
        </w:rPr>
        <w:t xml:space="preserve">Probability under distress scenario: 40%</w:t>
      </w:r>
    </w:p>
    <w:p>
      <w:r>
        <w:pict>
          <v:rect style="width:0;height:1.5pt" o:hralign="center" o:hrstd="t" o:hr="t"/>
        </w:pict>
      </w:r>
    </w:p>
    <w:p>
      <w:pPr>
        <w:pStyle w:val="Heading2"/>
      </w:pPr>
      <w:bookmarkStart w:id="66" w:name="section-4-creative-financial-strategies"/>
      <w:r>
        <w:t xml:space="preserve">SECTION 4: CREATIVE FINANCIAL STRATEGIES</w:t>
      </w:r>
      <w:bookmarkEnd w:id="66"/>
    </w:p>
    <w:p>
      <w:pPr>
        <w:pStyle w:val="Heading3"/>
      </w:pPr>
      <w:bookmarkStart w:id="67" w:name="X0e5c5b851c23494a77378fe2b2a39f9e075c439"/>
      <w:r>
        <w:t xml:space="preserve">A) VPP Fleet Project Finance / Securitization</w:t>
      </w:r>
      <w:bookmarkEnd w:id="67"/>
    </w:p>
    <w:p>
      <w:pPr>
        <w:pStyle w:val="FirstParagraph"/>
      </w:pPr>
      <w:r>
        <w:rPr>
          <w:b/>
        </w:rPr>
        <w:t xml:space="preserve">The math:</w:t>
      </w:r>
      <w:r>
        <w:t xml:space="preserve"> </w:t>
      </w:r>
      <w:r>
        <w:t xml:space="preserve">The company says Lunar System customers earned an average of $464 last year by participating in VPP programs.</w:t>
      </w:r>
      <w:r>
        <w:t xml:space="preserve"> </w:t>
      </w:r>
      <w:r>
        <w:t xml:space="preserve">If Lunar captures 20% of this ($93/device/year) from 150,000 devices, annual VPP revenue = ~$14M. At 300,000 devices (2028), this grows to ~$28M/year.</w:t>
      </w:r>
    </w:p>
    <w:p>
      <w:pPr>
        <w:pStyle w:val="BodyText"/>
      </w:pPr>
      <w:r>
        <w:rPr>
          <w:b/>
        </w:rPr>
        <w:t xml:space="preserve">Securitization structure:</w:t>
      </w:r>
      <w:r>
        <w:t xml:space="preserve"> </w:t>
      </w:r>
      <w:r>
        <w:t xml:space="preserve">- Pool the contracted VPP revenue streams (similar to how solar companies securitize PPA revenue)</w:t>
      </w:r>
      <w:r>
        <w:t xml:space="preserve"> </w:t>
      </w:r>
      <w:r>
        <w:t xml:space="preserve">- Underlying security: Contractual dispatch obligations with utilities/CCAs + performance history</w:t>
      </w:r>
      <w:r>
        <w:t xml:space="preserve"> </w:t>
      </w:r>
      <w:r>
        <w:t xml:space="preserve">- Expected rating: BBB–/BB+ (given performance track record but limited history)</w:t>
      </w:r>
      <w:r>
        <w:t xml:space="preserve"> </w:t>
      </w:r>
      <w:r>
        <w:t xml:space="preserve">- Achievable leverage: 5–8x the annual cash flow</w:t>
      </w:r>
      <w:r>
        <w:t xml:space="preserve"> </w:t>
      </w:r>
      <w:r>
        <w:t xml:space="preserve">-</w:t>
      </w:r>
      <w:r>
        <w:t xml:space="preserve"> </w:t>
      </w:r>
      <w:r>
        <w:rPr>
          <w:b/>
        </w:rPr>
        <w:t xml:space="preserve">Financing capacity at 300K devices:</w:t>
      </w:r>
      <w:r>
        <w:t xml:space="preserve"> </w:t>
      </w:r>
      <w:r>
        <w:t xml:space="preserve">$140–224M at 5–8x $28M ARR</w:t>
      </w:r>
    </w:p>
    <w:p>
      <w:pPr>
        <w:pStyle w:val="BodyText"/>
      </w:pPr>
      <w:r>
        <w:rPr>
          <w:b/>
        </w:rPr>
        <w:t xml:space="preserve">Precedents:</w:t>
      </w:r>
      <w:r>
        <w:t xml:space="preserve"> </w:t>
      </w:r>
      <w:r>
        <w:t xml:space="preserve">SolarCity securitized solar leases starting 2013, raising hundreds of millions at 4.5–5.5% rates. VPP revenue streams are arguably more predictable than solar leases (dispatch events are utility-directed, not weather-dependent).</w:t>
      </w:r>
      <w:r>
        <w:t xml:space="preserve"> </w:t>
      </w:r>
      <w:r>
        <w:rPr>
          <w:b/>
        </w:rPr>
        <w:t xml:space="preserve">This is a highly viable strategy for 2028+ as the fleet scales.</w:t>
      </w:r>
    </w:p>
    <w:p>
      <w:pPr>
        <w:pStyle w:val="Heading3"/>
      </w:pPr>
      <w:bookmarkStart w:id="68" w:name="Xdee1f402a37153e7ef294de9fed23ff20bf6b2f"/>
      <w:r>
        <w:t xml:space="preserve">B) Manufacturing Equipment Finance (Sale-Leaseback)</w:t>
      </w:r>
      <w:bookmarkEnd w:id="68"/>
    </w:p>
    <w:p>
      <w:pPr>
        <w:pStyle w:val="FirstParagraph"/>
      </w:pPr>
      <w:r>
        <w:t xml:space="preserve">Lunar’s Georgia and Washington assembly facilities likely contain $20–50M in specialized equipment. A sale-leaseback with a specialty finance firm (e.g., Gordon Brothers, Hilco) would:</w:t>
      </w:r>
      <w:r>
        <w:t xml:space="preserve"> </w:t>
      </w:r>
      <w:r>
        <w:t xml:space="preserve">- Generate $15–40M in cash immediately</w:t>
      </w:r>
      <w:r>
        <w:t xml:space="preserve"> </w:t>
      </w:r>
      <w:r>
        <w:t xml:space="preserve">- Create a fixed operating lease (~$2–4M/year)</w:t>
      </w:r>
      <w:r>
        <w:t xml:space="preserve"> </w:t>
      </w:r>
      <w:r>
        <w:t xml:space="preserve">- Keep equipment in service; no operational disruption</w:t>
      </w:r>
      <w:r>
        <w:t xml:space="preserve"> </w:t>
      </w:r>
      <w:r>
        <w:t xml:space="preserve">-</w:t>
      </w:r>
      <w:r>
        <w:t xml:space="preserve"> </w:t>
      </w:r>
      <w:r>
        <w:rPr>
          <w:b/>
        </w:rPr>
        <w:t xml:space="preserve">Net present value of cash proceeds vs. lease cost: positive if Lunar’s WACC exceeds the lease rate</w:t>
      </w:r>
    </w:p>
    <w:p>
      <w:pPr>
        <w:pStyle w:val="BodyText"/>
      </w:pPr>
      <w:r>
        <w:rPr>
          <w:b/>
        </w:rPr>
        <w:t xml:space="preserve">Recommendation:</w:t>
      </w:r>
      <w:r>
        <w:t xml:space="preserve"> </w:t>
      </w:r>
      <w:r>
        <w:t xml:space="preserve">Execute $20–30M sale-leaseback in H2 2026 to extend runway.</w:t>
      </w:r>
    </w:p>
    <w:p>
      <w:pPr>
        <w:pStyle w:val="Heading3"/>
      </w:pPr>
      <w:bookmarkStart w:id="69" w:name="X1c255ac23eddc35f0ac8e88bc86dc26c0e4f497"/>
      <w:r>
        <w:t xml:space="preserve">C) Strategic Partnerships for Capital Efficiency</w:t>
      </w:r>
      <w:bookmarkEnd w:id="69"/>
    </w:p>
    <w:p>
      <w:pPr>
        <w:pStyle w:val="FirstParagraph"/>
      </w:pPr>
      <w:r>
        <w:rPr>
          <w:b/>
        </w:rPr>
        <w:t xml:space="preserve">Gridshare SaaS Licensing (Non-Hardware Revenue):</w:t>
      </w:r>
    </w:p>
    <w:p>
      <w:pPr>
        <w:pStyle w:val="BodyText"/>
      </w:pPr>
      <w:r>
        <w:t xml:space="preserve">Sunrun leverages Lunar’s Gridshare platform for its distributed power plants across a dozen markets. Lunar Gridshare is also used by California Community Choice Aggregators, and utilities and energy retailers in Europe and Asia similarly work with Lunar.</w:t>
      </w:r>
    </w:p>
    <w:p>
      <w:pPr>
        <w:pStyle w:val="BodyText"/>
      </w:pPr>
      <w:r>
        <w:t xml:space="preserve">Lunar could license Gridshare non-exclusively to:</w:t>
      </w:r>
      <w:r>
        <w:t xml:space="preserve"> </w:t>
      </w:r>
      <w:r>
        <w:t xml:space="preserve">- FranklinWH, Generac, Sonnen battery manufacturers (non-FEOC competitors)</w:t>
      </w:r>
      <w:r>
        <w:t xml:space="preserve"> </w:t>
      </w:r>
      <w:r>
        <w:t xml:space="preserve">- European utilities managing heterogeneous device fleets</w:t>
      </w:r>
      <w:r>
        <w:t xml:space="preserve"> </w:t>
      </w:r>
      <w:r>
        <w:t xml:space="preserve">- Estimated market: 10 licensees × $2–5M/year = $20–50M in high-margin SaaS ARR</w:t>
      </w:r>
    </w:p>
    <w:p>
      <w:pPr>
        <w:pStyle w:val="BodyText"/>
      </w:pPr>
      <w:r>
        <w:rPr>
          <w:b/>
        </w:rPr>
        <w:t xml:space="preserve">Risk:</w:t>
      </w:r>
      <w:r>
        <w:t xml:space="preserve"> </w:t>
      </w:r>
      <w:r>
        <w:t xml:space="preserve">Reduces competitive differentiation of Gridshare for Lunar hardware; creates channel conflict with Sunrun.</w:t>
      </w:r>
      <w:r>
        <w:t xml:space="preserve"> </w:t>
      </w:r>
      <w:r>
        <w:rPr>
          <w:b/>
        </w:rPr>
        <w:t xml:space="preserve">Verdict:</w:t>
      </w:r>
      <w:r>
        <w:t xml:space="preserve"> </w:t>
      </w:r>
      <w:r>
        <w:t xml:space="preserve">Only pursue for non-competing geographies (EU, Japan) where Lunar hardware is not being sold.</w:t>
      </w:r>
    </w:p>
    <w:p>
      <w:pPr>
        <w:pStyle w:val="BodyText"/>
      </w:pPr>
      <w:r>
        <w:rPr>
          <w:b/>
        </w:rPr>
        <w:t xml:space="preserve">SK Group Manufacturing JV:</w:t>
      </w:r>
    </w:p>
    <w:p>
      <w:pPr>
        <w:pStyle w:val="BodyText"/>
      </w:pPr>
      <w:r>
        <w:t xml:space="preserve">SK Group’s involvement as a strategic investor provides Lunar with access to advanced battery technology and manufacturing capabilities, helping scale production.</w:t>
      </w:r>
      <w:r>
        <w:t xml:space="preserve"> </w:t>
      </w:r>
      <w:r>
        <w:t xml:space="preserve">A formal JV—where SK invests capex in exchange for manufacturing economics—would:</w:t>
      </w:r>
      <w:r>
        <w:t xml:space="preserve"> </w:t>
      </w:r>
      <w:r>
        <w:t xml:space="preserve">- Reduce Lunar’s capex burden by $50–100M</w:t>
      </w:r>
      <w:r>
        <w:t xml:space="preserve"> </w:t>
      </w:r>
      <w:r>
        <w:t xml:space="preserve">- Accelerate the 100K unit target by 12–18 months</w:t>
      </w:r>
      <w:r>
        <w:t xml:space="preserve"> </w:t>
      </w:r>
      <w:r>
        <w:t xml:space="preserve">- Create a FEOC-clean supply chain with SK’s LFP cell expertise</w:t>
      </w:r>
      <w:r>
        <w:t xml:space="preserve"> </w:t>
      </w:r>
      <w:r>
        <w:t xml:space="preserve">-</w:t>
      </w:r>
      <w:r>
        <w:t xml:space="preserve"> </w:t>
      </w:r>
      <w:r>
        <w:rPr>
          <w:b/>
        </w:rPr>
        <w:t xml:space="preserve">Risk:</w:t>
      </w:r>
      <w:r>
        <w:t xml:space="preserve"> </w:t>
      </w:r>
      <w:r>
        <w:t xml:space="preserve">Further entangles SK in Lunar’s governance; creates complication in any future M&amp;A</w:t>
      </w:r>
    </w:p>
    <w:p>
      <w:pPr>
        <w:pStyle w:val="BodyText"/>
      </w:pPr>
      <w:r>
        <w:rPr>
          <w:b/>
        </w:rPr>
        <w:t xml:space="preserve">White-Label Hardware for Utilities:</w:t>
      </w:r>
      <w:r>
        <w:t xml:space="preserve"> </w:t>
      </w:r>
      <w:r>
        <w:t xml:space="preserve">Several large utilities (NextEra, Dominion, Eversource) are actively building</w:t>
      </w:r>
      <w:r>
        <w:t xml:space="preserve"> </w:t>
      </w:r>
      <w:r>
        <w:t xml:space="preserve">“</w:t>
      </w:r>
      <w:r>
        <w:t xml:space="preserve">utility-owned DER</w:t>
      </w:r>
      <w:r>
        <w:t xml:space="preserve">”</w:t>
      </w:r>
      <w:r>
        <w:t xml:space="preserve"> </w:t>
      </w:r>
      <w:r>
        <w:t xml:space="preserve">programs. Lunar could white-label its system for utility-branded battery programs, providing:</w:t>
      </w:r>
      <w:r>
        <w:t xml:space="preserve"> </w:t>
      </w:r>
      <w:r>
        <w:t xml:space="preserve">- Large volume commitments (1,000–10,000 units/year per utility partner)</w:t>
      </w:r>
      <w:r>
        <w:t xml:space="preserve"> </w:t>
      </w:r>
      <w:r>
        <w:t xml:space="preserve">- Off-balance-sheet financing (utilities own the systems)</w:t>
      </w:r>
      <w:r>
        <w:t xml:space="preserve"> </w:t>
      </w:r>
      <w:r>
        <w:t xml:space="preserve">- VPP dispatch relationships embedded in the utility contract</w:t>
      </w:r>
      <w:r>
        <w:t xml:space="preserve"> </w:t>
      </w:r>
      <w:r>
        <w:t xml:space="preserve">- Estimated incremental volume: 10,000–30,000 units/year by 2028</w:t>
      </w:r>
    </w:p>
    <w:p>
      <w:pPr>
        <w:pStyle w:val="Heading3"/>
      </w:pPr>
      <w:bookmarkStart w:id="70" w:name="d-government-funding"/>
      <w:r>
        <w:t xml:space="preserve">D) Government Funding</w:t>
      </w:r>
      <w:bookmarkEnd w:id="70"/>
    </w:p>
    <w:p>
      <w:pPr>
        <w:pStyle w:val="FirstParagraph"/>
      </w:pPr>
      <w:r>
        <w:rPr>
          <w:b/>
        </w:rPr>
        <w:t xml:space="preserve">DOE Loan Programs Office:</w:t>
      </w:r>
      <w:r>
        <w:t xml:space="preserve"> </w:t>
      </w:r>
      <w:r>
        <w:t xml:space="preserve">As noted, Lunar’s domestic manufacturing (non-FEOC), grid resilience mission, and scale targets make it an excellent LPO candidate. The Title XVII Innovative Energy loan program has funded up to $2B for comparable companies. LPO loans at 2–3% fixed rates would dramatically reduce Lunar’s cost of capital.</w:t>
      </w:r>
      <w:r>
        <w:t xml:space="preserve"> </w:t>
      </w:r>
      <w:r>
        <w:rPr>
          <w:b/>
        </w:rPr>
        <w:t xml:space="preserve">This is the single highest-priority financial action for Lunar in 2026.</w:t>
      </w:r>
    </w:p>
    <w:p>
      <w:pPr>
        <w:pStyle w:val="BodyText"/>
      </w:pPr>
      <w:r>
        <w:rPr>
          <w:b/>
        </w:rPr>
        <w:t xml:space="preserve">45X Production Credits (again, for emphasis):</w:t>
      </w:r>
      <w:r>
        <w:t xml:space="preserve"> </w:t>
      </w:r>
      <w:r>
        <w:t xml:space="preserve">At 100,000 units/year with a blended $200/unit average credit:</w:t>
      </w:r>
      <w:r>
        <w:t xml:space="preserve"> </w:t>
      </w:r>
      <w:r>
        <w:rPr>
          <w:b/>
        </w:rPr>
        <w:t xml:space="preserve">$20M/year in transferable tax credits</w:t>
      </w:r>
      <w:r>
        <w:t xml:space="preserve">. These can be sold quarterly for cash at 90–95 cents on the dollar. This is effectively a 2% gross margin improvement that most investors haven’t modeled. Competitor analysis suggests Lunar is underweighting this in its investor communications.</w:t>
      </w:r>
    </w:p>
    <w:p>
      <w:pPr>
        <w:pStyle w:val="BodyText"/>
      </w:pPr>
      <w:r>
        <w:rPr>
          <w:b/>
        </w:rPr>
        <w:t xml:space="preserve">IRA Section 48E + Domestic Content Bonus:</w:t>
      </w:r>
    </w:p>
    <w:p>
      <w:pPr>
        <w:pStyle w:val="BodyText"/>
      </w:pPr>
      <w:r>
        <w:t xml:space="preserve">The Lunar System is designed in California and assembled in Georgia and Washington—bolstering America’s leadership in the energy transition and maintaining eligibility for clean energy investment tax credits.</w:t>
      </w:r>
      <w:r>
        <w:t xml:space="preserve"> </w:t>
      </w:r>
      <w:r>
        <w:t xml:space="preserve">The 48E ITC + 10% domestic content adder = 40% credit for third-party system owners. This is Lunar’s primary channel to Sunrun and other TPOs, making it</w:t>
      </w:r>
      <w:r>
        <w:t xml:space="preserve"> </w:t>
      </w:r>
      <w:r>
        <w:rPr>
          <w:b/>
        </w:rPr>
        <w:t xml:space="preserve">competitively essential</w:t>
      </w:r>
      <w:r>
        <w:t xml:space="preserve"> </w:t>
      </w:r>
      <w:r>
        <w:t xml:space="preserve">that Lunar maintains non-FEOC status.</w:t>
      </w:r>
    </w:p>
    <w:p>
      <w:pPr>
        <w:pStyle w:val="BodyText"/>
      </w:pPr>
      <w:r>
        <w:rPr>
          <w:b/>
        </w:rPr>
        <w:t xml:space="preserve">State Incentives:</w:t>
      </w:r>
      <w:r>
        <w:t xml:space="preserve"> </w:t>
      </w:r>
      <w:r>
        <w:t xml:space="preserve">-</w:t>
      </w:r>
      <w:r>
        <w:t xml:space="preserve"> </w:t>
      </w:r>
      <w:r>
        <w:rPr>
          <w:b/>
        </w:rPr>
        <w:t xml:space="preserve">California:</w:t>
      </w:r>
      <w:r>
        <w:t xml:space="preserve"> </w:t>
      </w:r>
      <w:r>
        <w:t xml:space="preserve">SGIP (Self-Generation Incentive Program) provides direct incentives for battery storage installation</w:t>
      </w:r>
      <w:r>
        <w:t xml:space="preserve"> </w:t>
      </w:r>
      <w:r>
        <w:t xml:space="preserve">-</w:t>
      </w:r>
      <w:r>
        <w:t xml:space="preserve"> </w:t>
      </w:r>
      <w:r>
        <w:rPr>
          <w:b/>
        </w:rPr>
        <w:t xml:space="preserve">Georgia:</w:t>
      </w:r>
      <w:r>
        <w:t xml:space="preserve"> </w:t>
      </w:r>
      <w:r>
        <w:t xml:space="preserve">Manufacturing incentives for job creation (Lunar’s Savannah assembly facility should qualify)</w:t>
      </w:r>
      <w:r>
        <w:t xml:space="preserve"> </w:t>
      </w:r>
      <w:r>
        <w:t xml:space="preserve">-</w:t>
      </w:r>
      <w:r>
        <w:t xml:space="preserve"> </w:t>
      </w:r>
      <w:r>
        <w:rPr>
          <w:b/>
        </w:rPr>
        <w:t xml:space="preserve">Washington State:</w:t>
      </w:r>
      <w:r>
        <w:t xml:space="preserve"> </w:t>
      </w:r>
      <w:r>
        <w:t xml:space="preserve">Business &amp; Occupation tax exemptions for manufacturers</w:t>
      </w:r>
      <w:r>
        <w:t xml:space="preserve"> </w:t>
      </w:r>
      <w:r>
        <w:t xml:space="preserve">-</w:t>
      </w:r>
      <w:r>
        <w:t xml:space="preserve"> </w:t>
      </w:r>
      <w:r>
        <w:rPr>
          <w:b/>
        </w:rPr>
        <w:t xml:space="preserve">Texas (2026 expansion target):</w:t>
      </w:r>
      <w:r>
        <w:t xml:space="preserve"> </w:t>
      </w:r>
      <w:r>
        <w:t xml:space="preserve">No state income tax; utility demand response program funding</w:t>
      </w:r>
    </w:p>
    <w:p>
      <w:r>
        <w:pict>
          <v:rect style="width:0;height:1.5pt" o:hralign="center" o:hrstd="t" o:hr="t"/>
        </w:pict>
      </w:r>
    </w:p>
    <w:p>
      <w:pPr>
        <w:pStyle w:val="Heading2"/>
      </w:pPr>
      <w:bookmarkStart w:id="71" w:name="section-5-investor-return-analysis"/>
      <w:r>
        <w:t xml:space="preserve">SECTION 5: INVESTOR RETURN ANALYSIS</w:t>
      </w:r>
      <w:bookmarkEnd w:id="71"/>
    </w:p>
    <w:p>
      <w:pPr>
        <w:pStyle w:val="Heading3"/>
      </w:pPr>
      <w:bookmarkStart w:id="72" w:name="sunrun"/>
      <w:r>
        <w:t xml:space="preserve">Sunrun</w:t>
      </w:r>
      <w:bookmarkEnd w:id="72"/>
    </w:p>
    <w:p>
      <w:pPr>
        <w:pStyle w:val="FirstParagraph"/>
      </w:pPr>
      <w:r>
        <w:rPr>
          <w:b/>
        </w:rPr>
        <w:t xml:space="preserve">Financial investment:</w:t>
      </w:r>
      <w:r>
        <w:t xml:space="preserve"> </w:t>
      </w:r>
      <w:r>
        <w:t xml:space="preserve">Estimated ~$50–100M across the two early rounds (part of the $300M Sunrun/SK split; Sunrun was likely the smaller check due to its own capital constraints).</w:t>
      </w:r>
    </w:p>
    <w:p>
      <w:pPr>
        <w:pStyle w:val="BodyText"/>
      </w:pPr>
      <w:r>
        <w:rPr>
          <w:b/>
        </w:rPr>
        <w:t xml:space="preserve">Financial return modeling:</w:t>
      </w:r>
      <w:r>
        <w:t xml:space="preserve"> </w:t>
      </w:r>
      <w:r>
        <w:t xml:space="preserve">| Exit Scenario | Exit Value | Sunrun Equity Return | IRR (from ~2021) |</w:t>
      </w:r>
      <w:r>
        <w:t xml:space="preserve"> </w:t>
      </w:r>
      <w:r>
        <w:t xml:space="preserve">|————–|———–|———————|—————–|</w:t>
      </w:r>
      <w:r>
        <w:t xml:space="preserve"> </w:t>
      </w:r>
      <w:r>
        <w:t xml:space="preserve">| $1B exit (fire sale) | $1B | ~$50–75M | ~0% (at cost) |</w:t>
      </w:r>
      <w:r>
        <w:t xml:space="preserve"> </w:t>
      </w:r>
      <w:r>
        <w:t xml:space="preserve">| $2B strategic acquisition | $2B | ~$100–150M | ~8–12% |</w:t>
      </w:r>
      <w:r>
        <w:t xml:space="preserve"> </w:t>
      </w:r>
      <w:r>
        <w:t xml:space="preserve">| $4B IPO (2029) | $4B | ~$200–300M | ~18–22% |</w:t>
      </w:r>
    </w:p>
    <w:p>
      <w:pPr>
        <w:pStyle w:val="BodyText"/>
      </w:pPr>
      <w:r>
        <w:rPr>
          <w:b/>
        </w:rPr>
        <w:t xml:space="preserve">But the financial return dramatically understates Sunrun’s value capture.</w:t>
      </w:r>
      <w:r>
        <w:t xml:space="preserve"> </w:t>
      </w:r>
      <w:r>
        <w:t xml:space="preserve">Sunrun leverages Lunar’s Gridshare platform for its distributed power plants across a dozen markets, including New England, Hawaii, and Puerto Rico.</w:t>
      </w:r>
    </w:p>
    <w:p>
      <w:pPr>
        <w:pStyle w:val="BodyText"/>
      </w:pPr>
      <w:r>
        <w:t xml:space="preserve">Sunrun dispatched 425 megawatts to the grid in 2025 using battery deployments.</w:t>
      </w:r>
    </w:p>
    <w:p>
      <w:pPr>
        <w:pStyle w:val="BodyText"/>
      </w:pPr>
      <w:r>
        <w:t xml:space="preserve">Sunrun generated tens of millions of dollars of revenue for dispatching energy onto the grid.</w:t>
      </w:r>
    </w:p>
    <w:p>
      <w:pPr>
        <w:pStyle w:val="BodyText"/>
      </w:pPr>
      <w:r>
        <w:t xml:space="preserve">The</w:t>
      </w:r>
      <w:r>
        <w:t xml:space="preserve"> </w:t>
      </w:r>
      <w:r>
        <w:rPr>
          <w:b/>
        </w:rPr>
        <w:t xml:space="preserve">strategic value</w:t>
      </w:r>
      <w:r>
        <w:t xml:space="preserve"> </w:t>
      </w:r>
      <w:r>
        <w:t xml:space="preserve">of the Lunar relationship to Sunrun—as a battery supplier, VPP platform provider, and technology differentiator—likely exceeds the financial investment return by 3–5x. Sunrun’s storage attachment rate of 71% is a direct consequence of having Lunar as a hardware/software partner. Losing this relationship would cost Sunrun far more than the investment value. This creates a powerful incentive for Sunrun to</w:t>
      </w:r>
      <w:r>
        <w:t xml:space="preserve"> </w:t>
      </w:r>
      <w:r>
        <w:rPr>
          <w:b/>
        </w:rPr>
        <w:t xml:space="preserve">overpay</w:t>
      </w:r>
      <w:r>
        <w:t xml:space="preserve"> </w:t>
      </w:r>
      <w:r>
        <w:t xml:space="preserve">for Lunar in any acquisition scenario rather than risk losing it to a competitor.</w:t>
      </w:r>
    </w:p>
    <w:p>
      <w:pPr>
        <w:pStyle w:val="Heading3"/>
      </w:pPr>
      <w:bookmarkStart w:id="73" w:name="sk-group"/>
      <w:r>
        <w:t xml:space="preserve">SK Group</w:t>
      </w:r>
      <w:bookmarkEnd w:id="73"/>
    </w:p>
    <w:p>
      <w:pPr>
        <w:pStyle w:val="FirstParagraph"/>
      </w:pPr>
      <w:r>
        <w:rPr>
          <w:b/>
        </w:rPr>
        <w:t xml:space="preserve">Investment thesis:</w:t>
      </w:r>
      <w:r>
        <w:t xml:space="preserve"> </w:t>
      </w:r>
      <w:r>
        <w:t xml:space="preserve">SK Group invested strategically, not for financial returns. SK E&amp;S views Lunar as a beachhead for US residential energy—a market SK cannot enter alone.</w:t>
      </w:r>
      <w:r>
        <w:t xml:space="preserve"> </w:t>
      </w:r>
      <w:r>
        <w:t xml:space="preserve">“</w:t>
      </w:r>
      <w:r>
        <w:t xml:space="preserve">The SK Group is committed to the worldwide energy transition from fossil fuels to renewables and our investment in Lunar Energy is part of that ongoing commitment,</w:t>
      </w:r>
      <w:r>
        <w:t xml:space="preserve">”</w:t>
      </w:r>
      <w:r>
        <w:t xml:space="preserve"> </w:t>
      </w:r>
      <w:r>
        <w:t xml:space="preserve">said Ian Huh, Executive Vice President, SK E&amp;S.</w:t>
      </w:r>
    </w:p>
    <w:p>
      <w:pPr>
        <w:pStyle w:val="BodyText"/>
      </w:pPr>
      <w:r>
        <w:rPr>
          <w:b/>
        </w:rPr>
        <w:t xml:space="preserve">Return modeling:</w:t>
      </w:r>
      <w:r>
        <w:t xml:space="preserve"> </w:t>
      </w:r>
      <w:r>
        <w:t xml:space="preserve">| Exit Scenario | Exit Value | SK Equity Return | IRR |</w:t>
      </w:r>
      <w:r>
        <w:t xml:space="preserve"> </w:t>
      </w:r>
      <w:r>
        <w:t xml:space="preserve">|————–|———–|—————–|—–|</w:t>
      </w:r>
      <w:r>
        <w:t xml:space="preserve"> </w:t>
      </w:r>
      <w:r>
        <w:t xml:space="preserve">| $1B | $1B | ~$75–100M | ~0–5% |</w:t>
      </w:r>
      <w:r>
        <w:t xml:space="preserve"> </w:t>
      </w:r>
      <w:r>
        <w:t xml:space="preserve">| $2B | $2B | ~$150–200M | ~8–12% |</w:t>
      </w:r>
      <w:r>
        <w:t xml:space="preserve"> </w:t>
      </w:r>
      <w:r>
        <w:t xml:space="preserve">| $5B | $5B | ~$375–500M | ~20–25% |</w:t>
      </w:r>
    </w:p>
    <w:p>
      <w:pPr>
        <w:pStyle w:val="BodyText"/>
      </w:pPr>
      <w:r>
        <w:t xml:space="preserve">SK’s most attractive scenario is NOT a financial exit—it’s a</w:t>
      </w:r>
      <w:r>
        <w:t xml:space="preserve"> </w:t>
      </w:r>
      <w:r>
        <w:rPr>
          <w:b/>
        </w:rPr>
        <w:t xml:space="preserve">manufacturing JV</w:t>
      </w:r>
      <w:r>
        <w:t xml:space="preserve"> </w:t>
      </w:r>
      <w:r>
        <w:t xml:space="preserve">that gives SK guaranteed cell procurement volumes from Lunar’s scale-up. At 100K units/year with 20 kWh average, that’s 2 GWh/year of LFP cell demand—a meaningful addition to SK’s cell business.</w:t>
      </w:r>
    </w:p>
    <w:p>
      <w:pPr>
        <w:pStyle w:val="Heading3"/>
      </w:pPr>
      <w:bookmarkStart w:id="74" w:name="X7ca169ab24ed01d216325eed799995e12e6258e"/>
      <w:r>
        <w:t xml:space="preserve">Series C/D Investors (Activate Capital, B Capital, Prelude Ventures)</w:t>
      </w:r>
      <w:bookmarkEnd w:id="74"/>
    </w:p>
    <w:p>
      <w:pPr>
        <w:pStyle w:val="FirstParagraph"/>
      </w:pPr>
      <w:r>
        <w:t xml:space="preserve">These are pure financial investors entering at estimated $550–$650M (Series C) and $800M–$1.2B (Series D) post-money valuations.</w:t>
      </w:r>
    </w:p>
    <w:p>
      <w:pPr>
        <w:pStyle w:val="BodyText"/>
      </w:pPr>
      <w:r>
        <w:rPr>
          <w:b/>
        </w:rPr>
        <w:t xml:space="preserve">B Capital’s implied entry:</w:t>
      </w:r>
      <w:r>
        <w:t xml:space="preserve"> </w:t>
      </w:r>
      <w:r>
        <w:t xml:space="preserve">~$900M post-money for Series D</w:t>
      </w:r>
      <w:r>
        <w:t xml:space="preserve"> </w:t>
      </w:r>
      <w:r>
        <w:rPr>
          <w:b/>
        </w:rPr>
        <w:t xml:space="preserve">Required return for 3x MOIC (10-year fund):</w:t>
      </w:r>
      <w:r>
        <w:t xml:space="preserve"> </w:t>
      </w:r>
      <w:r>
        <w:t xml:space="preserve">Exit at $2.7B+ by 2029</w:t>
      </w:r>
    </w:p>
    <w:tbl>
      <w:tblPr>
        <w:tblStyle w:val="Table"/>
        <w:tblW w:type="pct" w:w="0.0"/>
        <w:tblLook w:firstRow="1"/>
      </w:tblPr>
      <w:tblGrid/>
      <w:tr>
        <w:trPr>
          <w:cnfStyle w:firstRow="1"/>
        </w:trPr>
        <w:tc>
          <w:tcPr>
            <w:tcBorders>
              <w:bottom w:val="single"/>
            </w:tcBorders>
            <w:vAlign w:val="bottom"/>
          </w:tcPr>
          <w:p>
            <w:pPr>
              <w:pStyle w:val="Compact"/>
              <w:jc w:val="left"/>
            </w:pPr>
            <w:r>
              <w:t xml:space="preserve">Exit Value</w:t>
            </w:r>
          </w:p>
        </w:tc>
        <w:tc>
          <w:tcPr>
            <w:tcBorders>
              <w:bottom w:val="single"/>
            </w:tcBorders>
            <w:vAlign w:val="bottom"/>
          </w:tcPr>
          <w:p>
            <w:pPr>
              <w:pStyle w:val="Compact"/>
              <w:jc w:val="left"/>
            </w:pPr>
            <w:r>
              <w:t xml:space="preserve">Series C Return (2.5x target)</w:t>
            </w:r>
          </w:p>
        </w:tc>
        <w:tc>
          <w:tcPr>
            <w:tcBorders>
              <w:bottom w:val="single"/>
            </w:tcBorders>
            <w:vAlign w:val="bottom"/>
          </w:tcPr>
          <w:p>
            <w:pPr>
              <w:pStyle w:val="Compact"/>
              <w:jc w:val="left"/>
            </w:pPr>
            <w:r>
              <w:t xml:space="preserve">Series D Return (2x target)</w:t>
            </w:r>
          </w:p>
        </w:tc>
      </w:tr>
      <w:tr>
        <w:tc>
          <w:p>
            <w:pPr>
              <w:pStyle w:val="Compact"/>
              <w:jc w:val="left"/>
            </w:pPr>
            <w:r>
              <w:t xml:space="preserve">$1.5B</w:t>
            </w:r>
          </w:p>
        </w:tc>
        <w:tc>
          <w:p>
            <w:pPr>
              <w:pStyle w:val="Compact"/>
              <w:jc w:val="left"/>
            </w:pPr>
            <w:r>
              <w:t xml:space="preserve">2.3x</w:t>
            </w:r>
          </w:p>
        </w:tc>
        <w:tc>
          <w:p>
            <w:pPr>
              <w:pStyle w:val="Compact"/>
              <w:jc w:val="left"/>
            </w:pPr>
            <w:r>
              <w:t xml:space="preserve">1.25–1.87x (below target)</w:t>
            </w:r>
          </w:p>
        </w:tc>
      </w:tr>
      <w:tr>
        <w:tc>
          <w:p>
            <w:pPr>
              <w:pStyle w:val="Compact"/>
              <w:jc w:val="left"/>
            </w:pPr>
            <w:r>
              <w:t xml:space="preserve">$2.5B</w:t>
            </w:r>
          </w:p>
        </w:tc>
        <w:tc>
          <w:p>
            <w:pPr>
              <w:pStyle w:val="Compact"/>
              <w:jc w:val="left"/>
            </w:pPr>
            <w:r>
              <w:t xml:space="preserve">3.8x</w:t>
            </w:r>
          </w:p>
        </w:tc>
        <w:tc>
          <w:p>
            <w:pPr>
              <w:pStyle w:val="Compact"/>
              <w:jc w:val="left"/>
            </w:pPr>
            <w:r>
              <w:t xml:space="preserve">2.0–3.0x (at target)</w:t>
            </w:r>
          </w:p>
        </w:tc>
      </w:tr>
      <w:tr>
        <w:tc>
          <w:p>
            <w:pPr>
              <w:pStyle w:val="Compact"/>
              <w:jc w:val="left"/>
            </w:pPr>
            <w:r>
              <w:t xml:space="preserve">$4B</w:t>
            </w:r>
          </w:p>
        </w:tc>
        <w:tc>
          <w:p>
            <w:pPr>
              <w:pStyle w:val="Compact"/>
              <w:jc w:val="left"/>
            </w:pPr>
            <w:r>
              <w:t xml:space="preserve">6.1x</w:t>
            </w:r>
          </w:p>
        </w:tc>
        <w:tc>
          <w:p>
            <w:pPr>
              <w:pStyle w:val="Compact"/>
              <w:jc w:val="left"/>
            </w:pPr>
            <w:r>
              <w:t xml:space="preserve">3.3–5.0x (above target)</w:t>
            </w:r>
          </w:p>
        </w:tc>
      </w:tr>
    </w:tbl>
    <w:p>
      <w:pPr>
        <w:pStyle w:val="BodyText"/>
      </w:pPr>
      <w:r>
        <w:rPr>
          <w:b/>
        </w:rPr>
        <w:t xml:space="preserve">Series D investors need at minimum a $2–2.5B exit to achieve acceptable returns.</w:t>
      </w:r>
      <w:r>
        <w:t xml:space="preserve"> </w:t>
      </w:r>
      <w:r>
        <w:t xml:space="preserve">This is achievable but requires near-perfect execution of the manufacturing ramp and VPP monetization. The oversubscription of the Series D suggests investors believe this is achievable—but oversubscription also reflects FOMO in a hot VPP market.</w:t>
      </w:r>
    </w:p>
    <w:p>
      <w:pPr>
        <w:pStyle w:val="Heading3"/>
      </w:pPr>
      <w:bookmarkStart w:id="75" w:name="founders-and-employee-option-pool"/>
      <w:r>
        <w:t xml:space="preserve">Founders and Employee Option Pool</w:t>
      </w:r>
      <w:bookmarkEnd w:id="75"/>
    </w:p>
    <w:p>
      <w:pPr>
        <w:pStyle w:val="FirstParagraph"/>
      </w:pPr>
      <w:r>
        <w:t xml:space="preserve">The most challenging situation. Assuming founders retain 15–20% of fully diluted shares and employees hold an additional 10–15%:</w:t>
      </w:r>
    </w:p>
    <w:tbl>
      <w:tblPr>
        <w:tblStyle w:val="Table"/>
        <w:tblW w:type="pct" w:w="5000.0"/>
        <w:tblLook w:firstRow="1"/>
      </w:tblPr>
      <w:tblGrid>
        <w:gridCol w:w="1173"/>
        <w:gridCol w:w="4204"/>
        <w:gridCol w:w="2542"/>
      </w:tblGrid>
      <w:tr>
        <w:trPr>
          <w:cnfStyle w:firstRow="1"/>
        </w:trPr>
        <w:tc>
          <w:tcPr>
            <w:tcBorders>
              <w:bottom w:val="single"/>
            </w:tcBorders>
            <w:vAlign w:val="bottom"/>
          </w:tcPr>
          <w:p>
            <w:pPr>
              <w:pStyle w:val="Compact"/>
              <w:jc w:val="left"/>
            </w:pPr>
            <w:r>
              <w:t xml:space="preserve">Exit Value</w:t>
            </w:r>
          </w:p>
        </w:tc>
        <w:tc>
          <w:tcPr>
            <w:tcBorders>
              <w:bottom w:val="single"/>
            </w:tcBorders>
            <w:vAlign w:val="bottom"/>
          </w:tcPr>
          <w:p>
            <w:pPr>
              <w:pStyle w:val="Compact"/>
              <w:jc w:val="left"/>
            </w:pPr>
            <w:r>
              <w:t xml:space="preserve">Founder + Employee Combined (25% post-pref)</w:t>
            </w:r>
          </w:p>
        </w:tc>
        <w:tc>
          <w:tcPr>
            <w:tcBorders>
              <w:bottom w:val="single"/>
            </w:tcBorders>
            <w:vAlign w:val="bottom"/>
          </w:tcPr>
          <w:p>
            <w:pPr>
              <w:pStyle w:val="Compact"/>
              <w:jc w:val="left"/>
            </w:pPr>
            <w:r>
              <w:t xml:space="preserve">Per $1M in options (est.)</w:t>
            </w:r>
          </w:p>
        </w:tc>
      </w:tr>
      <w:tr>
        <w:tc>
          <w:p>
            <w:pPr>
              <w:pStyle w:val="Compact"/>
              <w:jc w:val="left"/>
            </w:pPr>
            <w:r>
              <w:t xml:space="preserve">$500M</w:t>
            </w:r>
          </w:p>
        </w:tc>
        <w:tc>
          <w:p>
            <w:pPr>
              <w:pStyle w:val="Compact"/>
              <w:jc w:val="left"/>
            </w:pPr>
            <w:r>
              <w:t xml:space="preserve">$0 (below liquidation preference)</w:t>
            </w:r>
          </w:p>
        </w:tc>
        <w:tc>
          <w:p>
            <w:pPr>
              <w:pStyle w:val="Compact"/>
              <w:jc w:val="left"/>
            </w:pPr>
            <w:r>
              <w:t xml:space="preserve">$0</w:t>
            </w:r>
          </w:p>
        </w:tc>
      </w:tr>
      <w:tr>
        <w:tc>
          <w:p>
            <w:pPr>
              <w:pStyle w:val="Compact"/>
              <w:jc w:val="left"/>
            </w:pPr>
            <w:r>
              <w:t xml:space="preserve">$1B</w:t>
            </w:r>
          </w:p>
        </w:tc>
        <w:tc>
          <w:p>
            <w:pPr>
              <w:pStyle w:val="Compact"/>
              <w:jc w:val="left"/>
            </w:pPr>
            <w:r>
              <w:t xml:space="preserve">~$117M total</w:t>
            </w:r>
          </w:p>
        </w:tc>
        <w:tc>
          <w:p>
            <w:pPr>
              <w:pStyle w:val="Compact"/>
              <w:jc w:val="left"/>
            </w:pPr>
            <w:r>
              <w:t xml:space="preserve">~$220K</w:t>
            </w:r>
          </w:p>
        </w:tc>
      </w:tr>
      <w:tr>
        <w:tc>
          <w:p>
            <w:pPr>
              <w:pStyle w:val="Compact"/>
              <w:jc w:val="left"/>
            </w:pPr>
            <w:r>
              <w:t xml:space="preserve">$2B</w:t>
            </w:r>
          </w:p>
        </w:tc>
        <w:tc>
          <w:p>
            <w:pPr>
              <w:pStyle w:val="Compact"/>
              <w:jc w:val="left"/>
            </w:pPr>
            <w:r>
              <w:t xml:space="preserve">~$367M total</w:t>
            </w:r>
          </w:p>
        </w:tc>
        <w:tc>
          <w:p>
            <w:pPr>
              <w:pStyle w:val="Compact"/>
              <w:jc w:val="left"/>
            </w:pPr>
            <w:r>
              <w:t xml:space="preserve">~$690K</w:t>
            </w:r>
          </w:p>
        </w:tc>
      </w:tr>
      <w:tr>
        <w:tc>
          <w:p>
            <w:pPr>
              <w:pStyle w:val="Compact"/>
              <w:jc w:val="left"/>
            </w:pPr>
            <w:r>
              <w:t xml:space="preserve">$3B</w:t>
            </w:r>
          </w:p>
        </w:tc>
        <w:tc>
          <w:p>
            <w:pPr>
              <w:pStyle w:val="Compact"/>
              <w:jc w:val="left"/>
            </w:pPr>
            <w:r>
              <w:t xml:space="preserve">~$617M total</w:t>
            </w:r>
          </w:p>
        </w:tc>
        <w:tc>
          <w:p>
            <w:pPr>
              <w:pStyle w:val="Compact"/>
              <w:jc w:val="left"/>
            </w:pPr>
            <w:r>
              <w:t xml:space="preserve">~$1.16M</w:t>
            </w:r>
          </w:p>
        </w:tc>
      </w:tr>
      <w:tr>
        <w:tc>
          <w:p>
            <w:pPr>
              <w:pStyle w:val="Compact"/>
              <w:jc w:val="left"/>
            </w:pPr>
            <w:r>
              <w:t xml:space="preserve">$5B</w:t>
            </w:r>
          </w:p>
        </w:tc>
        <w:tc>
          <w:p>
            <w:pPr>
              <w:pStyle w:val="Compact"/>
              <w:jc w:val="left"/>
            </w:pPr>
            <w:r>
              <w:t xml:space="preserve">~$1.117B total</w:t>
            </w:r>
          </w:p>
        </w:tc>
        <w:tc>
          <w:p>
            <w:pPr>
              <w:pStyle w:val="Compact"/>
              <w:jc w:val="left"/>
            </w:pPr>
            <w:r>
              <w:t xml:space="preserve">~$2.1M</w:t>
            </w:r>
          </w:p>
        </w:tc>
      </w:tr>
    </w:tbl>
    <w:p>
      <w:pPr>
        <w:pStyle w:val="BodyText"/>
      </w:pPr>
      <w:r>
        <w:rPr>
          <w:b/>
        </w:rPr>
        <w:t xml:space="preserve">The option pool only becomes</w:t>
      </w:r>
      <w:r>
        <w:rPr>
          <w:b/>
        </w:rPr>
        <w:t xml:space="preserve"> </w:t>
      </w:r>
      <w:r>
        <w:rPr>
          <w:b/>
        </w:rPr>
        <w:t xml:space="preserve">“</w:t>
      </w:r>
      <w:r>
        <w:rPr>
          <w:b/>
        </w:rPr>
        <w:t xml:space="preserve">life-changing money</w:t>
      </w:r>
      <w:r>
        <w:rPr>
          <w:b/>
        </w:rPr>
        <w:t xml:space="preserve">”</w:t>
      </w:r>
      <w:r>
        <w:rPr>
          <w:b/>
        </w:rPr>
        <w:t xml:space="preserve"> </w:t>
      </w:r>
      <w:r>
        <w:rPr>
          <w:b/>
        </w:rPr>
        <w:t xml:space="preserve">for most employees at exits of $3B+.</w:t>
      </w:r>
      <w:r>
        <w:t xml:space="preserve"> </w:t>
      </w:r>
      <w:r>
        <w:t xml:space="preserve">Given a 4–6 year vesting timeline (2022–2026 grants), employees now entering year 3–4 of vesting need to see a credible $3B+ exit path by 2027–2029 or retention risk increases materially. This is a</w:t>
      </w:r>
      <w:r>
        <w:t xml:space="preserve"> </w:t>
      </w:r>
      <w:r>
        <w:rPr>
          <w:b/>
        </w:rPr>
        <w:t xml:space="preserve">critical talent risk</w:t>
      </w:r>
      <w:r>
        <w:t xml:space="preserve"> </w:t>
      </w:r>
      <w:r>
        <w:t xml:space="preserve">management should address with refreshed option grants tied to the 2026 capital raise.</w:t>
      </w:r>
    </w:p>
    <w:p>
      <w:r>
        <w:pict>
          <v:rect style="width:0;height:1.5pt" o:hralign="center" o:hrstd="t" o:hr="t"/>
        </w:pict>
      </w:r>
    </w:p>
    <w:p>
      <w:pPr>
        <w:pStyle w:val="Heading2"/>
      </w:pPr>
      <w:bookmarkStart w:id="76" w:name="notable-anomalies"/>
      <w:r>
        <w:t xml:space="preserve">NOTABLE ANOMALIES</w:t>
      </w:r>
      <w:bookmarkEnd w:id="76"/>
    </w:p>
    <w:p>
      <w:pPr>
        <w:pStyle w:val="Heading3"/>
      </w:pPr>
      <w:bookmarkStart w:id="77" w:name="the-never-raise-again-claim-vs.-the-math"/>
      <w:r>
        <w:t xml:space="preserve">1. 🚨 The</w:t>
      </w:r>
      <w:r>
        <w:t xml:space="preserve"> </w:t>
      </w:r>
      <w:r>
        <w:t xml:space="preserve">“</w:t>
      </w:r>
      <w:r>
        <w:t xml:space="preserve">Never Raise Again</w:t>
      </w:r>
      <w:r>
        <w:t xml:space="preserve">”</w:t>
      </w:r>
      <w:r>
        <w:t xml:space="preserve"> </w:t>
      </w:r>
      <w:r>
        <w:t xml:space="preserve">Claim vs. The Math</w:t>
      </w:r>
      <w:bookmarkEnd w:id="77"/>
    </w:p>
    <w:p>
      <w:pPr>
        <w:pStyle w:val="FirstParagraph"/>
      </w:pPr>
      <w:r>
        <w:t xml:space="preserve">CEO Girotra said</w:t>
      </w:r>
      <w:r>
        <w:t xml:space="preserve"> </w:t>
      </w:r>
      <w:r>
        <w:t xml:space="preserve">“</w:t>
      </w:r>
      <w:r>
        <w:t xml:space="preserve">This capital helps us, in a big way, in achieving our goals of not having to raise ever again.</w:t>
      </w:r>
      <w:r>
        <w:t xml:space="preserve">”</w:t>
      </w:r>
      <w:r>
        <w:t xml:space="preserve"> </w:t>
      </w:r>
      <w:r>
        <w:t xml:space="preserve">This is almost certainly</w:t>
      </w:r>
      <w:r>
        <w:t xml:space="preserve"> </w:t>
      </w:r>
      <w:r>
        <w:rPr>
          <w:b/>
        </w:rPr>
        <w:t xml:space="preserve">aspirational rather than analytical.</w:t>
      </w:r>
      <w:r>
        <w:t xml:space="preserve"> </w:t>
      </w:r>
      <w:r>
        <w:t xml:space="preserve">At $8–12M/month net burn with $85–115M in cash, Lunar has 8–14 months of runway. Achieving FCF breakeven before cash exhaustion requires either (a) a DOE LPO loan of $100M+ at 2–3%, (b) a major revenue ramp that hits the bull case, or (c) a strategic partnership providing off-balance-sheet capital. The statement is best interpreted as investor signaling—</w:t>
      </w:r>
      <w:r>
        <w:t xml:space="preserve">“</w:t>
      </w:r>
      <w:r>
        <w:t xml:space="preserve">this is our last VC round</w:t>
      </w:r>
      <w:r>
        <w:t xml:space="preserve">”</w:t>
      </w:r>
      <w:r>
        <w:t xml:space="preserve">—not a literal financial commitment. It may also be intentionally setting expectations to avoid the perception of ongoing dilution risk.</w:t>
      </w:r>
    </w:p>
    <w:p>
      <w:pPr>
        <w:pStyle w:val="Heading3"/>
      </w:pPr>
      <w:bookmarkStart w:id="78" w:name="the-series-c-was-hidden-for-2-years"/>
      <w:r>
        <w:t xml:space="preserve">2. 🚨 The Series C Was Hidden for 2+ Years</w:t>
      </w:r>
      <w:bookmarkEnd w:id="78"/>
    </w:p>
    <w:p>
      <w:pPr>
        <w:pStyle w:val="FirstParagraph"/>
      </w:pPr>
      <w:r>
        <w:t xml:space="preserve">The investment is made up of a $102 million Series D round and a previously unannounced Series C financing of $130 million led by Activate Capital in 2024.</w:t>
      </w:r>
      <w:r>
        <w:t xml:space="preserve"> </w:t>
      </w:r>
      <w:r>
        <w:t xml:space="preserve">A $130M round is not typically kept secret unless there is a strategic reason. Possible explanations: (a) the round was raised at a valuation below expectations and management didn’t want competitive signaling; (b) the round included unusual terms (warrants, ratchets) that would have attracted scrutiny; (c) Activate Capital requested confidentiality for competitive reasons.</w:t>
      </w:r>
      <w:r>
        <w:t xml:space="preserve"> </w:t>
      </w:r>
      <w:r>
        <w:rPr>
          <w:b/>
        </w:rPr>
        <w:t xml:space="preserve">The hidden nature of the Series C is the most structurally suspicious element of the entire capital history and warrants deeper diligence in any M&amp;A context.</w:t>
      </w:r>
    </w:p>
    <w:p>
      <w:pPr>
        <w:pStyle w:val="Heading3"/>
      </w:pPr>
      <w:bookmarkStart w:id="79" w:name="X1723812fad711acf1d9bf5dd81d17164067481a"/>
      <w:r>
        <w:t xml:space="preserve">3. 🚨 Sunrun’s Storage Attachment Rate at 71% Creates a Dependency Risk</w:t>
      </w:r>
      <w:bookmarkEnd w:id="79"/>
    </w:p>
    <w:p>
      <w:pPr>
        <w:pStyle w:val="FirstParagraph"/>
      </w:pPr>
      <w:r>
        <w:t xml:space="preserve">Sunrun recently reported a record storage attachment rate of 71%.</w:t>
      </w:r>
      <w:r>
        <w:t xml:space="preserve"> </w:t>
      </w:r>
      <w:r>
        <w:t xml:space="preserve">While this is excellent for the industry, it also means Sunrun is deeply dependent on battery supply—and Lunar is Sunrun’s primary supplier.</w:t>
      </w:r>
      <w:r>
        <w:t xml:space="preserve"> </w:t>
      </w:r>
      <w:r>
        <w:t xml:space="preserve">Sunrun expects a decline in overall volumes in 2026 due to a 40% reduction in affiliate partner volumes.</w:t>
      </w:r>
      <w:r>
        <w:t xml:space="preserve"> </w:t>
      </w:r>
      <w:r>
        <w:t xml:space="preserve">If Sunrun’s affiliate channel declines 40%, and Sunrun is Lunar’s primary distribution channel, this is a</w:t>
      </w:r>
      <w:r>
        <w:t xml:space="preserve"> </w:t>
      </w:r>
      <w:r>
        <w:rPr>
          <w:b/>
        </w:rPr>
        <w:t xml:space="preserve">direct revenue risk for Lunar in 2026</w:t>
      </w:r>
      <w:r>
        <w:t xml:space="preserve"> </w:t>
      </w:r>
      <w:r>
        <w:t xml:space="preserve">that contradicts the growth targets embedded in the Series D raise. This is not adequately highlighted in Lunar’s public communications.</w:t>
      </w:r>
    </w:p>
    <w:p>
      <w:pPr>
        <w:pStyle w:val="Heading3"/>
      </w:pPr>
      <w:bookmarkStart w:id="80" w:name="Xe7f4d4b92b722644b2402dceae26cb1a8551eb1"/>
      <w:r>
        <w:t xml:space="preserve">4. 🚨 Base Power Is a $1B-Funded Direct Competitor</w:t>
      </w:r>
      <w:bookmarkEnd w:id="80"/>
    </w:p>
    <w:p>
      <w:pPr>
        <w:pStyle w:val="FirstParagraph"/>
      </w:pPr>
      <w:r>
        <w:t xml:space="preserve">In October 2025, Base Power raised $1 billion for its own residential battery VPP—and that came less than six months after the company closed a $200 million round.</w:t>
      </w:r>
      <w:r>
        <w:t xml:space="preserve"> </w:t>
      </w:r>
      <w:r>
        <w:t xml:space="preserve">Base Power has more than 2x Lunar’s total funding, operates in Texas (Lunar’s next target market), and uses the same fundamental VPP business model. The competitive threat from Base Power is largely absent from Lunar’s public narrative but represents a genuine risk to the Texas expansion thesis.</w:t>
      </w:r>
    </w:p>
    <w:p>
      <w:pPr>
        <w:pStyle w:val="Heading3"/>
      </w:pPr>
      <w:bookmarkStart w:id="81" w:name="Xf73b5009bea66130b10e47d397121c1c2c8320d"/>
      <w:r>
        <w:t xml:space="preserve">5. 🔶 The GridShare Japan Minority Investment May Signal More</w:t>
      </w:r>
      <w:bookmarkEnd w:id="81"/>
    </w:p>
    <w:p>
      <w:pPr>
        <w:pStyle w:val="FirstParagraph"/>
      </w:pPr>
      <w:r>
        <w:t xml:space="preserve">Lunar Energy’s latest investment was in GridShare Japan as part of a Corporate Minority on November 28, 2025.</w:t>
      </w:r>
      <w:r>
        <w:t xml:space="preserve"> </w:t>
      </w:r>
      <w:r>
        <w:t xml:space="preserve">Minority investments in subsidiaries—rather than full consolidation—are typically structuring choices made for one of three reasons: (1) local regulatory/tax optimization, (2) preparation for a third-party investment or JV, or (3) preparation for a spin-off or separate capitalization. Given that ITOCHU has been a long-time Moixa/Gridshare partner in Japan (</w:t>
      </w:r>
      <w:r>
        <w:t xml:space="preserve"> </w:t>
      </w:r>
      <w:r>
        <w:t xml:space="preserve">GridShare software is deployed across 35,000 homes via ITOCHU in Japan</w:t>
      </w:r>
      <w:r>
        <w:t xml:space="preserve"> </w:t>
      </w:r>
      <w:r>
        <w:t xml:space="preserve">), this minority structure may be preparing for an ITOCHU-led strategic investment in Gridshare Japan at a software-company valuation multiple—which would surface significant value without diluting Lunar’s core equity.</w:t>
      </w:r>
    </w:p>
    <w:p>
      <w:pPr>
        <w:pStyle w:val="Heading3"/>
      </w:pPr>
      <w:bookmarkStart w:id="82" w:name="X7559042eec4632eb3e653b03c614d72f3d048e5"/>
      <w:r>
        <w:t xml:space="preserve">6. 🔶 The Domestic Content</w:t>
      </w:r>
      <w:r>
        <w:t xml:space="preserve"> </w:t>
      </w:r>
      <w:r>
        <w:t xml:space="preserve">“</w:t>
      </w:r>
      <w:r>
        <w:t xml:space="preserve">Moat</w:t>
      </w:r>
      <w:r>
        <w:t xml:space="preserve">”</w:t>
      </w:r>
      <w:r>
        <w:t xml:space="preserve"> </w:t>
      </w:r>
      <w:r>
        <w:t xml:space="preserve">May Be Fragile Post-IRA Rollbacks</w:t>
      </w:r>
      <w:bookmarkEnd w:id="82"/>
    </w:p>
    <w:p>
      <w:pPr>
        <w:pStyle w:val="FirstParagraph"/>
      </w:pPr>
      <w:r>
        <w:t xml:space="preserve">Lunar VP Ed Gunn noted the company is</w:t>
      </w:r>
      <w:r>
        <w:t xml:space="preserve"> </w:t>
      </w:r>
      <w:r>
        <w:t xml:space="preserve">“</w:t>
      </w:r>
      <w:r>
        <w:t xml:space="preserve">proudly domestic content,</w:t>
      </w:r>
      <w:r>
        <w:t xml:space="preserve">”</w:t>
      </w:r>
      <w:r>
        <w:t xml:space="preserve"> </w:t>
      </w:r>
      <w:r>
        <w:t xml:space="preserve">meaning its products qualify as non-FEOC and can secure the ITC and domestic content incentives for third-party owners.</w:t>
      </w:r>
      <w:r>
        <w:t xml:space="preserve"> </w:t>
      </w:r>
      <w:r>
        <w:t xml:space="preserve">However,</w:t>
      </w:r>
      <w:r>
        <w:t xml:space="preserve"> </w:t>
      </w:r>
      <w:r>
        <w:t xml:space="preserve">the megalaw passed by Republicans in Congress last year ended decades-old tax credits for homeowners installing clean energy systems.</w:t>
      </w:r>
      <w:r>
        <w:t xml:space="preserve"> </w:t>
      </w:r>
      <w:r>
        <w:t xml:space="preserve">If the third-party owner (TPO) ITC is further reduced or eliminated, the economic advantage of non-FEOC status disappears—and Lunar’s 10% ASP premium over Tesla Powerwall becomes difficult to justify. This regulatory risk is the single largest external threat to the business model.</w:t>
      </w:r>
    </w:p>
    <w:p>
      <w:pPr>
        <w:pStyle w:val="Heading3"/>
      </w:pPr>
      <w:bookmarkStart w:id="83" w:name="Xbf052fe9b035960e8793673ccaebe3932735a1a"/>
      <w:r>
        <w:t xml:space="preserve">7. 🔶 Enphase’s Revenue Volatility Is a Template Warning</w:t>
      </w:r>
      <w:bookmarkEnd w:id="83"/>
    </w:p>
    <w:p>
      <w:pPr>
        <w:pStyle w:val="FirstParagraph"/>
      </w:pPr>
      <w:r>
        <w:t xml:space="preserve">Enphase Energy annual revenue for 2024 was $1.33B, a 41.92% decline from 2023. Annual revenue for 2023 was $2.291B, a 1.72% decline from 2022.</w:t>
      </w:r>
      <w:r>
        <w:t xml:space="preserve"> </w:t>
      </w:r>
      <w:r>
        <w:t xml:space="preserve">The residential solar and storage market crashed 42% in one year at Enphase’s scale. Lunar’s 2028 IPO thesis depends on the market being in an upswing—not a trough. Any IPO must be timed to the cycle, not the calendar.</w:t>
      </w:r>
    </w:p>
    <w:p>
      <w:pPr>
        <w:pStyle w:val="Heading3"/>
      </w:pPr>
      <w:bookmarkStart w:id="84" w:name="X3085e43ef4b71b2e87fa61041545c38ae42d03f"/>
      <w:r>
        <w:t xml:space="preserve">8. 🔶 The 45X Credit Monetization Opportunity Is Being Left on the Table</w:t>
      </w:r>
      <w:bookmarkEnd w:id="84"/>
    </w:p>
    <w:p>
      <w:pPr>
        <w:pStyle w:val="FirstParagraph"/>
      </w:pPr>
      <w:r>
        <w:t xml:space="preserve">At Lunar’s target of 100,000 units/year with an average 20 kWh pack size, Section 45X generates approximately</w:t>
      </w:r>
      <w:r>
        <w:t xml:space="preserve"> </w:t>
      </w:r>
      <w:r>
        <w:rPr>
          <w:b/>
        </w:rPr>
        <w:t xml:space="preserve">$20M/year in transferable tax credits</w:t>
      </w:r>
      <w:r>
        <w:t xml:space="preserve">. Given that this is a non-dilutive, non-debt source of capital worth cumulatively $100–200M over 2026–2028, the absence of any public discussion about 45X credit monetization suggests Lunar may not have this financial mechanism optimized. Peer manufacturers have been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2026-02-28T04:44:28Z</dcterms:created>
  <dcterms:modified xsi:type="dcterms:W3CDTF">2026-02-28T04:44:28Z</dcterms:modified>
</cp:coreProperties>
</file>

<file path=docProps/custom.xml><?xml version="1.0" encoding="utf-8"?>
<Properties xmlns="http://schemas.openxmlformats.org/officeDocument/2006/custom-properties" xmlns:vt="http://schemas.openxmlformats.org/officeDocument/2006/docPropsVTypes"/>
</file>