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regulatory and energy policy analyst specializing in US residential solar and storage incentive programs, with expertise in federal tax credits, state net metering policies, FEOC (Foreign Entity of Concern) rules, and virtual power plant regulatory frameworks. Your task is to analyze every regulatory factor affecting Lunar Energy’s business and model the impact of recent and pending policy changes.</w:t>
      </w:r>
    </w:p>
    <w:p>
      <w:pPr>
        <w:pStyle w:val="BodyText"/>
      </w:pPr>
      <w:r>
        <w:t xml:space="preserve">SECTION 1: FEDERAL INVESTMENT TAX CREDIT (ITC) — CURRENT STATUS &amp; IMPACT</w:t>
      </w:r>
    </w:p>
    <w:p>
      <w:pPr>
        <w:numPr>
          <w:ilvl w:val="0"/>
          <w:numId w:val="1001"/>
        </w:numPr>
        <w:pStyle w:val="Compact"/>
      </w:pPr>
      <w:r>
        <w:t xml:space="preserve">2025 Congressional changes:</w:t>
      </w:r>
    </w:p>
    <w:p>
      <w:pPr>
        <w:numPr>
          <w:ilvl w:val="0"/>
          <w:numId w:val="1002"/>
        </w:numPr>
        <w:pStyle w:val="Compact"/>
      </w:pPr>
      <w:r>
        <w:t xml:space="preserve">The profile states that</w:t>
      </w:r>
      <w:r>
        <w:t xml:space="preserve"> </w:t>
      </w:r>
      <w:r>
        <w:t xml:space="preserve">“</w:t>
      </w:r>
      <w:r>
        <w:t xml:space="preserve">Republicans ended decades-old tax credits for homeowners</w:t>
      </w:r>
      <w:r>
        <w:t xml:space="preserve">”</w:t>
      </w:r>
      <w:r>
        <w:t xml:space="preserve"> </w:t>
      </w:r>
      <w:r>
        <w:t xml:space="preserve">in 2025. Research the precise legislative change:</w:t>
      </w:r>
    </w:p>
    <w:p>
      <w:pPr>
        <w:numPr>
          <w:ilvl w:val="1"/>
          <w:numId w:val="1003"/>
        </w:numPr>
        <w:pStyle w:val="Compact"/>
      </w:pPr>
      <w:r>
        <w:t xml:space="preserve">What exactly was changed? (Section 25D residential clean energy credit eliminated? Modified? Phased out?)</w:t>
      </w:r>
    </w:p>
    <w:p>
      <w:pPr>
        <w:numPr>
          <w:ilvl w:val="1"/>
          <w:numId w:val="1003"/>
        </w:numPr>
        <w:pStyle w:val="Compact"/>
      </w:pPr>
      <w:r>
        <w:t xml:space="preserve">What remains? (Section 48E commercial ITC for third-party owners/lessors still available?)</w:t>
      </w:r>
    </w:p>
    <w:p>
      <w:pPr>
        <w:numPr>
          <w:ilvl w:val="1"/>
          <w:numId w:val="1003"/>
        </w:numPr>
        <w:pStyle w:val="Compact"/>
      </w:pPr>
      <w:r>
        <w:t xml:space="preserve">What is the effective date? Are there transition provisions?</w:t>
      </w:r>
    </w:p>
    <w:p>
      <w:pPr>
        <w:numPr>
          <w:ilvl w:val="1"/>
          <w:numId w:val="1003"/>
        </w:numPr>
        <w:pStyle w:val="Compact"/>
      </w:pPr>
      <w:r>
        <w:t xml:space="preserve">How does this affect the economics of a homeowner purchasing a Lunar System outright?</w:t>
      </w:r>
    </w:p>
    <w:p>
      <w:pPr>
        <w:numPr>
          <w:ilvl w:val="1"/>
          <w:numId w:val="1003"/>
        </w:numPr>
        <w:pStyle w:val="Compact"/>
      </w:pPr>
      <w:r>
        <w:t xml:space="preserve">How does this affect the economics of a Sunrun lease model (where Sunrun owns the equipment and claims the ITC)?</w:t>
      </w:r>
    </w:p>
    <w:p>
      <w:pPr>
        <w:numPr>
          <w:ilvl w:val="0"/>
          <w:numId w:val="1004"/>
        </w:numPr>
        <w:pStyle w:val="Compact"/>
      </w:pPr>
      <w:r>
        <w:t xml:space="preserve">Domestic content bonus:</w:t>
      </w:r>
    </w:p>
    <w:p>
      <w:pPr>
        <w:numPr>
          <w:ilvl w:val="0"/>
          <w:numId w:val="1005"/>
        </w:numPr>
        <w:pStyle w:val="Compact"/>
      </w:pPr>
      <w:r>
        <w:t xml:space="preserve">Under the IRA, there’s a 10% bonus ITC for meeting domestic content requirements. What are the specific thresholds?</w:t>
      </w:r>
    </w:p>
    <w:p>
      <w:pPr>
        <w:numPr>
          <w:ilvl w:val="0"/>
          <w:numId w:val="1005"/>
        </w:numPr>
        <w:pStyle w:val="Compact"/>
      </w:pPr>
      <w:r>
        <w:t xml:space="preserve">Lunar claims to qualify as</w:t>
      </w:r>
      <w:r>
        <w:t xml:space="preserve"> </w:t>
      </w:r>
      <w:r>
        <w:t xml:space="preserve">“</w:t>
      </w:r>
      <w:r>
        <w:t xml:space="preserve">non-FEOC</w:t>
      </w:r>
      <w:r>
        <w:t xml:space="preserve">”</w:t>
      </w:r>
      <w:r>
        <w:t xml:space="preserve"> </w:t>
      </w:r>
      <w:r>
        <w:t xml:space="preserve">— what exactly does this mean under current Treasury guidance?</w:t>
      </w:r>
    </w:p>
    <w:p>
      <w:pPr>
        <w:numPr>
          <w:ilvl w:val="0"/>
          <w:numId w:val="1005"/>
        </w:numPr>
        <w:pStyle w:val="Compact"/>
      </w:pPr>
      <w:r>
        <w:t xml:space="preserve">What documentation must Lunar provide to claim domestic content?</w:t>
      </w:r>
    </w:p>
    <w:p>
      <w:pPr>
        <w:numPr>
          <w:ilvl w:val="0"/>
          <w:numId w:val="1005"/>
        </w:numPr>
        <w:pStyle w:val="Compact"/>
      </w:pPr>
      <w:r>
        <w:t xml:space="preserve">How many competitors also qualify for the domestic content bonus? (Tesla, Enphase, FranklinWH, others?)</w:t>
      </w:r>
    </w:p>
    <w:p>
      <w:pPr>
        <w:numPr>
          <w:ilvl w:val="0"/>
          <w:numId w:val="1005"/>
        </w:numPr>
        <w:pStyle w:val="Compact"/>
      </w:pPr>
      <w:r>
        <w:t xml:space="preserve">If the domestic content bonus is worth 10 percentage points of ITC, how much dollar value does this create per Lunar System at $25K cost?</w:t>
      </w:r>
    </w:p>
    <w:p>
      <w:pPr>
        <w:numPr>
          <w:ilvl w:val="0"/>
          <w:numId w:val="1006"/>
        </w:numPr>
        <w:pStyle w:val="Compact"/>
      </w:pPr>
      <w:r>
        <w:t xml:space="preserve">FEOC rules in detail:</w:t>
      </w:r>
    </w:p>
    <w:p>
      <w:pPr>
        <w:numPr>
          <w:ilvl w:val="0"/>
          <w:numId w:val="1007"/>
        </w:numPr>
        <w:pStyle w:val="Compact"/>
      </w:pPr>
      <w:r>
        <w:t xml:space="preserve">What are the current FEOC definitions? (Treasury Final Rule, December 2024)</w:t>
      </w:r>
    </w:p>
    <w:p>
      <w:pPr>
        <w:numPr>
          <w:ilvl w:val="0"/>
          <w:numId w:val="1007"/>
        </w:numPr>
        <w:pStyle w:val="Compact"/>
      </w:pPr>
      <w:r>
        <w:t xml:space="preserve">Where is the line between</w:t>
      </w:r>
      <w:r>
        <w:t xml:space="preserve"> </w:t>
      </w:r>
      <w:r>
        <w:t xml:space="preserve">“</w:t>
      </w:r>
      <w:r>
        <w:t xml:space="preserve">manufactured by</w:t>
      </w:r>
      <w:r>
        <w:t xml:space="preserve">”</w:t>
      </w:r>
      <w:r>
        <w:t xml:space="preserve"> </w:t>
      </w:r>
      <w:r>
        <w:t xml:space="preserve">and</w:t>
      </w:r>
      <w:r>
        <w:t xml:space="preserve"> </w:t>
      </w:r>
      <w:r>
        <w:t xml:space="preserve">“</w:t>
      </w:r>
      <w:r>
        <w:t xml:space="preserve">assembled from components made by</w:t>
      </w:r>
      <w:r>
        <w:t xml:space="preserve">”</w:t>
      </w:r>
      <w:r>
        <w:t xml:space="preserve"> </w:t>
      </w:r>
      <w:r>
        <w:t xml:space="preserve">an FEOC?</w:t>
      </w:r>
    </w:p>
    <w:p>
      <w:pPr>
        <w:numPr>
          <w:ilvl w:val="0"/>
          <w:numId w:val="1007"/>
        </w:numPr>
        <w:pStyle w:val="Compact"/>
      </w:pPr>
      <w:r>
        <w:t xml:space="preserve">If Lunar uses SK Group cells (South Korean company), but SK sources cathode materials from China, does this create FEOC risk?</w:t>
      </w:r>
    </w:p>
    <w:p>
      <w:pPr>
        <w:numPr>
          <w:ilvl w:val="0"/>
          <w:numId w:val="1007"/>
        </w:numPr>
        <w:pStyle w:val="Compact"/>
      </w:pPr>
      <w:r>
        <w:t xml:space="preserve">What is the timeline for FEOC mineral extraction/processing requirements (phased in 2024-2028)?</w:t>
      </w:r>
    </w:p>
    <w:p>
      <w:pPr>
        <w:numPr>
          <w:ilvl w:val="0"/>
          <w:numId w:val="1007"/>
        </w:numPr>
        <w:pStyle w:val="Compact"/>
      </w:pPr>
      <w:r>
        <w:t xml:space="preserve">How could future tightening of FEOC rules affect Lunar’s compliance?</w:t>
      </w:r>
    </w:p>
    <w:p>
      <w:pPr>
        <w:numPr>
          <w:ilvl w:val="0"/>
          <w:numId w:val="1008"/>
        </w:numPr>
        <w:pStyle w:val="Compact"/>
      </w:pPr>
      <w:r>
        <w:t xml:space="preserve">Impact modeling:</w:t>
      </w:r>
    </w:p>
    <w:p>
      <w:pPr>
        <w:numPr>
          <w:ilvl w:val="0"/>
          <w:numId w:val="1009"/>
        </w:numPr>
        <w:pStyle w:val="Compact"/>
      </w:pPr>
      <w:r>
        <w:t xml:space="preserve">Pre-2025: Homeowner buying $25K Lunar System gets 30% ITC = $7,500 credit. Net cost: $17,500</w:t>
      </w:r>
    </w:p>
    <w:p>
      <w:pPr>
        <w:numPr>
          <w:ilvl w:val="0"/>
          <w:numId w:val="1009"/>
        </w:numPr>
        <w:pStyle w:val="Compact"/>
      </w:pPr>
      <w:r>
        <w:t xml:space="preserve">Post-2025 (homeowner purchase): If 25D eliminated, net cost: $25,000 (43% more expensive)</w:t>
      </w:r>
    </w:p>
    <w:p>
      <w:pPr>
        <w:numPr>
          <w:ilvl w:val="0"/>
          <w:numId w:val="1009"/>
        </w:numPr>
        <w:pStyle w:val="Compact"/>
      </w:pPr>
      <w:r>
        <w:t xml:space="preserve">Post-2025 (lease/PPA): Sunrun claims 48E ITC (30% + 10% domestic content) = $10,000 credit. Pass-through to homeowner via lower lease payment. Net effective cost to homeowner: ~$18,000 equivalent?</w:t>
      </w:r>
    </w:p>
    <w:p>
      <w:pPr>
        <w:numPr>
          <w:ilvl w:val="0"/>
          <w:numId w:val="1009"/>
        </w:numPr>
        <w:pStyle w:val="Compact"/>
      </w:pPr>
      <w:r>
        <w:t xml:space="preserve">How does this shift the market from direct purchase to lease/PPA models? Does this help or hurt Lunar?</w:t>
      </w:r>
    </w:p>
    <w:p>
      <w:pPr>
        <w:pStyle w:val="FirstParagraph"/>
      </w:pPr>
      <w:r>
        <w:t xml:space="preserve">SECTION 2: CALIFORNIA POLICY ENVIRONMENT</w:t>
      </w:r>
    </w:p>
    <w:p>
      <w:pPr>
        <w:numPr>
          <w:ilvl w:val="0"/>
          <w:numId w:val="1010"/>
        </w:numPr>
        <w:pStyle w:val="Compact"/>
      </w:pPr>
      <w:r>
        <w:t xml:space="preserve">NEM 3.0 (Net Billing Tariff):</w:t>
      </w:r>
    </w:p>
    <w:p>
      <w:pPr>
        <w:numPr>
          <w:ilvl w:val="0"/>
          <w:numId w:val="1011"/>
        </w:numPr>
        <w:pStyle w:val="Compact"/>
      </w:pPr>
      <w:r>
        <w:t xml:space="preserve">When did NEM 3.0 take effect? (April 2023 for new solar applications)</w:t>
      </w:r>
    </w:p>
    <w:p>
      <w:pPr>
        <w:numPr>
          <w:ilvl w:val="0"/>
          <w:numId w:val="1011"/>
        </w:numPr>
        <w:pStyle w:val="Compact"/>
      </w:pPr>
      <w:r>
        <w:t xml:space="preserve">What specifically changed? (Export compensation reduced from ~$0.30/kWh to ~$0.05-0.08/kWh?)</w:t>
      </w:r>
    </w:p>
    <w:p>
      <w:pPr>
        <w:numPr>
          <w:ilvl w:val="0"/>
          <w:numId w:val="1011"/>
        </w:numPr>
        <w:pStyle w:val="Compact"/>
      </w:pPr>
      <w:r>
        <w:t xml:space="preserve">How does this affect battery storage economics? (Without battery: export at $0.05. With battery: store and self-consume at $0.30+ avoided cost)</w:t>
      </w:r>
    </w:p>
    <w:p>
      <w:pPr>
        <w:numPr>
          <w:ilvl w:val="0"/>
          <w:numId w:val="1011"/>
        </w:numPr>
        <w:pStyle w:val="Compact"/>
      </w:pPr>
      <w:r>
        <w:t xml:space="preserve">What is the quantified annual value of a battery under NEM 3.0 vs. NEM 2.0?</w:t>
      </w:r>
    </w:p>
    <w:p>
      <w:pPr>
        <w:numPr>
          <w:ilvl w:val="0"/>
          <w:numId w:val="1011"/>
        </w:numPr>
        <w:pStyle w:val="Compact"/>
      </w:pPr>
      <w:r>
        <w:t xml:space="preserve">Is there any risk of NEM 3.0 being modified, reversed, or further tightened?</w:t>
      </w:r>
    </w:p>
    <w:p>
      <w:pPr>
        <w:numPr>
          <w:ilvl w:val="0"/>
          <w:numId w:val="1012"/>
        </w:numPr>
        <w:pStyle w:val="Compact"/>
      </w:pPr>
      <w:r>
        <w:t xml:space="preserve">Self-Generation Incentive Program (SGIP):</w:t>
      </w:r>
    </w:p>
    <w:p>
      <w:pPr>
        <w:numPr>
          <w:ilvl w:val="0"/>
          <w:numId w:val="1013"/>
        </w:numPr>
        <w:pStyle w:val="Compact"/>
      </w:pPr>
      <w:r>
        <w:t xml:space="preserve">What incentive does SGIP provide for residential batteries in 2025?</w:t>
      </w:r>
    </w:p>
    <w:p>
      <w:pPr>
        <w:numPr>
          <w:ilvl w:val="0"/>
          <w:numId w:val="1013"/>
        </w:numPr>
        <w:pStyle w:val="Compact"/>
      </w:pPr>
      <w:r>
        <w:t xml:space="preserve">Has SGIP funding been exhausted or reduced?</w:t>
      </w:r>
    </w:p>
    <w:p>
      <w:pPr>
        <w:numPr>
          <w:ilvl w:val="0"/>
          <w:numId w:val="1013"/>
        </w:numPr>
        <w:pStyle w:val="Compact"/>
      </w:pPr>
      <w:r>
        <w:t xml:space="preserve">What’s the application process and timeline?</w:t>
      </w:r>
    </w:p>
    <w:p>
      <w:pPr>
        <w:numPr>
          <w:ilvl w:val="0"/>
          <w:numId w:val="1013"/>
        </w:numPr>
        <w:pStyle w:val="Compact"/>
      </w:pPr>
      <w:r>
        <w:t xml:space="preserve">How much does SGIP reduce the effective cost of a Lunar System?</w:t>
      </w:r>
    </w:p>
    <w:p>
      <w:pPr>
        <w:numPr>
          <w:ilvl w:val="0"/>
          <w:numId w:val="1014"/>
        </w:numPr>
        <w:pStyle w:val="Compact"/>
      </w:pPr>
      <w:r>
        <w:t xml:space="preserve">Community Choice Aggregator (CCA) VPP programs:</w:t>
      </w:r>
    </w:p>
    <w:p>
      <w:pPr>
        <w:numPr>
          <w:ilvl w:val="0"/>
          <w:numId w:val="1015"/>
        </w:numPr>
        <w:pStyle w:val="Compact"/>
      </w:pPr>
      <w:r>
        <w:t xml:space="preserve">Lunar has partnerships with Peninsula Clean Energy, Silicon Valley Clean Energy, and Ava Community Energy</w:t>
      </w:r>
    </w:p>
    <w:p>
      <w:pPr>
        <w:numPr>
          <w:ilvl w:val="0"/>
          <w:numId w:val="1015"/>
        </w:numPr>
        <w:pStyle w:val="Compact"/>
      </w:pPr>
      <w:r>
        <w:t xml:space="preserve">What are the specific VPP programs being offered?</w:t>
      </w:r>
    </w:p>
    <w:p>
      <w:pPr>
        <w:numPr>
          <w:ilvl w:val="0"/>
          <w:numId w:val="1015"/>
        </w:numPr>
        <w:pStyle w:val="Compact"/>
      </w:pPr>
      <w:r>
        <w:t xml:space="preserve">What does the CCA pay per kW or kWh of VPP participation?</w:t>
      </w:r>
    </w:p>
    <w:p>
      <w:pPr>
        <w:numPr>
          <w:ilvl w:val="0"/>
          <w:numId w:val="1015"/>
        </w:numPr>
        <w:pStyle w:val="Compact"/>
      </w:pPr>
      <w:r>
        <w:t xml:space="preserve">Are these multi-year contracts or year-to-year?</w:t>
      </w:r>
    </w:p>
    <w:p>
      <w:pPr>
        <w:numPr>
          <w:ilvl w:val="0"/>
          <w:numId w:val="1015"/>
        </w:numPr>
        <w:pStyle w:val="Compact"/>
      </w:pPr>
      <w:r>
        <w:t xml:space="preserve">How large are these programs? (Number of participants, total MW)</w:t>
      </w:r>
    </w:p>
    <w:p>
      <w:pPr>
        <w:numPr>
          <w:ilvl w:val="0"/>
          <w:numId w:val="1015"/>
        </w:numPr>
        <w:pStyle w:val="Compact"/>
      </w:pPr>
      <w:r>
        <w:t xml:space="preserve">Are there other California CCAs that could partner with Lunar?</w:t>
      </w:r>
    </w:p>
    <w:p>
      <w:pPr>
        <w:numPr>
          <w:ilvl w:val="0"/>
          <w:numId w:val="1016"/>
        </w:numPr>
        <w:pStyle w:val="Compact"/>
      </w:pPr>
      <w:r>
        <w:t xml:space="preserve">California utility VPP programs:</w:t>
      </w:r>
    </w:p>
    <w:p>
      <w:pPr>
        <w:numPr>
          <w:ilvl w:val="0"/>
          <w:numId w:val="1017"/>
        </w:numPr>
        <w:pStyle w:val="Compact"/>
      </w:pPr>
      <w:r>
        <w:t xml:space="preserve">PG&amp;E Emergency Load Reduction Program (ELRP)</w:t>
      </w:r>
    </w:p>
    <w:p>
      <w:pPr>
        <w:numPr>
          <w:ilvl w:val="0"/>
          <w:numId w:val="1017"/>
        </w:numPr>
        <w:pStyle w:val="Compact"/>
      </w:pPr>
      <w:r>
        <w:t xml:space="preserve">SCE demand response programs</w:t>
      </w:r>
    </w:p>
    <w:p>
      <w:pPr>
        <w:numPr>
          <w:ilvl w:val="0"/>
          <w:numId w:val="1017"/>
        </w:numPr>
        <w:pStyle w:val="Compact"/>
      </w:pPr>
      <w:r>
        <w:t xml:space="preserve">What compensation do these programs offer battery owners?</w:t>
      </w:r>
    </w:p>
    <w:p>
      <w:pPr>
        <w:numPr>
          <w:ilvl w:val="0"/>
          <w:numId w:val="1017"/>
        </w:numPr>
        <w:pStyle w:val="Compact"/>
      </w:pPr>
      <w:r>
        <w:t xml:space="preserve">How do utility programs compare to CCA programs?</w:t>
      </w:r>
    </w:p>
    <w:p>
      <w:pPr>
        <w:pStyle w:val="FirstParagraph"/>
      </w:pPr>
      <w:r>
        <w:t xml:space="preserve">SECTION 3: EXPANSION STATE REGULATORY ENVIRONMENTS</w:t>
      </w:r>
    </w:p>
    <w:p>
      <w:pPr>
        <w:pStyle w:val="BodyText"/>
      </w:pPr>
      <w:r>
        <w:t xml:space="preserve">For each of Lunar’s announced expansion markets, analyze the regulatory landscape:</w:t>
      </w:r>
    </w:p>
    <w:p>
      <w:pPr>
        <w:numPr>
          <w:ilvl w:val="0"/>
          <w:numId w:val="1018"/>
        </w:numPr>
        <w:pStyle w:val="Compact"/>
      </w:pPr>
      <w:r>
        <w:t xml:space="preserve">Texas (ERCOT):</w:t>
      </w:r>
    </w:p>
    <w:p>
      <w:pPr>
        <w:numPr>
          <w:ilvl w:val="0"/>
          <w:numId w:val="1019"/>
        </w:numPr>
        <w:pStyle w:val="Compact"/>
      </w:pPr>
      <w:r>
        <w:t xml:space="preserve">No net metering (deregulated market)</w:t>
      </w:r>
    </w:p>
    <w:p>
      <w:pPr>
        <w:numPr>
          <w:ilvl w:val="0"/>
          <w:numId w:val="1019"/>
        </w:numPr>
        <w:pStyle w:val="Compact"/>
      </w:pPr>
      <w:r>
        <w:t xml:space="preserve">How does battery storage create value in ERCOT? (Wholesale price arbitrage, demand response, ancillary services)</w:t>
      </w:r>
    </w:p>
    <w:p>
      <w:pPr>
        <w:numPr>
          <w:ilvl w:val="0"/>
          <w:numId w:val="1019"/>
        </w:numPr>
        <w:pStyle w:val="Compact"/>
      </w:pPr>
      <w:r>
        <w:t xml:space="preserve">What VPP programs exist? (Austin Energy, TXU, Reliant, others)</w:t>
      </w:r>
    </w:p>
    <w:p>
      <w:pPr>
        <w:numPr>
          <w:ilvl w:val="0"/>
          <w:numId w:val="1019"/>
        </w:numPr>
        <w:pStyle w:val="Compact"/>
      </w:pPr>
      <w:r>
        <w:t xml:space="preserve">What are the typical annual savings/earnings for a battery in Texas?</w:t>
      </w:r>
    </w:p>
    <w:p>
      <w:pPr>
        <w:numPr>
          <w:ilvl w:val="0"/>
          <w:numId w:val="1019"/>
        </w:numPr>
        <w:pStyle w:val="Compact"/>
      </w:pPr>
      <w:r>
        <w:t xml:space="preserve">How does the economics compare to California?</w:t>
      </w:r>
    </w:p>
    <w:p>
      <w:pPr>
        <w:numPr>
          <w:ilvl w:val="0"/>
          <w:numId w:val="1020"/>
        </w:numPr>
        <w:pStyle w:val="Compact"/>
      </w:pPr>
      <w:r>
        <w:t xml:space="preserve">Utah:</w:t>
      </w:r>
    </w:p>
    <w:p>
      <w:pPr>
        <w:numPr>
          <w:ilvl w:val="0"/>
          <w:numId w:val="1021"/>
        </w:numPr>
        <w:pStyle w:val="Compact"/>
      </w:pPr>
      <w:r>
        <w:t xml:space="preserve">Current net metering policy and outlook</w:t>
      </w:r>
    </w:p>
    <w:p>
      <w:pPr>
        <w:numPr>
          <w:ilvl w:val="0"/>
          <w:numId w:val="1021"/>
        </w:numPr>
        <w:pStyle w:val="Compact"/>
      </w:pPr>
      <w:r>
        <w:t xml:space="preserve">State incentives for storage</w:t>
      </w:r>
    </w:p>
    <w:p>
      <w:pPr>
        <w:numPr>
          <w:ilvl w:val="0"/>
          <w:numId w:val="1021"/>
        </w:numPr>
        <w:pStyle w:val="Compact"/>
      </w:pPr>
      <w:r>
        <w:t xml:space="preserve">VPP programs or potential</w:t>
      </w:r>
    </w:p>
    <w:p>
      <w:pPr>
        <w:numPr>
          <w:ilvl w:val="0"/>
          <w:numId w:val="1022"/>
        </w:numPr>
        <w:pStyle w:val="Compact"/>
      </w:pPr>
      <w:r>
        <w:t xml:space="preserve">Nevada:</w:t>
      </w:r>
    </w:p>
    <w:p>
      <w:pPr>
        <w:numPr>
          <w:ilvl w:val="0"/>
          <w:numId w:val="1023"/>
        </w:numPr>
        <w:pStyle w:val="Compact"/>
      </w:pPr>
      <w:r>
        <w:t xml:space="preserve">Net metering history (eliminated then restored)</w:t>
      </w:r>
    </w:p>
    <w:p>
      <w:pPr>
        <w:numPr>
          <w:ilvl w:val="0"/>
          <w:numId w:val="1023"/>
        </w:numPr>
        <w:pStyle w:val="Compact"/>
      </w:pPr>
      <w:r>
        <w:t xml:space="preserve">NV Energy battery programs</w:t>
      </w:r>
    </w:p>
    <w:p>
      <w:pPr>
        <w:numPr>
          <w:ilvl w:val="0"/>
          <w:numId w:val="1023"/>
        </w:numPr>
        <w:pStyle w:val="Compact"/>
      </w:pPr>
      <w:r>
        <w:t xml:space="preserve">State incentives</w:t>
      </w:r>
    </w:p>
    <w:p>
      <w:pPr>
        <w:numPr>
          <w:ilvl w:val="0"/>
          <w:numId w:val="1024"/>
        </w:numPr>
        <w:pStyle w:val="Compact"/>
      </w:pPr>
      <w:r>
        <w:t xml:space="preserve">Illinois:</w:t>
      </w:r>
    </w:p>
    <w:p>
      <w:pPr>
        <w:numPr>
          <w:ilvl w:val="0"/>
          <w:numId w:val="1025"/>
        </w:numPr>
        <w:pStyle w:val="Compact"/>
      </w:pPr>
      <w:r>
        <w:t xml:space="preserve">Climate and Equitable Jobs Act impact on storage</w:t>
      </w:r>
    </w:p>
    <w:p>
      <w:pPr>
        <w:numPr>
          <w:ilvl w:val="0"/>
          <w:numId w:val="1025"/>
        </w:numPr>
        <w:pStyle w:val="Compact"/>
      </w:pPr>
      <w:r>
        <w:t xml:space="preserve">ComEd and Ameren territory opportunities</w:t>
      </w:r>
    </w:p>
    <w:p>
      <w:pPr>
        <w:numPr>
          <w:ilvl w:val="0"/>
          <w:numId w:val="1025"/>
        </w:numPr>
        <w:pStyle w:val="Compact"/>
      </w:pPr>
      <w:r>
        <w:t xml:space="preserve">VPP regulatory framework</w:t>
      </w:r>
    </w:p>
    <w:p>
      <w:pPr>
        <w:pStyle w:val="FirstParagraph"/>
      </w:pPr>
      <w:r>
        <w:t xml:space="preserve">SECTION 4: VPP REGULATORY FRAMEWORK — NATIONAL LANDSCAPE</w:t>
      </w:r>
    </w:p>
    <w:p>
      <w:pPr>
        <w:numPr>
          <w:ilvl w:val="0"/>
          <w:numId w:val="1026"/>
        </w:numPr>
        <w:pStyle w:val="Compact"/>
      </w:pPr>
      <w:r>
        <w:t xml:space="preserve">FERC Order 2222:</w:t>
      </w:r>
    </w:p>
    <w:p>
      <w:pPr>
        <w:numPr>
          <w:ilvl w:val="0"/>
          <w:numId w:val="1027"/>
        </w:numPr>
        <w:pStyle w:val="Compact"/>
      </w:pPr>
      <w:r>
        <w:t xml:space="preserve">Status of FERC Order 2222 implementation (requires ISOs to allow DER aggregation in wholesale markets)</w:t>
      </w:r>
    </w:p>
    <w:p>
      <w:pPr>
        <w:numPr>
          <w:ilvl w:val="0"/>
          <w:numId w:val="1027"/>
        </w:numPr>
        <w:pStyle w:val="Compact"/>
      </w:pPr>
      <w:r>
        <w:t xml:space="preserve">Which ISOs have implemented? (CAISO, ERCOT, ISO-NE, PJM, others)</w:t>
      </w:r>
    </w:p>
    <w:p>
      <w:pPr>
        <w:numPr>
          <w:ilvl w:val="0"/>
          <w:numId w:val="1027"/>
        </w:numPr>
        <w:pStyle w:val="Compact"/>
      </w:pPr>
      <w:r>
        <w:t xml:space="preserve">What barriers remain to full implementation?</w:t>
      </w:r>
    </w:p>
    <w:p>
      <w:pPr>
        <w:numPr>
          <w:ilvl w:val="0"/>
          <w:numId w:val="1027"/>
        </w:numPr>
        <w:pStyle w:val="Compact"/>
      </w:pPr>
      <w:r>
        <w:t xml:space="preserve">How does this affect Gridshare’s addressable market?</w:t>
      </w:r>
    </w:p>
    <w:p>
      <w:pPr>
        <w:numPr>
          <w:ilvl w:val="0"/>
          <w:numId w:val="1028"/>
        </w:numPr>
        <w:pStyle w:val="Compact"/>
      </w:pPr>
      <w:r>
        <w:t xml:space="preserve">State VPP mandates and programs:</w:t>
      </w:r>
    </w:p>
    <w:p>
      <w:pPr>
        <w:numPr>
          <w:ilvl w:val="0"/>
          <w:numId w:val="1029"/>
        </w:numPr>
        <w:pStyle w:val="Compact"/>
      </w:pPr>
      <w:r>
        <w:t xml:space="preserve">Profile mentions</w:t>
      </w:r>
      <w:r>
        <w:t xml:space="preserve"> </w:t>
      </w:r>
      <w:r>
        <w:t xml:space="preserve">“</w:t>
      </w:r>
      <w:r>
        <w:t xml:space="preserve">Colorado, Illinois, Maryland, Minnesota, North Carolina, Utah, and Virginia have passed laws or are pursuing regulatory action to expand VPP use</w:t>
      </w:r>
      <w:r>
        <w:t xml:space="preserve">”</w:t>
      </w:r>
    </w:p>
    <w:p>
      <w:pPr>
        <w:numPr>
          <w:ilvl w:val="0"/>
          <w:numId w:val="1029"/>
        </w:numPr>
        <w:pStyle w:val="Compact"/>
      </w:pPr>
      <w:r>
        <w:t xml:space="preserve">For each state: What specific legislation or regulatory action has been taken?</w:t>
      </w:r>
    </w:p>
    <w:p>
      <w:pPr>
        <w:numPr>
          <w:ilvl w:val="0"/>
          <w:numId w:val="1029"/>
        </w:numPr>
        <w:pStyle w:val="Compact"/>
      </w:pPr>
      <w:r>
        <w:t xml:space="preserve">How large are these VPP markets? (MW, participants, budget)</w:t>
      </w:r>
    </w:p>
    <w:p>
      <w:pPr>
        <w:numPr>
          <w:ilvl w:val="0"/>
          <w:numId w:val="1029"/>
        </w:numPr>
        <w:pStyle w:val="Compact"/>
      </w:pPr>
      <w:r>
        <w:t xml:space="preserve">Which represent the best near-term opportunity for Lunar/Gridshare?</w:t>
      </w:r>
    </w:p>
    <w:p>
      <w:pPr>
        <w:numPr>
          <w:ilvl w:val="0"/>
          <w:numId w:val="1030"/>
        </w:numPr>
        <w:pStyle w:val="Compact"/>
      </w:pPr>
      <w:r>
        <w:t xml:space="preserve">Utility-scale VPP procurement:</w:t>
      </w:r>
    </w:p>
    <w:p>
      <w:pPr>
        <w:numPr>
          <w:ilvl w:val="0"/>
          <w:numId w:val="1031"/>
        </w:numPr>
        <w:pStyle w:val="Compact"/>
      </w:pPr>
      <w:r>
        <w:t xml:space="preserve">Which utilities are actively procuring VPP capacity through RFPs?</w:t>
      </w:r>
    </w:p>
    <w:p>
      <w:pPr>
        <w:numPr>
          <w:ilvl w:val="0"/>
          <w:numId w:val="1031"/>
        </w:numPr>
        <w:pStyle w:val="Compact"/>
      </w:pPr>
      <w:r>
        <w:t xml:space="preserve">What are the contract terms? (Duration, $/kW-year, performance requirements)</w:t>
      </w:r>
    </w:p>
    <w:p>
      <w:pPr>
        <w:numPr>
          <w:ilvl w:val="0"/>
          <w:numId w:val="1031"/>
        </w:numPr>
        <w:pStyle w:val="Compact"/>
      </w:pPr>
      <w:r>
        <w:t xml:space="preserve">Has Gridshare won any utility RFPs? Which has it lost?</w:t>
      </w:r>
    </w:p>
    <w:p>
      <w:pPr>
        <w:pStyle w:val="FirstParagraph"/>
      </w:pPr>
      <w:r>
        <w:t xml:space="preserve">SECTION 5: INTERNATIONAL REGULATORY ENVIRONMENT</w:t>
      </w:r>
    </w:p>
    <w:p>
      <w:pPr>
        <w:numPr>
          <w:ilvl w:val="0"/>
          <w:numId w:val="1032"/>
        </w:numPr>
        <w:pStyle w:val="Compact"/>
      </w:pPr>
      <w:r>
        <w:t xml:space="preserve">Japan:</w:t>
      </w:r>
    </w:p>
    <w:p>
      <w:pPr>
        <w:numPr>
          <w:ilvl w:val="0"/>
          <w:numId w:val="1033"/>
        </w:numPr>
        <w:pStyle w:val="Compact"/>
      </w:pPr>
      <w:r>
        <w:t xml:space="preserve">Feed-in-tariff (FIT) program evolution</w:t>
      </w:r>
    </w:p>
    <w:p>
      <w:pPr>
        <w:numPr>
          <w:ilvl w:val="0"/>
          <w:numId w:val="1033"/>
        </w:numPr>
        <w:pStyle w:val="Compact"/>
      </w:pPr>
      <w:r>
        <w:t xml:space="preserve">Time-of-use rate structures driving battery optimization</w:t>
      </w:r>
    </w:p>
    <w:p>
      <w:pPr>
        <w:numPr>
          <w:ilvl w:val="0"/>
          <w:numId w:val="1033"/>
        </w:numPr>
        <w:pStyle w:val="Compact"/>
      </w:pPr>
      <w:r>
        <w:t xml:space="preserve">Carbon neutral commitments affecting storage policy</w:t>
      </w:r>
    </w:p>
    <w:p>
      <w:pPr>
        <w:numPr>
          <w:ilvl w:val="0"/>
          <w:numId w:val="1033"/>
        </w:numPr>
        <w:pStyle w:val="Compact"/>
      </w:pPr>
      <w:r>
        <w:t xml:space="preserve">TEPCO partnership regulatory implications</w:t>
      </w:r>
    </w:p>
    <w:p>
      <w:pPr>
        <w:numPr>
          <w:ilvl w:val="0"/>
          <w:numId w:val="1034"/>
        </w:numPr>
        <w:pStyle w:val="Compact"/>
      </w:pPr>
      <w:r>
        <w:t xml:space="preserve">United Kingdom:</w:t>
      </w:r>
    </w:p>
    <w:p>
      <w:pPr>
        <w:numPr>
          <w:ilvl w:val="0"/>
          <w:numId w:val="1035"/>
        </w:numPr>
        <w:pStyle w:val="Compact"/>
      </w:pPr>
      <w:r>
        <w:t xml:space="preserve">DNO flexibility services market size and growth</w:t>
      </w:r>
    </w:p>
    <w:p>
      <w:pPr>
        <w:numPr>
          <w:ilvl w:val="0"/>
          <w:numId w:val="1035"/>
        </w:numPr>
        <w:pStyle w:val="Compact"/>
      </w:pPr>
      <w:r>
        <w:t xml:space="preserve">Ofgem regulation of distributed energy resources</w:t>
      </w:r>
    </w:p>
    <w:p>
      <w:pPr>
        <w:numPr>
          <w:ilvl w:val="0"/>
          <w:numId w:val="1035"/>
        </w:numPr>
        <w:pStyle w:val="Compact"/>
      </w:pPr>
      <w:r>
        <w:t xml:space="preserve">UK government energy storage policy</w:t>
      </w:r>
    </w:p>
    <w:p>
      <w:pPr>
        <w:numPr>
          <w:ilvl w:val="0"/>
          <w:numId w:val="1035"/>
        </w:numPr>
        <w:pStyle w:val="Compact"/>
      </w:pPr>
      <w:r>
        <w:t xml:space="preserve">How does Brexit affect energy market regulation?</w:t>
      </w:r>
    </w:p>
    <w:p>
      <w:pPr>
        <w:pStyle w:val="FirstParagraph"/>
      </w:pPr>
      <w:r>
        <w:t xml:space="preserve">SECTION 6: POLITICAL &amp; POLICY RISK SCENARIOS</w:t>
      </w:r>
    </w:p>
    <w:p>
      <w:pPr>
        <w:pStyle w:val="BodyText"/>
      </w:pPr>
      <w:r>
        <w:t xml:space="preserve">Model the impact of potential future policy changes:</w:t>
      </w:r>
    </w:p>
    <w:p>
      <w:pPr>
        <w:numPr>
          <w:ilvl w:val="0"/>
          <w:numId w:val="1036"/>
        </w:numPr>
        <w:pStyle w:val="Compact"/>
      </w:pPr>
      <w:r>
        <w:t xml:space="preserve">Further IRA rollback: If the remaining commercial ITC (Section 48E) is also reduced or eliminated, what happens to the lease model?</w:t>
      </w:r>
    </w:p>
    <w:p>
      <w:pPr>
        <w:numPr>
          <w:ilvl w:val="0"/>
          <w:numId w:val="1036"/>
        </w:numPr>
        <w:pStyle w:val="Compact"/>
      </w:pPr>
      <w:r>
        <w:t xml:space="preserve">California policy reversal: If NEM 3.0 is loosened (less favorable for batteries), what happens to the CA market?</w:t>
      </w:r>
    </w:p>
    <w:p>
      <w:pPr>
        <w:numPr>
          <w:ilvl w:val="0"/>
          <w:numId w:val="1036"/>
        </w:numPr>
        <w:pStyle w:val="Compact"/>
      </w:pPr>
      <w:r>
        <w:t xml:space="preserve">Tariff escalation: If tariffs on battery components increase 25-50%, what’s the cost impact?</w:t>
      </w:r>
    </w:p>
    <w:p>
      <w:pPr>
        <w:numPr>
          <w:ilvl w:val="0"/>
          <w:numId w:val="1036"/>
        </w:numPr>
        <w:pStyle w:val="Compact"/>
      </w:pPr>
      <w:r>
        <w:t xml:space="preserve">FEOC tightening: If mineral extraction rules become more stringent in 2025-2026, does Lunar remain compliant?</w:t>
      </w:r>
    </w:p>
    <w:p>
      <w:pPr>
        <w:numPr>
          <w:ilvl w:val="0"/>
          <w:numId w:val="1036"/>
        </w:numPr>
        <w:pStyle w:val="Compact"/>
      </w:pPr>
      <w:r>
        <w:t xml:space="preserve">VPP mandate expansion: If multiple states mandate VPP participation, how large could the market become?</w:t>
      </w:r>
    </w:p>
    <w:p>
      <w:pPr>
        <w:pStyle w:val="FirstParagraph"/>
      </w:pPr>
      <w:r>
        <w:t xml:space="preserve">End your output with</w:t>
      </w:r>
      <w:r>
        <w:t xml:space="preserve"> </w:t>
      </w:r>
      <w:r>
        <w:t xml:space="preserve">“</w:t>
      </w:r>
      <w:r>
        <w:t xml:space="preserve">NOTABLE ANOMALIES</w:t>
      </w:r>
      <w:r>
        <w:t xml:space="preserve">”</w:t>
      </w:r>
      <w:r>
        <w:t xml:space="preserve"> </w:t>
      </w:r>
      <w:r>
        <w:t xml:space="preserve">— anything surprising, contradictory, or unusual you’ve found. Pay particular attention to:</w:t>
      </w:r>
      <w:r>
        <w:t xml:space="preserve"> </w:t>
      </w:r>
      <w:r>
        <w:t xml:space="preserve">- Policy changes that haven’t been widely reported but could materially affect Lunar</w:t>
      </w:r>
      <w:r>
        <w:t xml:space="preserve"> </w:t>
      </w:r>
      <w:r>
        <w:t xml:space="preserve">- Inconsistencies between what Lunar claims about ITC eligibility and what regulations actually say</w:t>
      </w:r>
      <w:r>
        <w:t xml:space="preserve"> </w:t>
      </w:r>
      <w:r>
        <w:t xml:space="preserve">- States where the regulatory environment is better than commonly understood</w:t>
      </w:r>
      <w:r>
        <w:t xml:space="preserve"> </w:t>
      </w:r>
      <w:r>
        <w:t xml:space="preserve">- Regulatory risks that management isn’t publicly discussing</w:t>
      </w:r>
      <w:r>
        <w:t xml:space="preserve"> </w:t>
      </w:r>
      <w:r>
        <w:t xml:space="preserve">- VPP programs or utility RFPs that represent immediate opportunities</w:t>
      </w:r>
      <w:r>
        <w:t xml:space="preserve"> </w:t>
      </w:r>
      <w:r>
        <w:t xml:space="preserve">- Comparisons between what policy-driven value Lunar systems capture vs. competitors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821">
    <w:nsid w:val="ea454b4c"/>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2026-02-28T04:44:31Z</dcterms:created>
  <dcterms:modified xsi:type="dcterms:W3CDTF">2026-02-28T04:44:31Z</dcterms:modified>
</cp:coreProperties>
</file>

<file path=docProps/custom.xml><?xml version="1.0" encoding="utf-8"?>
<Properties xmlns="http://schemas.openxmlformats.org/officeDocument/2006/custom-properties" xmlns:vt="http://schemas.openxmlformats.org/officeDocument/2006/docPropsVTypes"/>
</file>