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You are a senior investment banker and capital structure advisor specializing in cleantech companies transitioning from venture-backed growth to sustainable operations. Your task is to analyze Lunar Energy’s financial position, model exit scenarios, and identify capital structure optimization opportunities for a company that has raised $532M in venture funding with approximately $35M in annual revenue.</w:t>
      </w:r>
    </w:p>
    <w:p>
      <w:pPr>
        <w:pStyle w:val="BodyText"/>
      </w:pPr>
      <w:r>
        <w:t xml:space="preserve">SECTION 1: CAPITAL STRUCTURE ANALYSIS</w:t>
      </w:r>
    </w:p>
    <w:p>
      <w:pPr>
        <w:numPr>
          <w:ilvl w:val="0"/>
          <w:numId w:val="1001"/>
        </w:numPr>
        <w:pStyle w:val="Compact"/>
      </w:pPr>
      <w:r>
        <w:t xml:space="preserve">Funding round reconstruction:</w:t>
      </w:r>
      <w:r>
        <w:t xml:space="preserve"> </w:t>
      </w:r>
      <w:r>
        <w:t xml:space="preserve">Map every known funding round and estimate terms:</w:t>
      </w:r>
    </w:p>
    <w:p>
      <w:pPr>
        <w:numPr>
          <w:ilvl w:val="0"/>
          <w:numId w:val="1002"/>
        </w:numPr>
        <w:pStyle w:val="Compact"/>
      </w:pPr>
      <w:r>
        <w:t xml:space="preserve">Seed/Series A (2020): Estimated size, investors, approximate valuation</w:t>
      </w:r>
    </w:p>
    <w:p>
      <w:pPr>
        <w:numPr>
          <w:ilvl w:val="0"/>
          <w:numId w:val="1002"/>
        </w:numPr>
        <w:pStyle w:val="Compact"/>
      </w:pPr>
      <w:r>
        <w:t xml:space="preserve">Series A/B (2020-2021): Two rounds of $150M each, co-led by Sunrun and SK Group. At what estimated valuation? What was likely share price and liquidation preference?</w:t>
      </w:r>
    </w:p>
    <w:p>
      <w:pPr>
        <w:numPr>
          <w:ilvl w:val="0"/>
          <w:numId w:val="1002"/>
        </w:numPr>
        <w:pStyle w:val="Compact"/>
      </w:pPr>
      <w:r>
        <w:t xml:space="preserve">Moixa Acquisition (June 2021): What did Lunar pay? Cash, stock, or both? How was it financed?</w:t>
      </w:r>
    </w:p>
    <w:p>
      <w:pPr>
        <w:numPr>
          <w:ilvl w:val="0"/>
          <w:numId w:val="1002"/>
        </w:numPr>
        <w:pStyle w:val="Compact"/>
      </w:pPr>
      <w:r>
        <w:t xml:space="preserve">Series C ($130M, led by Activate Capital): When exactly? What estimated post-money valuation?</w:t>
      </w:r>
    </w:p>
    <w:p>
      <w:pPr>
        <w:numPr>
          <w:ilvl w:val="0"/>
          <w:numId w:val="1002"/>
        </w:numPr>
        <w:pStyle w:val="Compact"/>
      </w:pPr>
      <w:r>
        <w:t xml:space="preserve">Series D ($102M, co-led by B Capital and Prelude Ventures, oversubscribed): February 2026. Estimated post-money valuation?</w:t>
      </w:r>
    </w:p>
    <w:p>
      <w:pPr>
        <w:numPr>
          <w:ilvl w:val="0"/>
          <w:numId w:val="1003"/>
        </w:numPr>
        <w:pStyle w:val="Compact"/>
      </w:pPr>
      <w:r>
        <w:t xml:space="preserve">Liquidation waterfall:</w:t>
      </w:r>
    </w:p>
    <w:p>
      <w:pPr>
        <w:numPr>
          <w:ilvl w:val="0"/>
          <w:numId w:val="1004"/>
        </w:numPr>
        <w:pStyle w:val="Compact"/>
      </w:pPr>
      <w:r>
        <w:t xml:space="preserve">At $532M raised, what is the likely total liquidation preference? (Assume 1x non-participating preferred as base case)</w:t>
      </w:r>
    </w:p>
    <w:p>
      <w:pPr>
        <w:numPr>
          <w:ilvl w:val="0"/>
          <w:numId w:val="1004"/>
        </w:numPr>
        <w:pStyle w:val="Compact"/>
      </w:pPr>
      <w:r>
        <w:t xml:space="preserve">At what exit price does the founder/employee common stock begin to receive value?</w:t>
      </w:r>
    </w:p>
    <w:p>
      <w:pPr>
        <w:numPr>
          <w:ilvl w:val="0"/>
          <w:numId w:val="1004"/>
        </w:numPr>
        <w:pStyle w:val="Compact"/>
      </w:pPr>
      <w:r>
        <w:t xml:space="preserve">Model the payout at exit values of $500M, $1B, $2B, $3B, $5B</w:t>
      </w:r>
    </w:p>
    <w:p>
      <w:pPr>
        <w:numPr>
          <w:ilvl w:val="0"/>
          <w:numId w:val="1004"/>
        </w:numPr>
        <w:pStyle w:val="Compact"/>
      </w:pPr>
      <w:r>
        <w:t xml:space="preserve">What anti-dilution protections likely exist?</w:t>
      </w:r>
    </w:p>
    <w:p>
      <w:pPr>
        <w:numPr>
          <w:ilvl w:val="0"/>
          <w:numId w:val="1004"/>
        </w:numPr>
        <w:pStyle w:val="Compact"/>
      </w:pPr>
      <w:r>
        <w:t xml:space="preserve">Are there any pay-to-play, drag-along, or tag-along provisions?</w:t>
      </w:r>
    </w:p>
    <w:p>
      <w:pPr>
        <w:numPr>
          <w:ilvl w:val="0"/>
          <w:numId w:val="1005"/>
        </w:numPr>
        <w:pStyle w:val="Compact"/>
      </w:pPr>
      <w:r>
        <w:t xml:space="preserve">Burn rate and runway:</w:t>
      </w:r>
    </w:p>
    <w:p>
      <w:pPr>
        <w:numPr>
          <w:ilvl w:val="0"/>
          <w:numId w:val="1006"/>
        </w:numPr>
        <w:pStyle w:val="Compact"/>
      </w:pPr>
      <w:r>
        <w:t xml:space="preserve">Estimate monthly burn rate based on: 226 employees, three manufacturing facilities, R&amp;D spending, market expansion</w:t>
      </w:r>
    </w:p>
    <w:p>
      <w:pPr>
        <w:numPr>
          <w:ilvl w:val="0"/>
          <w:numId w:val="1006"/>
        </w:numPr>
        <w:pStyle w:val="Compact"/>
      </w:pPr>
      <w:r>
        <w:t xml:space="preserve">How much cash is likely on hand as of mid-2026?</w:t>
      </w:r>
    </w:p>
    <w:p>
      <w:pPr>
        <w:numPr>
          <w:ilvl w:val="0"/>
          <w:numId w:val="1006"/>
        </w:numPr>
        <w:pStyle w:val="Compact"/>
      </w:pPr>
      <w:r>
        <w:t xml:space="preserve">At current burn rate, when would Lunar need to raise again?</w:t>
      </w:r>
    </w:p>
    <w:p>
      <w:pPr>
        <w:numPr>
          <w:ilvl w:val="0"/>
          <w:numId w:val="1006"/>
        </w:numPr>
        <w:pStyle w:val="Compact"/>
      </w:pPr>
      <w:r>
        <w:t xml:space="preserve">What would trigger an emergency funding round? (Missed revenue targets, supply chain disruption, competitive pressure)</w:t>
      </w:r>
    </w:p>
    <w:p>
      <w:pPr>
        <w:numPr>
          <w:ilvl w:val="0"/>
          <w:numId w:val="1007"/>
        </w:numPr>
        <w:pStyle w:val="Compact"/>
      </w:pPr>
      <w:r>
        <w:t xml:space="preserve">Debt capacity:</w:t>
      </w:r>
    </w:p>
    <w:p>
      <w:pPr>
        <w:numPr>
          <w:ilvl w:val="0"/>
          <w:numId w:val="1008"/>
        </w:numPr>
        <w:pStyle w:val="Compact"/>
      </w:pPr>
      <w:r>
        <w:t xml:space="preserve">Does Lunar have any debt? (Venture debt, equipment financing, credit lines)</w:t>
      </w:r>
    </w:p>
    <w:p>
      <w:pPr>
        <w:numPr>
          <w:ilvl w:val="0"/>
          <w:numId w:val="1008"/>
        </w:numPr>
        <w:pStyle w:val="Compact"/>
      </w:pPr>
      <w:r>
        <w:t xml:space="preserve">What debt capacity exists? (Against equipment, IP, customer contracts, ARR)</w:t>
      </w:r>
    </w:p>
    <w:p>
      <w:pPr>
        <w:numPr>
          <w:ilvl w:val="0"/>
          <w:numId w:val="1008"/>
        </w:numPr>
        <w:pStyle w:val="Compact"/>
      </w:pPr>
      <w:r>
        <w:t xml:space="preserve">Could venture debt ($20-50M) extend runway meaningfully?</w:t>
      </w:r>
    </w:p>
    <w:p>
      <w:pPr>
        <w:numPr>
          <w:ilvl w:val="0"/>
          <w:numId w:val="1008"/>
        </w:numPr>
        <w:pStyle w:val="Compact"/>
      </w:pPr>
      <w:r>
        <w:t xml:space="preserve">Are there government loan programs applicable? (DOE Loan Programs Office, SBA)</w:t>
      </w:r>
    </w:p>
    <w:p>
      <w:pPr>
        <w:pStyle w:val="FirstParagraph"/>
      </w:pPr>
      <w:r>
        <w:t xml:space="preserve">SECTION 2: PATH TO PROFITABILITY MODELING</w:t>
      </w:r>
    </w:p>
    <w:p>
      <w:pPr>
        <w:numPr>
          <w:ilvl w:val="0"/>
          <w:numId w:val="1009"/>
        </w:numPr>
        <w:pStyle w:val="Compact"/>
      </w:pPr>
      <w:r>
        <w:t xml:space="preserve">Revenue scenarios (2026-2029):</w:t>
      </w:r>
    </w:p>
    <w:p>
      <w:pPr>
        <w:numPr>
          <w:ilvl w:val="0"/>
          <w:numId w:val="1010"/>
        </w:numPr>
        <w:pStyle w:val="Compact"/>
      </w:pPr>
      <w:r>
        <w:t xml:space="preserve">Bull case: 4-5x growth in 2026 (10K units, ~$200M), continued 2-3x growth through 2028</w:t>
      </w:r>
    </w:p>
    <w:p>
      <w:pPr>
        <w:numPr>
          <w:ilvl w:val="0"/>
          <w:numId w:val="1010"/>
        </w:numPr>
        <w:pStyle w:val="Compact"/>
      </w:pPr>
      <w:r>
        <w:t xml:space="preserve">Base case: 3x growth in 2026 (6K units, ~$120M), 2x growth annually</w:t>
      </w:r>
    </w:p>
    <w:p>
      <w:pPr>
        <w:numPr>
          <w:ilvl w:val="0"/>
          <w:numId w:val="1010"/>
        </w:numPr>
        <w:pStyle w:val="Compact"/>
      </w:pPr>
      <w:r>
        <w:t xml:space="preserve">Bear case: 2x growth (4K units, ~$80M), slowing to 1.5x</w:t>
      </w:r>
    </w:p>
    <w:p>
      <w:pPr>
        <w:numPr>
          <w:ilvl w:val="0"/>
          <w:numId w:val="1010"/>
        </w:numPr>
        <w:pStyle w:val="Compact"/>
      </w:pPr>
      <w:r>
        <w:t xml:space="preserve">For each: What deployment rate, average selling price, and geographic mix?</w:t>
      </w:r>
    </w:p>
    <w:p>
      <w:pPr>
        <w:numPr>
          <w:ilvl w:val="0"/>
          <w:numId w:val="1011"/>
        </w:numPr>
        <w:pStyle w:val="Compact"/>
      </w:pPr>
      <w:r>
        <w:t xml:space="preserve">Gross margin trajectory:</w:t>
      </w:r>
    </w:p>
    <w:p>
      <w:pPr>
        <w:numPr>
          <w:ilvl w:val="0"/>
          <w:numId w:val="1012"/>
        </w:numPr>
        <w:pStyle w:val="Compact"/>
      </w:pPr>
      <w:r>
        <w:t xml:space="preserve">At current scale (2K units): Estimated 15-25% gross margin</w:t>
      </w:r>
    </w:p>
    <w:p>
      <w:pPr>
        <w:numPr>
          <w:ilvl w:val="0"/>
          <w:numId w:val="1012"/>
        </w:numPr>
        <w:pStyle w:val="Compact"/>
      </w:pPr>
      <w:r>
        <w:t xml:space="preserve">At 10K units: 25-35% (procurement leverage, overhead spread)</w:t>
      </w:r>
    </w:p>
    <w:p>
      <w:pPr>
        <w:numPr>
          <w:ilvl w:val="0"/>
          <w:numId w:val="1012"/>
        </w:numPr>
        <w:pStyle w:val="Compact"/>
      </w:pPr>
      <w:r>
        <w:t xml:space="preserve">At 50K units: 35-45% (manufacturing efficiency, cell cost reduction)</w:t>
      </w:r>
    </w:p>
    <w:p>
      <w:pPr>
        <w:numPr>
          <w:ilvl w:val="0"/>
          <w:numId w:val="1012"/>
        </w:numPr>
        <w:pStyle w:val="Compact"/>
      </w:pPr>
      <w:r>
        <w:t xml:space="preserve">At 100K units: 40-50% (full scale economics)</w:t>
      </w:r>
    </w:p>
    <w:p>
      <w:pPr>
        <w:numPr>
          <w:ilvl w:val="0"/>
          <w:numId w:val="1012"/>
        </w:numPr>
        <w:pStyle w:val="Compact"/>
      </w:pPr>
      <w:r>
        <w:t xml:space="preserve">Sensitivity analysis: What if cell costs don’t decline as expected?</w:t>
      </w:r>
    </w:p>
    <w:p>
      <w:pPr>
        <w:numPr>
          <w:ilvl w:val="0"/>
          <w:numId w:val="1013"/>
        </w:numPr>
        <w:pStyle w:val="Compact"/>
      </w:pPr>
      <w:r>
        <w:t xml:space="preserve">Operating expense scaling:</w:t>
      </w:r>
    </w:p>
    <w:p>
      <w:pPr>
        <w:numPr>
          <w:ilvl w:val="0"/>
          <w:numId w:val="1014"/>
        </w:numPr>
        <w:pStyle w:val="Compact"/>
      </w:pPr>
      <w:r>
        <w:t xml:space="preserve">Which opex items scale with revenue? (Sales commission, installation support, shipping)</w:t>
      </w:r>
    </w:p>
    <w:p>
      <w:pPr>
        <w:numPr>
          <w:ilvl w:val="0"/>
          <w:numId w:val="1014"/>
        </w:numPr>
        <w:pStyle w:val="Compact"/>
      </w:pPr>
      <w:r>
        <w:t xml:space="preserve">Which are semi-fixed? (Engineering headcount, facility leases, cloud computing)</w:t>
      </w:r>
    </w:p>
    <w:p>
      <w:pPr>
        <w:numPr>
          <w:ilvl w:val="0"/>
          <w:numId w:val="1014"/>
        </w:numPr>
        <w:pStyle w:val="Compact"/>
      </w:pPr>
      <w:r>
        <w:t xml:space="preserve">Which are fixed? (Corporate overhead, executive compensation, insurance)</w:t>
      </w:r>
    </w:p>
    <w:p>
      <w:pPr>
        <w:numPr>
          <w:ilvl w:val="0"/>
          <w:numId w:val="1014"/>
        </w:numPr>
        <w:pStyle w:val="Compact"/>
      </w:pPr>
      <w:r>
        <w:t xml:space="preserve">At what revenue level does operating leverage kick in?</w:t>
      </w:r>
    </w:p>
    <w:p>
      <w:pPr>
        <w:numPr>
          <w:ilvl w:val="0"/>
          <w:numId w:val="1015"/>
        </w:numPr>
        <w:pStyle w:val="Compact"/>
      </w:pPr>
      <w:r>
        <w:t xml:space="preserve">Breakeven analysis:</w:t>
      </w:r>
    </w:p>
    <w:p>
      <w:pPr>
        <w:numPr>
          <w:ilvl w:val="0"/>
          <w:numId w:val="1016"/>
        </w:numPr>
        <w:pStyle w:val="Compact"/>
      </w:pPr>
      <w:r>
        <w:t xml:space="preserve">At what revenue and margin combination does Lunar reach EBITDA breakeven?</w:t>
      </w:r>
    </w:p>
    <w:p>
      <w:pPr>
        <w:numPr>
          <w:ilvl w:val="0"/>
          <w:numId w:val="1016"/>
        </w:numPr>
        <w:pStyle w:val="Compact"/>
      </w:pPr>
      <w:r>
        <w:t xml:space="preserve">At what revenue does it reach free cash flow breakeven (including capex)?</w:t>
      </w:r>
    </w:p>
    <w:p>
      <w:pPr>
        <w:numPr>
          <w:ilvl w:val="0"/>
          <w:numId w:val="1016"/>
        </w:numPr>
        <w:pStyle w:val="Compact"/>
      </w:pPr>
      <w:r>
        <w:t xml:space="preserve">Is 2027 breakeven realistic, or is 2029+ more likely?</w:t>
      </w:r>
    </w:p>
    <w:p>
      <w:pPr>
        <w:numPr>
          <w:ilvl w:val="0"/>
          <w:numId w:val="1016"/>
        </w:numPr>
        <w:pStyle w:val="Compact"/>
      </w:pPr>
      <w:r>
        <w:t xml:space="preserve">Does the CEO’s</w:t>
      </w:r>
      <w:r>
        <w:t xml:space="preserve"> </w:t>
      </w:r>
      <w:r>
        <w:t xml:space="preserve">“</w:t>
      </w:r>
      <w:r>
        <w:t xml:space="preserve">never raise again</w:t>
      </w:r>
      <w:r>
        <w:t xml:space="preserve">”</w:t>
      </w:r>
      <w:r>
        <w:t xml:space="preserve"> </w:t>
      </w:r>
      <w:r>
        <w:t xml:space="preserve">claim hold up under base case assumptions?</w:t>
      </w:r>
    </w:p>
    <w:p>
      <w:pPr>
        <w:pStyle w:val="FirstParagraph"/>
      </w:pPr>
      <w:r>
        <w:t xml:space="preserve">SECTION 3: EXIT SCENARIO ANALYSIS</w:t>
      </w:r>
    </w:p>
    <w:p>
      <w:pPr>
        <w:numPr>
          <w:ilvl w:val="0"/>
          <w:numId w:val="1017"/>
        </w:numPr>
        <w:pStyle w:val="Compact"/>
      </w:pPr>
      <w:r>
        <w:t xml:space="preserve">IPO pathway:</w:t>
      </w:r>
    </w:p>
    <w:p>
      <w:pPr>
        <w:numPr>
          <w:ilvl w:val="0"/>
          <w:numId w:val="1018"/>
        </w:numPr>
        <w:pStyle w:val="Compact"/>
      </w:pPr>
      <w:r>
        <w:t xml:space="preserve">What public company comparables set valuation benchmarks?</w:t>
      </w:r>
    </w:p>
    <w:p>
      <w:pPr>
        <w:numPr>
          <w:ilvl w:val="1"/>
          <w:numId w:val="1019"/>
        </w:numPr>
        <w:pStyle w:val="Compact"/>
      </w:pPr>
      <w:r>
        <w:t xml:space="preserve">Enphase Energy (ENPH): Revenue trajectory, margin profile, and valuation at IPO vs. today</w:t>
      </w:r>
    </w:p>
    <w:p>
      <w:pPr>
        <w:numPr>
          <w:ilvl w:val="1"/>
          <w:numId w:val="1019"/>
        </w:numPr>
        <w:pStyle w:val="Compact"/>
      </w:pPr>
      <w:r>
        <w:t xml:space="preserve">Stem Inc. (STEM → near zero): What went wrong? Lessons for Lunar?</w:t>
      </w:r>
    </w:p>
    <w:p>
      <w:pPr>
        <w:numPr>
          <w:ilvl w:val="1"/>
          <w:numId w:val="1019"/>
        </w:numPr>
        <w:pStyle w:val="Compact"/>
      </w:pPr>
      <w:r>
        <w:t xml:space="preserve">SunPower, Sunnova: SPAC and IPO experiences</w:t>
      </w:r>
    </w:p>
    <w:p>
      <w:pPr>
        <w:numPr>
          <w:ilvl w:val="1"/>
          <w:numId w:val="1019"/>
        </w:numPr>
        <w:pStyle w:val="Compact"/>
      </w:pPr>
      <w:r>
        <w:t xml:space="preserve">Array Technologies (ARRY): Manufacturing + software model</w:t>
      </w:r>
    </w:p>
    <w:p>
      <w:pPr>
        <w:numPr>
          <w:ilvl w:val="0"/>
          <w:numId w:val="1018"/>
        </w:numPr>
        <w:pStyle w:val="Compact"/>
      </w:pPr>
      <w:r>
        <w:t xml:space="preserve">What minimum financial metrics would be needed for a successful IPO?</w:t>
      </w:r>
    </w:p>
    <w:p>
      <w:pPr>
        <w:numPr>
          <w:ilvl w:val="1"/>
          <w:numId w:val="1020"/>
        </w:numPr>
        <w:pStyle w:val="Compact"/>
      </w:pPr>
      <w:r>
        <w:t xml:space="preserve">Revenue: $300M+? $500M+?</w:t>
      </w:r>
    </w:p>
    <w:p>
      <w:pPr>
        <w:numPr>
          <w:ilvl w:val="1"/>
          <w:numId w:val="1020"/>
        </w:numPr>
        <w:pStyle w:val="Compact"/>
      </w:pPr>
      <w:r>
        <w:t xml:space="preserve">Growth rate: 50%+?</w:t>
      </w:r>
    </w:p>
    <w:p>
      <w:pPr>
        <w:numPr>
          <w:ilvl w:val="1"/>
          <w:numId w:val="1020"/>
        </w:numPr>
        <w:pStyle w:val="Compact"/>
      </w:pPr>
      <w:r>
        <w:t xml:space="preserve">Gross margin: 40%+?</w:t>
      </w:r>
    </w:p>
    <w:p>
      <w:pPr>
        <w:numPr>
          <w:ilvl w:val="1"/>
          <w:numId w:val="1020"/>
        </w:numPr>
        <w:pStyle w:val="Compact"/>
      </w:pPr>
      <w:r>
        <w:t xml:space="preserve">EBITDA positive?</w:t>
      </w:r>
    </w:p>
    <w:p>
      <w:pPr>
        <w:numPr>
          <w:ilvl w:val="0"/>
          <w:numId w:val="1018"/>
        </w:numPr>
        <w:pStyle w:val="Compact"/>
      </w:pPr>
      <w:r>
        <w:t xml:space="preserve">What is the earliest realistic IPO date? (2028? 2029?)</w:t>
      </w:r>
    </w:p>
    <w:p>
      <w:pPr>
        <w:numPr>
          <w:ilvl w:val="0"/>
          <w:numId w:val="1018"/>
        </w:numPr>
        <w:pStyle w:val="Compact"/>
      </w:pPr>
      <w:r>
        <w:t xml:space="preserve">What would the valuation range be at each revenue level?</w:t>
      </w:r>
    </w:p>
    <w:p>
      <w:pPr>
        <w:numPr>
          <w:ilvl w:val="0"/>
          <w:numId w:val="1021"/>
        </w:numPr>
        <w:pStyle w:val="Compact"/>
      </w:pPr>
      <w:r>
        <w:t xml:space="preserve">Strategic acquisition:</w:t>
      </w:r>
    </w:p>
    <w:p>
      <w:pPr>
        <w:numPr>
          <w:ilvl w:val="0"/>
          <w:numId w:val="1022"/>
        </w:numPr>
        <w:pStyle w:val="Compact"/>
      </w:pPr>
      <w:r>
        <w:t xml:space="preserve">Identify and rank potential acquirers:</w:t>
      </w:r>
    </w:p>
    <w:p>
      <w:pPr>
        <w:numPr>
          <w:ilvl w:val="1"/>
          <w:numId w:val="1023"/>
        </w:numPr>
        <w:pStyle w:val="Compact"/>
      </w:pPr>
      <w:r>
        <w:t xml:space="preserve">Sunrun (already board chair, investor, customer): Rationale, estimated price, likelihood, timing</w:t>
      </w:r>
    </w:p>
    <w:p>
      <w:pPr>
        <w:numPr>
          <w:ilvl w:val="1"/>
          <w:numId w:val="1023"/>
        </w:numPr>
        <w:pStyle w:val="Compact"/>
      </w:pPr>
      <w:r>
        <w:t xml:space="preserve">Shell (owns Sonnen, active in home energy): Rationale, comparable Sonnen acquisition price</w:t>
      </w:r>
    </w:p>
    <w:p>
      <w:pPr>
        <w:numPr>
          <w:ilvl w:val="1"/>
          <w:numId w:val="1023"/>
        </w:numPr>
        <w:pStyle w:val="Compact"/>
      </w:pPr>
      <w:r>
        <w:t xml:space="preserve">Schneider Electric (smart home and energy management): Strategic fit</w:t>
      </w:r>
    </w:p>
    <w:p>
      <w:pPr>
        <w:numPr>
          <w:ilvl w:val="1"/>
          <w:numId w:val="1023"/>
        </w:numPr>
        <w:pStyle w:val="Compact"/>
      </w:pPr>
      <w:r>
        <w:t xml:space="preserve">Eaton (already has Lunar partnership): Vertical integration into batteries</w:t>
      </w:r>
    </w:p>
    <w:p>
      <w:pPr>
        <w:numPr>
          <w:ilvl w:val="1"/>
          <w:numId w:val="1023"/>
        </w:numPr>
        <w:pStyle w:val="Compact"/>
      </w:pPr>
      <w:r>
        <w:t xml:space="preserve">Siemens (European energy platform): VPP capabilities acquisition</w:t>
      </w:r>
    </w:p>
    <w:p>
      <w:pPr>
        <w:numPr>
          <w:ilvl w:val="1"/>
          <w:numId w:val="1023"/>
        </w:numPr>
        <w:pStyle w:val="Compact"/>
      </w:pPr>
      <w:r>
        <w:t xml:space="preserve">Samsung/LG (battery manufacturers): Forward integration</w:t>
      </w:r>
    </w:p>
    <w:p>
      <w:pPr>
        <w:numPr>
          <w:ilvl w:val="1"/>
          <w:numId w:val="1023"/>
        </w:numPr>
        <w:pStyle w:val="Compact"/>
      </w:pPr>
      <w:r>
        <w:t xml:space="preserve">SK Group (existing investor): Vertical integration</w:t>
      </w:r>
    </w:p>
    <w:p>
      <w:pPr>
        <w:numPr>
          <w:ilvl w:val="1"/>
          <w:numId w:val="1023"/>
        </w:numPr>
        <w:pStyle w:val="Compact"/>
      </w:pPr>
      <w:r>
        <w:t xml:space="preserve">Utility companies (PG&amp;E, SCE, NextEra): DER platform acquisition</w:t>
      </w:r>
    </w:p>
    <w:p>
      <w:pPr>
        <w:numPr>
          <w:ilvl w:val="1"/>
          <w:numId w:val="1023"/>
        </w:numPr>
        <w:pStyle w:val="Compact"/>
      </w:pPr>
      <w:r>
        <w:t xml:space="preserve">Private equity (KKR, Brookfield): Infrastructure asset play</w:t>
      </w:r>
    </w:p>
    <w:p>
      <w:pPr>
        <w:pStyle w:val="FirstParagraph"/>
      </w:pPr>
      <w:r>
        <w:t xml:space="preserve">For each: What would they pay? What synergies exist? What are the deal-breakers?</w:t>
      </w:r>
    </w:p>
    <w:p>
      <w:pPr>
        <w:numPr>
          <w:ilvl w:val="0"/>
          <w:numId w:val="1024"/>
        </w:numPr>
        <w:pStyle w:val="Compact"/>
      </w:pPr>
      <w:r>
        <w:t xml:space="preserve">Partial divestiture:</w:t>
      </w:r>
    </w:p>
    <w:p>
      <w:pPr>
        <w:numPr>
          <w:ilvl w:val="0"/>
          <w:numId w:val="1025"/>
        </w:numPr>
        <w:pStyle w:val="Compact"/>
      </w:pPr>
      <w:r>
        <w:t xml:space="preserve">Could Gridshare be sold separately? (Japan + UK + platform, excluding Lunar hardware)</w:t>
      </w:r>
    </w:p>
    <w:p>
      <w:pPr>
        <w:numPr>
          <w:ilvl w:val="0"/>
          <w:numId w:val="1025"/>
        </w:numPr>
        <w:pStyle w:val="Compact"/>
      </w:pPr>
      <w:r>
        <w:t xml:space="preserve">What would Gridshare be worth as a standalone VPP platform managing 150K+ devices?</w:t>
      </w:r>
    </w:p>
    <w:p>
      <w:pPr>
        <w:numPr>
          <w:ilvl w:val="0"/>
          <w:numId w:val="1025"/>
        </w:numPr>
        <w:pStyle w:val="Compact"/>
      </w:pPr>
      <w:r>
        <w:t xml:space="preserve">Would separating hardware and software create or destroy value?</w:t>
      </w:r>
    </w:p>
    <w:p>
      <w:pPr>
        <w:numPr>
          <w:ilvl w:val="0"/>
          <w:numId w:val="1025"/>
        </w:numPr>
        <w:pStyle w:val="Compact"/>
      </w:pPr>
      <w:r>
        <w:t xml:space="preserve">The November 2025 GridShare Japan minority investment: Is this a precursor to a Gridshare spin-off?</w:t>
      </w:r>
    </w:p>
    <w:p>
      <w:pPr>
        <w:numPr>
          <w:ilvl w:val="0"/>
          <w:numId w:val="1026"/>
        </w:numPr>
        <w:pStyle w:val="Compact"/>
      </w:pPr>
      <w:r>
        <w:t xml:space="preserve">Distressed scenarios:</w:t>
      </w:r>
    </w:p>
    <w:p>
      <w:pPr>
        <w:numPr>
          <w:ilvl w:val="0"/>
          <w:numId w:val="1027"/>
        </w:numPr>
        <w:pStyle w:val="Compact"/>
      </w:pPr>
      <w:r>
        <w:t xml:space="preserve">Under what conditions does Lunar run out of cash?</w:t>
      </w:r>
    </w:p>
    <w:p>
      <w:pPr>
        <w:numPr>
          <w:ilvl w:val="0"/>
          <w:numId w:val="1027"/>
        </w:numPr>
        <w:pStyle w:val="Compact"/>
      </w:pPr>
      <w:r>
        <w:t xml:space="preserve">What happens in a down round? (Investor dilution, employee morale, competitive signaling)</w:t>
      </w:r>
    </w:p>
    <w:p>
      <w:pPr>
        <w:numPr>
          <w:ilvl w:val="0"/>
          <w:numId w:val="1027"/>
        </w:numPr>
        <w:pStyle w:val="Compact"/>
      </w:pPr>
      <w:r>
        <w:t xml:space="preserve">What is the company worth in a fire sale? (IP, customer contracts, manufacturing equipment, talent)</w:t>
      </w:r>
    </w:p>
    <w:p>
      <w:pPr>
        <w:numPr>
          <w:ilvl w:val="0"/>
          <w:numId w:val="1027"/>
        </w:numPr>
        <w:pStyle w:val="Compact"/>
      </w:pPr>
      <w:r>
        <w:t xml:space="preserve">Is there a scenario where Sunrun acquires Lunar at a discount?</w:t>
      </w:r>
    </w:p>
    <w:p>
      <w:pPr>
        <w:pStyle w:val="FirstParagraph"/>
      </w:pPr>
      <w:r>
        <w:t xml:space="preserve">SECTION 4: CREATIVE FINANCIAL STRATEGIES</w:t>
      </w:r>
    </w:p>
    <w:p>
      <w:pPr>
        <w:numPr>
          <w:ilvl w:val="0"/>
          <w:numId w:val="1028"/>
        </w:numPr>
        <w:pStyle w:val="Compact"/>
      </w:pPr>
      <w:r>
        <w:t xml:space="preserve">Project finance for VPP fleet:</w:t>
      </w:r>
    </w:p>
    <w:p>
      <w:pPr>
        <w:numPr>
          <w:ilvl w:val="0"/>
          <w:numId w:val="1029"/>
        </w:numPr>
        <w:pStyle w:val="Compact"/>
      </w:pPr>
      <w:r>
        <w:t xml:space="preserve">Could Lunar securitize its VPP revenue streams? (Similar to how solar companies securitize PPA revenue)</w:t>
      </w:r>
    </w:p>
    <w:p>
      <w:pPr>
        <w:numPr>
          <w:ilvl w:val="0"/>
          <w:numId w:val="1029"/>
        </w:numPr>
        <w:pStyle w:val="Compact"/>
      </w:pPr>
      <w:r>
        <w:t xml:space="preserve">If VPP participants earn $464/year and Lunar takes 20%, that’s ~$100/device/year. At 150K devices, that’s $15M/year recurring.</w:t>
      </w:r>
    </w:p>
    <w:p>
      <w:pPr>
        <w:numPr>
          <w:ilvl w:val="0"/>
          <w:numId w:val="1029"/>
        </w:numPr>
        <w:pStyle w:val="Compact"/>
      </w:pPr>
      <w:r>
        <w:t xml:space="preserve">Could this cash flow support asset-backed financing?</w:t>
      </w:r>
    </w:p>
    <w:p>
      <w:pPr>
        <w:numPr>
          <w:ilvl w:val="0"/>
          <w:numId w:val="1030"/>
        </w:numPr>
        <w:pStyle w:val="Compact"/>
      </w:pPr>
      <w:r>
        <w:t xml:space="preserve">Manufacturing equipment finance:</w:t>
      </w:r>
    </w:p>
    <w:p>
      <w:pPr>
        <w:numPr>
          <w:ilvl w:val="0"/>
          <w:numId w:val="1031"/>
        </w:numPr>
        <w:pStyle w:val="Compact"/>
      </w:pPr>
      <w:r>
        <w:t xml:space="preserve">Sale-leaseback of manufacturing equipment to extend runway?</w:t>
      </w:r>
    </w:p>
    <w:p>
      <w:pPr>
        <w:numPr>
          <w:ilvl w:val="0"/>
          <w:numId w:val="1031"/>
        </w:numPr>
        <w:pStyle w:val="Compact"/>
      </w:pPr>
      <w:r>
        <w:t xml:space="preserve">Equipment financing for scale-up capex?</w:t>
      </w:r>
    </w:p>
    <w:p>
      <w:pPr>
        <w:numPr>
          <w:ilvl w:val="0"/>
          <w:numId w:val="1032"/>
        </w:numPr>
        <w:pStyle w:val="Compact"/>
      </w:pPr>
      <w:r>
        <w:t xml:space="preserve">Strategic partnerships for capital efficiency:</w:t>
      </w:r>
    </w:p>
    <w:p>
      <w:pPr>
        <w:numPr>
          <w:ilvl w:val="0"/>
          <w:numId w:val="1033"/>
        </w:numPr>
        <w:pStyle w:val="Compact"/>
      </w:pPr>
      <w:r>
        <w:t xml:space="preserve">Could Lunar license Gridshare to other battery manufacturers (non-exclusively) and generate SaaS revenue without capex?</w:t>
      </w:r>
    </w:p>
    <w:p>
      <w:pPr>
        <w:numPr>
          <w:ilvl w:val="0"/>
          <w:numId w:val="1033"/>
        </w:numPr>
        <w:pStyle w:val="Compact"/>
      </w:pPr>
      <w:r>
        <w:t xml:space="preserve">Could Lunar white-label its hardware for large utilities who want branded battery programs?</w:t>
      </w:r>
    </w:p>
    <w:p>
      <w:pPr>
        <w:numPr>
          <w:ilvl w:val="0"/>
          <w:numId w:val="1033"/>
        </w:numPr>
        <w:pStyle w:val="Compact"/>
      </w:pPr>
      <w:r>
        <w:t xml:space="preserve">Could Lunar enter a joint venture with SK Group for manufacturing, reducing Lunar’s capex burden?</w:t>
      </w:r>
    </w:p>
    <w:p>
      <w:pPr>
        <w:numPr>
          <w:ilvl w:val="0"/>
          <w:numId w:val="1034"/>
        </w:numPr>
        <w:pStyle w:val="Compact"/>
      </w:pPr>
      <w:r>
        <w:t xml:space="preserve">Government funding:</w:t>
      </w:r>
    </w:p>
    <w:p>
      <w:pPr>
        <w:numPr>
          <w:ilvl w:val="0"/>
          <w:numId w:val="1035"/>
        </w:numPr>
        <w:pStyle w:val="Compact"/>
      </w:pPr>
      <w:r>
        <w:t xml:space="preserve">DOE Loan Programs Office: Has Lunar applied? What programs are applicable?</w:t>
      </w:r>
    </w:p>
    <w:p>
      <w:pPr>
        <w:numPr>
          <w:ilvl w:val="0"/>
          <w:numId w:val="1035"/>
        </w:numPr>
        <w:pStyle w:val="Compact"/>
      </w:pPr>
      <w:r>
        <w:t xml:space="preserve">ARPA-E grants for VPP or battery innovation?</w:t>
      </w:r>
    </w:p>
    <w:p>
      <w:pPr>
        <w:numPr>
          <w:ilvl w:val="0"/>
          <w:numId w:val="1035"/>
        </w:numPr>
        <w:pStyle w:val="Compact"/>
      </w:pPr>
      <w:r>
        <w:t xml:space="preserve">State-level manufacturing incentives (California, Georgia, Washington)?</w:t>
      </w:r>
    </w:p>
    <w:p>
      <w:pPr>
        <w:numPr>
          <w:ilvl w:val="0"/>
          <w:numId w:val="1035"/>
        </w:numPr>
        <w:pStyle w:val="Compact"/>
      </w:pPr>
      <w:r>
        <w:t xml:space="preserve">IRA Section 45X Advanced Manufacturing Production Credit: Does Lunar qualify? (Credit for domestic battery component manufacturing)</w:t>
      </w:r>
    </w:p>
    <w:p>
      <w:pPr>
        <w:pStyle w:val="FirstParagraph"/>
      </w:pPr>
      <w:r>
        <w:t xml:space="preserve">SECTION 5: INVESTOR RETURN ANALYSIS</w:t>
      </w:r>
    </w:p>
    <w:p>
      <w:pPr>
        <w:pStyle w:val="BodyText"/>
      </w:pPr>
      <w:r>
        <w:t xml:space="preserve">For each investor class, model the return under different exit scenarios:</w:t>
      </w:r>
      <w:r>
        <w:t xml:space="preserve"> </w:t>
      </w:r>
      <w:r>
        <w:t xml:space="preserve">- Sunrun: What’s their financial return vs. strategic value?</w:t>
      </w:r>
      <w:r>
        <w:t xml:space="preserve"> </w:t>
      </w:r>
      <w:r>
        <w:t xml:space="preserve">- SK Group: Manufacturing partnership value vs. financial return?</w:t>
      </w:r>
      <w:r>
        <w:t xml:space="preserve"> </w:t>
      </w:r>
      <w:r>
        <w:t xml:space="preserve">- Series C/D investors: IRR at various exit valuations and timelines?</w:t>
      </w:r>
      <w:r>
        <w:t xml:space="preserve"> </w:t>
      </w:r>
      <w:r>
        <w:t xml:space="preserve">- Founders/employees: What exit value makes the option pool meaningful?</w:t>
      </w:r>
    </w:p>
    <w:p>
      <w:pPr>
        <w:pStyle w:val="BodyText"/>
      </w:pPr>
      <w:r>
        <w:t xml:space="preserve">End your output with</w:t>
      </w:r>
      <w:r>
        <w:t xml:space="preserve"> </w:t>
      </w:r>
      <w:r>
        <w:t xml:space="preserve">“</w:t>
      </w:r>
      <w:r>
        <w:t xml:space="preserve">NOTABLE ANOMALIES</w:t>
      </w:r>
      <w:r>
        <w:t xml:space="preserve">”</w:t>
      </w:r>
      <w:r>
        <w:t xml:space="preserve"> </w:t>
      </w:r>
      <w:r>
        <w:t xml:space="preserve">— anything surprising, contradictory, or unusual you’ve found. Pay particular attention to:</w:t>
      </w:r>
      <w:r>
        <w:t xml:space="preserve"> </w:t>
      </w:r>
      <w:r>
        <w:t xml:space="preserve">- Capital structure elements that could create problems (aggressive liquidation preferences, conversion triggers)</w:t>
      </w:r>
      <w:r>
        <w:t xml:space="preserve"> </w:t>
      </w:r>
      <w:r>
        <w:t xml:space="preserve">- Exit scenarios that seem more likely than management suggests</w:t>
      </w:r>
      <w:r>
        <w:t xml:space="preserve"> </w:t>
      </w:r>
      <w:r>
        <w:t xml:space="preserve">- Creative financing strategies that peer companies have used successfully</w:t>
      </w:r>
      <w:r>
        <w:t xml:space="preserve"> </w:t>
      </w:r>
      <w:r>
        <w:t xml:space="preserve">- Evidence of investor pressure for exit vs. continued growth investment</w:t>
      </w:r>
      <w:r>
        <w:t xml:space="preserve"> </w:t>
      </w:r>
      <w:r>
        <w:t xml:space="preserve">- Valuation benchmarks that suggest Lunar is over- or under-valued</w:t>
      </w:r>
      <w:r>
        <w:t xml:space="preserve"> </w:t>
      </w:r>
      <w:r>
        <w:t xml:space="preserve">- Financial engineering opportunities that seem obvious but aren’t being pursued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821">
    <w:nsid w:val="ea454b4c"/>
    <w:multiLevelType w:val="multilevel"/>
    <w:lvl w:ilvl="0">
      <w:start w:val="1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1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1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1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1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1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1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1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1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822">
    <w:nsid w:val="47261bad"/>
    <w:multiLevelType w:val="multilevel"/>
    <w:lvl w:ilvl="0">
      <w:start w:val="2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2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2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2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2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2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2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2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2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99823">
    <w:nsid w:val="b3cbbdee"/>
    <w:multiLevelType w:val="multilevel"/>
    <w:lvl w:ilvl="0">
      <w:start w:val="3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3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3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3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3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3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3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3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3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99824">
    <w:nsid w:val="4fbe019a"/>
    <w:multiLevelType w:val="multilevel"/>
    <w:lvl w:ilvl="0">
      <w:start w:val="4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4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4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4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4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4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4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4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4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91a27d85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1"/>
  </w:num>
  <w:num w:numId="1009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1"/>
  </w:num>
  <w:num w:numId="1013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4">
    <w:abstractNumId w:val="991"/>
  </w:num>
  <w:num w:numId="1015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6">
    <w:abstractNumId w:val="991"/>
  </w:num>
  <w:num w:numId="101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5">
    <w:abstractNumId w:val="991"/>
  </w:num>
  <w:num w:numId="1026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7">
    <w:abstractNumId w:val="991"/>
  </w:num>
  <w:num w:numId="1028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1">
    <w:abstractNumId w:val="991"/>
  </w:num>
  <w:num w:numId="1032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3">
    <w:abstractNumId w:val="991"/>
  </w:num>
  <w:num w:numId="1034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2026-02-28T04:44:31Z</dcterms:created>
  <dcterms:modified xsi:type="dcterms:W3CDTF">2026-02-28T04:44:31Z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