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now sufficient research to deliver a comprehensive, citation-rich analysis. Let me compile the full report.</w:t>
      </w:r>
    </w:p>
    <w:p>
      <w:r>
        <w:pict>
          <v:rect style="width:0;height:1.5pt" o:hralign="center" o:hrstd="t" o:hr="t"/>
        </w:pict>
      </w:r>
    </w:p>
    <w:p>
      <w:pPr>
        <w:pStyle w:val="Heading1"/>
      </w:pPr>
      <w:bookmarkStart w:id="20" w:name="X9dd102952ba655155c30351f9d4df9f673d8b55"/>
      <w:r>
        <w:t xml:space="preserve">TAX POLICY ANALYSIS: LUNAR ENERGY MANUFACTURING CONFIGURATION</w:t>
      </w:r>
      <w:bookmarkEnd w:id="20"/>
    </w:p>
    <w:p>
      <w:pPr>
        <w:pStyle w:val="Heading2"/>
      </w:pPr>
      <w:bookmarkStart w:id="21" w:name="X82b1d25fb34f4dea5ec55429aeafb69da8ac626"/>
      <w:r>
        <w:t xml:space="preserve">Federal Incentive Eligibility Under 45X &amp; Domestic Content ITC Bonus</w:t>
      </w:r>
      <w:bookmarkEnd w:id="21"/>
    </w:p>
    <w:p>
      <w:pPr>
        <w:pStyle w:val="Heading3"/>
      </w:pPr>
      <w:bookmarkStart w:id="22" w:name="X8a15536a7f580dbab149934e880f25d30c676cb"/>
      <w:r>
        <w:rPr>
          <w:i/>
        </w:rPr>
        <w:t xml:space="preserve">Confidential Research Memorandum — February 2026</w:t>
      </w:r>
      <w:bookmarkEnd w:id="22"/>
    </w:p>
    <w:p>
      <w:r>
        <w:pict>
          <v:rect style="width:0;height:1.5pt" o:hralign="center" o:hrstd="t" o:hr="t"/>
        </w:pict>
      </w:r>
    </w:p>
    <w:p>
      <w:pPr>
        <w:pStyle w:val="Heading2"/>
      </w:pPr>
      <w:bookmarkStart w:id="23" w:name="preliminary-key-legal-framework"/>
      <w:r>
        <w:t xml:space="preserve">PRELIMINARY: KEY LEGAL FRAMEWORK</w:t>
      </w:r>
      <w:bookmarkEnd w:id="23"/>
    </w:p>
    <w:p>
      <w:pPr>
        <w:pStyle w:val="FirstParagraph"/>
      </w:pPr>
      <w:r>
        <w:t xml:space="preserve">Before the structured analysis, two definitional points are critical to everything that follows:</w:t>
      </w:r>
    </w:p>
    <w:p>
      <w:pPr>
        <w:pStyle w:val="BodyText"/>
      </w:pPr>
      <w:r>
        <w:rPr>
          <w:b/>
        </w:rPr>
        <w:t xml:space="preserve">45X Requires US Production.</w:t>
      </w:r>
      <w:r>
        <w:t xml:space="preserve"> </w:t>
      </w:r>
      <w:r>
        <w:t xml:space="preserve">The baseline requirement of the law is that a credit-eligible product must be</w:t>
      </w:r>
      <w:r>
        <w:t xml:space="preserve"> </w:t>
      </w:r>
      <w:r>
        <w:t xml:space="preserve">“</w:t>
      </w:r>
      <w:r>
        <w:t xml:space="preserve">produced by the taxpayer</w:t>
      </w:r>
      <w:r>
        <w:t xml:space="preserve">”</w:t>
      </w:r>
      <w:r>
        <w:t xml:space="preserve"> </w:t>
      </w:r>
      <w:r>
        <w:t xml:space="preserve">in the United States or its territories and sold by the taxpayer to an unrelated party.</w:t>
      </w:r>
    </w:p>
    <w:p>
      <w:pPr>
        <w:pStyle w:val="BodyText"/>
      </w:pPr>
      <w:r>
        <w:t xml:space="preserve">Section 45X(d)(2) provides that sales of eligible components are taken into account under section 45X only for eligible components that are produced within the United States (including continental shelf areas described in section 638(1) of the Code), or a U.S. territory.</w:t>
      </w:r>
      <w:r>
        <w:t xml:space="preserve"> </w:t>
      </w:r>
      <w:r>
        <w:t xml:space="preserve">Mexico is unambiguously neither.</w:t>
      </w:r>
    </w:p>
    <w:p>
      <w:pPr>
        <w:pStyle w:val="BodyText"/>
      </w:pPr>
      <w:r>
        <w:rPr>
          <w:b/>
        </w:rPr>
        <w:t xml:space="preserve">Domestic Content ITC Is a Separate Program.</w:t>
      </w:r>
      <w:r>
        <w:t xml:space="preserve"> </w:t>
      </w:r>
      <w:r>
        <w:t xml:space="preserve">Under the Inflation Reduction Act of 2022 (IRA), projects that satisfy applicable</w:t>
      </w:r>
      <w:r>
        <w:t xml:space="preserve"> </w:t>
      </w:r>
      <w:r>
        <w:t xml:space="preserve">“</w:t>
      </w:r>
      <w:r>
        <w:t xml:space="preserve">Buy American</w:t>
      </w:r>
      <w:r>
        <w:t xml:space="preserve">”</w:t>
      </w:r>
      <w:r>
        <w:t xml:space="preserve"> </w:t>
      </w:r>
      <w:r>
        <w:t xml:space="preserve">requirements (the domestic content requirement) qualify for enhanced credit amounts for several clean energy tax credits, including investment tax credits under Sections 48 and 48E (ITC) and production tax credits under Sections 45 and 45Y (PTC).</w:t>
      </w:r>
      <w:r>
        <w:t xml:space="preserve"> </w:t>
      </w:r>
      <w:r>
        <w:t xml:space="preserve">These two programs — 45X (manufacturer-facing) and domestic content ITC bonus (customer/TPO-facing) — are legally distinct but operationally interconnected for Lunar’s business model.</w:t>
      </w:r>
    </w:p>
    <w:p>
      <w:r>
        <w:pict>
          <v:rect style="width:0;height:1.5pt" o:hralign="center" o:hrstd="t" o:hr="t"/>
        </w:pict>
      </w:r>
    </w:p>
    <w:p>
      <w:pPr>
        <w:pStyle w:val="Heading2"/>
      </w:pPr>
      <w:bookmarkStart w:id="24" w:name="evidence-for-the-hypothesis"/>
      <w:r>
        <w:t xml:space="preserve">1. EVIDENCE FOR THE HYPOTHESIS</w:t>
      </w:r>
      <w:bookmarkEnd w:id="24"/>
    </w:p>
    <w:p>
      <w:pPr>
        <w:pStyle w:val="Heading3"/>
      </w:pPr>
      <w:bookmarkStart w:id="25" w:name="Xcb96884e0e106fe53846aeb6958a0a2e12d0de3"/>
      <w:r>
        <w:t xml:space="preserve">1A. Mexico Assembly Categorically Disqualifies Battery Modules from 45X Credits</w:t>
      </w:r>
      <w:bookmarkEnd w:id="25"/>
    </w:p>
    <w:p>
      <w:pPr>
        <w:pStyle w:val="FirstParagraph"/>
      </w:pPr>
      <w:r>
        <w:t xml:space="preserve">The legal case here is airtight.</w:t>
      </w:r>
      <w:r>
        <w:t xml:space="preserve"> </w:t>
      </w:r>
      <w:r>
        <w:t xml:space="preserve">Businesses may only claim the credit for goods produced in the United States or its territories.</w:t>
      </w:r>
      <w:r>
        <w:t xml:space="preserve"> </w:t>
      </w:r>
      <w:r>
        <w:t xml:space="preserve">The statute contains no USMCA carve-out, no</w:t>
      </w:r>
      <w:r>
        <w:t xml:space="preserve"> </w:t>
      </w:r>
      <w:r>
        <w:t xml:space="preserve">“</w:t>
      </w:r>
      <w:r>
        <w:t xml:space="preserve">North American content</w:t>
      </w:r>
      <w:r>
        <w:t xml:space="preserve">”</w:t>
      </w:r>
      <w:r>
        <w:t xml:space="preserve"> </w:t>
      </w:r>
      <w:r>
        <w:t xml:space="preserve">exception, and no geographic flexibility for Mexico or Canada — a striking contrast to other IRA provisions (e.g., Section 30D EV credits, which do allow USMCA regional content).</w:t>
      </w:r>
    </w:p>
    <w:p>
      <w:pPr>
        <w:pStyle w:val="BodyText"/>
      </w:pPr>
      <w:r>
        <w:t xml:space="preserve">The</w:t>
      </w:r>
      <w:r>
        <w:t xml:space="preserve"> </w:t>
      </w:r>
      <w:r>
        <w:t xml:space="preserve">“</w:t>
      </w:r>
      <w:r>
        <w:t xml:space="preserve">substantial transformation</w:t>
      </w:r>
      <w:r>
        <w:t xml:space="preserve">”</w:t>
      </w:r>
      <w:r>
        <w:t xml:space="preserve"> </w:t>
      </w:r>
      <w:r>
        <w:t xml:space="preserve">standard reinforces this.</w:t>
      </w:r>
      <w:r>
        <w:t xml:space="preserve"> </w:t>
      </w:r>
      <w:r>
        <w:t xml:space="preserve">To qualify for the Section 45X Credit, eligible components must be</w:t>
      </w:r>
      <w:r>
        <w:t xml:space="preserve"> </w:t>
      </w:r>
      <w:r>
        <w:t xml:space="preserve">“</w:t>
      </w:r>
      <w:r>
        <w:t xml:space="preserve">produced by the taxpayer.</w:t>
      </w:r>
      <w:r>
        <w:t xml:space="preserve">”</w:t>
      </w:r>
      <w:r>
        <w:t xml:space="preserve"> </w:t>
      </w:r>
      <w:r>
        <w:t xml:space="preserve">The Proposed Regulations defined</w:t>
      </w:r>
      <w:r>
        <w:t xml:space="preserve"> </w:t>
      </w:r>
      <w:r>
        <w:t xml:space="preserve">“</w:t>
      </w:r>
      <w:r>
        <w:t xml:space="preserve">produced by the taxpayer</w:t>
      </w:r>
      <w:r>
        <w:t xml:space="preserve">”</w:t>
      </w:r>
      <w:r>
        <w:t xml:space="preserve"> </w:t>
      </w:r>
      <w:r>
        <w:t xml:space="preserve">to require a</w:t>
      </w:r>
      <w:r>
        <w:t xml:space="preserve"> </w:t>
      </w:r>
      <w:r>
        <w:t xml:space="preserve">“</w:t>
      </w:r>
      <w:r>
        <w:t xml:space="preserve">substantial transformation</w:t>
      </w:r>
      <w:r>
        <w:t xml:space="preserve">”</w:t>
      </w:r>
      <w:r>
        <w:t xml:space="preserve"> </w:t>
      </w:r>
      <w:r>
        <w:t xml:space="preserve">by the taxpayer of the constituent elements, materials, or subcomponents into a complete and distinct eligible component. The Final Regulations retain the substantial transformation requirement.</w:t>
      </w:r>
      <w:r>
        <w:t xml:space="preserve"> </w:t>
      </w:r>
      <w:r>
        <w:t xml:space="preserve">While assembly of battery modules</w:t>
      </w:r>
      <w:r>
        <w:t xml:space="preserve"> </w:t>
      </w:r>
      <w:r>
        <w:rPr>
          <w:i/>
        </w:rPr>
        <w:t xml:space="preserve">is</w:t>
      </w:r>
      <w:r>
        <w:t xml:space="preserve"> </w:t>
      </w:r>
      <w:r>
        <w:t xml:space="preserve">a qualifying activity in principle —</w:t>
      </w:r>
      <w:r>
        <w:t xml:space="preserve"> </w:t>
      </w:r>
      <w:r>
        <w:t xml:space="preserve">Treasury clarified what constitutes</w:t>
      </w:r>
      <w:r>
        <w:t xml:space="preserve"> </w:t>
      </w:r>
      <w:r>
        <w:t xml:space="preserve">“</w:t>
      </w:r>
      <w:r>
        <w:t xml:space="preserve">substantial transformation</w:t>
      </w:r>
      <w:r>
        <w:t xml:space="preserve">”</w:t>
      </w:r>
      <w:r>
        <w:t xml:space="preserve"> </w:t>
      </w:r>
      <w:r>
        <w:t xml:space="preserve">versus simple assembly. For example, solar module and battery module assembly now qualify as substantial transformation</w:t>
      </w:r>
      <w:r>
        <w:t xml:space="preserve"> </w:t>
      </w:r>
      <w:r>
        <w:t xml:space="preserve">— that qualification is irrelevant if the assembly occurs in Mexico. The transformation must happen on US soil.</w:t>
      </w:r>
    </w:p>
    <w:p>
      <w:pPr>
        <w:pStyle w:val="BodyText"/>
      </w:pPr>
      <w:r>
        <w:t xml:space="preserve">Critically,</w:t>
      </w:r>
      <w:r>
        <w:t xml:space="preserve"> </w:t>
      </w:r>
      <w:r>
        <w:t xml:space="preserve">the preamble to the final regulation notes that, while section 45X specifically requires domestic production of an eligible component for credit eligibility, it is silent regarding the location of production or sourcing of constituent elements, materials, and subcomponents, and therefore the final rule does not impose a domestic production requirement for constituent elements, materials, and subcomponents.</w:t>
      </w:r>
      <w:r>
        <w:t xml:space="preserve"> </w:t>
      </w:r>
      <w:r>
        <w:t xml:space="preserve">This is a double-edged finding: Lunar</w:t>
      </w:r>
      <w:r>
        <w:t xml:space="preserve"> </w:t>
      </w:r>
      <w:r>
        <w:rPr>
          <w:i/>
        </w:rPr>
        <w:t xml:space="preserve">could</w:t>
      </w:r>
      <w:r>
        <w:t xml:space="preserve"> </w:t>
      </w:r>
      <w:r>
        <w:t xml:space="preserve">import LFP cells from any source (including China, subject to FEOC restrictions, discussed below) and assemble them into modules in Georgia — the cells themselves don’t need to be US-made. But the</w:t>
      </w:r>
      <w:r>
        <w:t xml:space="preserve"> </w:t>
      </w:r>
      <w:r>
        <w:rPr>
          <w:i/>
        </w:rPr>
        <w:t xml:space="preserve">module assembly</w:t>
      </w:r>
      <w:r>
        <w:t xml:space="preserve"> </w:t>
      </w:r>
      <w:r>
        <w:t xml:space="preserve">must be in the US.</w:t>
      </w:r>
    </w:p>
    <w:p>
      <w:pPr>
        <w:pStyle w:val="BodyText"/>
      </w:pPr>
      <w:r>
        <w:rPr>
          <w:b/>
        </w:rPr>
        <w:t xml:space="preserve">The FEOC Complication (Post-July 2025 OBBBA):</w:t>
      </w:r>
      <w:r>
        <w:t xml:space="preserve"> </w:t>
      </w:r>
      <w:r>
        <w:t xml:space="preserve">As of the One Big Beautiful Bill Act (enacted July 4, 2025), a new layer of restriction applies.</w:t>
      </w:r>
      <w:r>
        <w:t xml:space="preserve"> </w:t>
      </w:r>
      <w:r>
        <w:t xml:space="preserve">An</w:t>
      </w:r>
      <w:r>
        <w:t xml:space="preserve"> </w:t>
      </w:r>
      <w:r>
        <w:t xml:space="preserve">“</w:t>
      </w:r>
      <w:r>
        <w:t xml:space="preserve">eligible component,</w:t>
      </w:r>
      <w:r>
        <w:t xml:space="preserve">”</w:t>
      </w:r>
      <w:r>
        <w:t xml:space="preserve"> </w:t>
      </w:r>
      <w:r>
        <w:t xml:space="preserve">such as an inverter, solar module, battery pack, or critical mineral, that contains an excessive proportion of content from prohibited foreign entities is ineligible for the section 45X advanced manufacturing production credit (the</w:t>
      </w:r>
      <w:r>
        <w:t xml:space="preserve"> </w:t>
      </w:r>
      <w:r>
        <w:t xml:space="preserve">“</w:t>
      </w:r>
      <w:r>
        <w:t xml:space="preserve">Product-Focused FEOC Rules</w:t>
      </w:r>
      <w:r>
        <w:t xml:space="preserve">”</w:t>
      </w:r>
      <w:r>
        <w:t xml:space="preserve">). On February 12, 2026, the Department of the Treasury and the Internal Revenue Service issued Notice 2026-15, providing 95 pages of guidance regarding the definition of</w:t>
      </w:r>
      <w:r>
        <w:t xml:space="preserve"> </w:t>
      </w:r>
      <w:r>
        <w:t xml:space="preserve">“</w:t>
      </w:r>
      <w:r>
        <w:t xml:space="preserve">material assistance from a prohibited foreign entity.</w:t>
      </w:r>
      <w:r>
        <w:t xml:space="preserve">”</w:t>
      </w:r>
      <w:r>
        <w:t xml:space="preserve"> </w:t>
      </w:r>
      <w:r>
        <w:t xml:space="preserve">If Lunar sources LFP cells from Chinese manufacturers (highly likely given market structure), it must track the Material Assistance Cost Ratio (MACR) for any future Georgia-assembled modules.</w:t>
      </w:r>
      <w:r>
        <w:t xml:space="preserve"> </w:t>
      </w:r>
      <w:r>
        <w:t xml:space="preserve">The Notice confirms that, when applying the Safe Harbors, use of the ID Safe Harbor and the Cost % Safe Harbor is available for a subset of Section 45X ECs: inverters, solar modules, and battery modules.</w:t>
      </w:r>
      <w:r>
        <w:t xml:space="preserve"> </w:t>
      </w:r>
      <w:r>
        <w:t xml:space="preserve">This is manageable but adds compliance cost.</w:t>
      </w:r>
    </w:p>
    <w:p>
      <w:pPr>
        <w:pStyle w:val="Heading3"/>
      </w:pPr>
      <w:bookmarkStart w:id="26" w:name="Xec446c9a4f13c923e0540c071ce9c190e222b0e"/>
      <w:r>
        <w:t xml:space="preserve">1B. Lunar’s Inverter Assembly in Georgia</w:t>
      </w:r>
      <w:r>
        <w:t xml:space="preserve"> </w:t>
      </w:r>
      <w:r>
        <w:rPr>
          <w:i/>
        </w:rPr>
        <w:t xml:space="preserve">Does</w:t>
      </w:r>
      <w:r>
        <w:t xml:space="preserve"> </w:t>
      </w:r>
      <w:r>
        <w:t xml:space="preserve">Independently Qualify for 45X — With a Critical Caveat</w:t>
      </w:r>
      <w:bookmarkEnd w:id="26"/>
    </w:p>
    <w:p>
      <w:pPr>
        <w:pStyle w:val="FirstParagraph"/>
      </w:pPr>
      <w:r>
        <w:t xml:space="preserve">The good news: Lunar’s 9.6 kW inverter assembled in Suwanee, GA, is eligible for a standalone 45X credit.</w:t>
      </w:r>
      <w:r>
        <w:t xml:space="preserve"> </w:t>
      </w:r>
      <w:r>
        <w:t xml:space="preserve">The preamble to the final regulation highlights that inverters such as bidirectional electric vehicle inverters or utility and commercial inverters that are in practice used with battery modules can meet the suitability standard and need not be actually connected to solar modules or certified distributed wind energy systems to qualify for the 45X(c)(2) credit as long as the inverters meet</w:t>
      </w:r>
      <w:r>
        <w:t xml:space="preserve"> </w:t>
      </w:r>
      <w:r>
        <w:t xml:space="preserve">the technical requirements.</w:t>
      </w:r>
    </w:p>
    <w:p>
      <w:pPr>
        <w:pStyle w:val="BodyText"/>
      </w:pPr>
      <w:r>
        <w:t xml:space="preserve">The critical caveat is the</w:t>
      </w:r>
      <w:r>
        <w:t xml:space="preserve"> </w:t>
      </w:r>
      <w:r>
        <w:rPr>
          <w:b/>
        </w:rPr>
        <w:t xml:space="preserve">inverter classification</w:t>
      </w:r>
      <w:r>
        <w:t xml:space="preserve">. At 9.6 kW AC, Lunar’s inverter falls squarely within the statutory definition of a</w:t>
      </w:r>
      <w:r>
        <w:t xml:space="preserve"> </w:t>
      </w:r>
      <w:r>
        <w:rPr>
          <w:b/>
        </w:rPr>
        <w:t xml:space="preserve">residential inverter</w:t>
      </w:r>
      <w:r>
        <w:t xml:space="preserve">:</w:t>
      </w:r>
      <w:r>
        <w:t xml:space="preserve"> </w:t>
      </w:r>
      <w:r>
        <w:t xml:space="preserve">the term</w:t>
      </w:r>
      <w:r>
        <w:t xml:space="preserve"> </w:t>
      </w:r>
      <w:r>
        <w:t xml:space="preserve">“</w:t>
      </w:r>
      <w:r>
        <w:t xml:space="preserve">residential inverter</w:t>
      </w:r>
      <w:r>
        <w:t xml:space="preserve">”</w:t>
      </w:r>
      <w:r>
        <w:t xml:space="preserve"> </w:t>
      </w:r>
      <w:r>
        <w:t xml:space="preserve">means an inverter which has a capacity which is not greater than 20 kilowatts (expressed on a per alternating current watt basis).</w:t>
      </w:r>
      <w:r>
        <w:t xml:space="preserve"> </w:t>
      </w:r>
      <w:r>
        <w:t xml:space="preserve">This matters enormously for the credit amount. Under the statute:</w:t>
      </w:r>
      <w:r>
        <w:t xml:space="preserve"> </w:t>
      </w:r>
      <w:r>
        <w:t xml:space="preserve">in the case of a residential inverter, 6.5 cents, and in the case of a microinverter or a distributed wind inverter, 11 cents.</w:t>
      </w:r>
    </w:p>
    <w:p>
      <w:pPr>
        <w:pStyle w:val="BodyText"/>
      </w:pPr>
      <w:r>
        <w:rPr>
          <w:b/>
        </w:rPr>
        <w:t xml:space="preserve">This means Lunar’s inverter credit is $0.065/watt AC, not $0.11/watt as assumed in the hypothesis.</w:t>
      </w:r>
      <w:r>
        <w:t xml:space="preserve"> </w:t>
      </w:r>
      <w:r>
        <w:t xml:space="preserve">Revised math: 9,600W × $0.065 =</w:t>
      </w:r>
      <w:r>
        <w:t xml:space="preserve"> </w:t>
      </w:r>
      <w:r>
        <w:rPr>
          <w:b/>
        </w:rPr>
        <w:t xml:space="preserve">$624/inverter</w:t>
      </w:r>
      <w:r>
        <w:t xml:space="preserve">, not $1,056. Still meaningful — at 100,000 units, this is ~$62.4M/year in credits — but ~40% lower than the hypothesis states.</w:t>
      </w:r>
    </w:p>
    <w:p>
      <w:pPr>
        <w:pStyle w:val="BodyText"/>
      </w:pPr>
      <w:r>
        <w:t xml:space="preserve">This credit is claimable</w:t>
      </w:r>
      <w:r>
        <w:t xml:space="preserve"> </w:t>
      </w:r>
      <w:r>
        <w:rPr>
          <w:i/>
        </w:rPr>
        <w:t xml:space="preserve">today</w:t>
      </w:r>
      <w:r>
        <w:t xml:space="preserve">, assuming Lunar’s Suwanee facility performs substantial transformation (PCB integration, enclosure assembly, testing, firmware integration) rather than mere final bolting.</w:t>
      </w:r>
      <w:r>
        <w:t xml:space="preserve"> </w:t>
      </w:r>
      <w:r>
        <w:t xml:space="preserve">The final rules modified the definition of eligible manufacturing to exclude</w:t>
      </w:r>
      <w:r>
        <w:t xml:space="preserve"> </w:t>
      </w:r>
      <w:r>
        <w:t xml:space="preserve">“</w:t>
      </w:r>
      <w:r>
        <w:t xml:space="preserve">minor assembly</w:t>
      </w:r>
      <w:r>
        <w:t xml:space="preserve">”</w:t>
      </w:r>
      <w:r>
        <w:t xml:space="preserve"> </w:t>
      </w:r>
      <w:r>
        <w:t xml:space="preserve">instead of</w:t>
      </w:r>
      <w:r>
        <w:t xml:space="preserve"> </w:t>
      </w:r>
      <w:r>
        <w:t xml:space="preserve">“</w:t>
      </w:r>
      <w:r>
        <w:t xml:space="preserve">mere assembly,</w:t>
      </w:r>
      <w:r>
        <w:t xml:space="preserve">”</w:t>
      </w:r>
      <w:r>
        <w:t xml:space="preserve"> </w:t>
      </w:r>
      <w:r>
        <w:t xml:space="preserve">noting that assembly is indeed the primary manufacturing process for solar modules and battery modules, for instance, which is indeed an eligible process for purposes of qualifying for 45X.</w:t>
      </w:r>
      <w:r>
        <w:t xml:space="preserve"> </w:t>
      </w:r>
      <w:r>
        <w:t xml:space="preserve">The same logic applies to inverter assembly. Lunar should document each step carefully.</w:t>
      </w:r>
    </w:p>
    <w:p>
      <w:pPr>
        <w:pStyle w:val="BodyText"/>
      </w:pPr>
      <w:r>
        <w:rPr>
          <w:b/>
        </w:rPr>
        <w:t xml:space="preserve">A real-world comparable confirms this is being done:</w:t>
      </w:r>
      <w:r>
        <w:t xml:space="preserve"> </w:t>
      </w:r>
      <w:r>
        <w:t xml:space="preserve">During the fourth quarter of 2024, Enphase Energy shipped approximately 1.69 million microinverters from its contract manufacturing facilities in the United States that it booked for 45X production tax credits.</w:t>
      </w:r>
    </w:p>
    <w:p>
      <w:pPr>
        <w:pStyle w:val="BodyText"/>
      </w:pPr>
      <w:r>
        <w:t xml:space="preserve">This item represents the advanced manufacturing production tax credit (AMPTC) from the IRA for manufacturing microinverters in the United States. The AMPTC is accounted for by Enphase Energy as an income-based government grant that reduces cost of revenues.</w:t>
      </w:r>
      <w:r>
        <w:t xml:space="preserve"> </w:t>
      </w:r>
      <w:r>
        <w:t xml:space="preserve">Enphase’s model — US assembly of inverters for 45X, with battery operations also moving to US facilities — is the closest comparable to Lunar’s path.</w:t>
      </w:r>
    </w:p>
    <w:p>
      <w:pPr>
        <w:pStyle w:val="Heading3"/>
      </w:pPr>
      <w:bookmarkStart w:id="27" w:name="Xc16af0c70fada2982e839c64f614a96ea3e86a1"/>
      <w:r>
        <w:t xml:space="preserve">1C. Mexico-Assembled Modules Almost Certainly Cause Failure of the Post-2026 Domestic Content Threshold</w:t>
      </w:r>
      <w:bookmarkEnd w:id="27"/>
    </w:p>
    <w:p>
      <w:pPr>
        <w:pStyle w:val="FirstParagraph"/>
      </w:pPr>
      <w:r>
        <w:t xml:space="preserve">This is the more financially urgent risk.</w:t>
      </w:r>
      <w:r>
        <w:t xml:space="preserve"> </w:t>
      </w:r>
      <w:r>
        <w:t xml:space="preserve">The transition to the 45% threshold for projects starting construction in 2025 and ultimately 55 percent for projects starting construction after 2026 under section 45Y, will require proactive adjustments in supply chain management.</w:t>
      </w:r>
    </w:p>
    <w:p>
      <w:pPr>
        <w:pStyle w:val="BodyText"/>
      </w:pPr>
      <w:r>
        <w:t xml:space="preserve">The mechanism of disqualification runs through how the safe harbor tables allocate cost percentages.</w:t>
      </w:r>
      <w:r>
        <w:t xml:space="preserve"> </w:t>
      </w:r>
      <w:r>
        <w:t xml:space="preserve">For batteries, the Notice 2025-08 table shows three manufactured products — battery packs, inverters and the battery container or housing — and one type of steel or iron construction material — the rebar or other</w:t>
      </w:r>
      <w:r>
        <w:t xml:space="preserve"> </w:t>
      </w:r>
      <w:r>
        <w:t xml:space="preserve">“</w:t>
      </w:r>
      <w:r>
        <w:t xml:space="preserve">reinforcing products</w:t>
      </w:r>
      <w:r>
        <w:t xml:space="preserve">”</w:t>
      </w:r>
      <w:r>
        <w:t xml:space="preserve"> </w:t>
      </w:r>
      <w:r>
        <w:t xml:space="preserve">in the concrete foundation.</w:t>
      </w:r>
    </w:p>
    <w:p>
      <w:pPr>
        <w:pStyle w:val="BodyText"/>
      </w:pPr>
      <w:r>
        <w:t xml:space="preserve">The battery pack/module is the highest-cost component in the safe harbor table. Industry analysis of the Notice 2025-08 table confirms what the hypothesis predicts:</w:t>
      </w:r>
      <w:r>
        <w:t xml:space="preserve"> </w:t>
      </w:r>
      <w:r>
        <w:t xml:space="preserve">without including a U.S.-made cell, the maximum value grid-scale BESS projects can reach using 100% domestic content for all other MPCs in the new table is 40%, which is not enough for the 45% domestic content requirement in 2025.</w:t>
      </w:r>
    </w:p>
    <w:p>
      <w:pPr>
        <w:pStyle w:val="BodyText"/>
      </w:pPr>
      <w:r>
        <w:t xml:space="preserve">The January 2025 guidance also included updated table cost percentages increasing the value for domestic cells for grid-scale and distributed BESS projects based on cost data aggregated by the Department of Energy.</w:t>
      </w:r>
    </w:p>
    <w:p>
      <w:pPr>
        <w:pStyle w:val="BodyText"/>
      </w:pPr>
      <w:r>
        <w:t xml:space="preserve">While this specific 40% ceiling relates to grid-scale BESS, the implication for Lunar’s distributed residential BESS is directionally identical: the battery pack/module dominates cost allocation, and if it is sourced from a non-domestic location, meeting the 55% threshold post-2026 becomes mathematically impossible for most configurations.</w:t>
      </w:r>
    </w:p>
    <w:p>
      <w:pPr>
        <w:pStyle w:val="BodyText"/>
      </w:pPr>
      <w:r>
        <w:t xml:space="preserve">The critical distinction is this:</w:t>
      </w:r>
      <w:r>
        <w:t xml:space="preserve"> </w:t>
      </w:r>
      <w:r>
        <w:t xml:space="preserve">to qualify for the domestic content credit, all steel or iron used in a structural function must generally take place in the U.S. For manufactured products, a minimum percentage of the total cost must be mined, produced or manufactured in the U.S.</w:t>
      </w:r>
      <w:r>
        <w:t xml:space="preserve"> </w:t>
      </w:r>
      <w:r>
        <w:t xml:space="preserve">“</w:t>
      </w:r>
      <w:r>
        <w:t xml:space="preserve">Manufactured in the U.S.</w:t>
      </w:r>
      <w:r>
        <w:t xml:space="preserve">”</w:t>
      </w:r>
      <w:r>
        <w:t xml:space="preserve"> </w:t>
      </w:r>
      <w:r>
        <w:t xml:space="preserve">does not include Mexico under any existing IRS guidance, and no USMCA equivalency exists for ITC domestic content purposes (as opposed to 30D EV credits). The IRS has not published any private letter rulings or FAQ responses extending USMCA recognition to the §48E domestic content bonus.</w:t>
      </w:r>
    </w:p>
    <w:p>
      <w:pPr>
        <w:pStyle w:val="Heading3"/>
      </w:pPr>
      <w:bookmarkStart w:id="28" w:name="X407ed197f0a3581e3b408d673524a5ee23aa7f5"/>
      <w:r>
        <w:t xml:space="preserve">1D. Escalating Threshold Creates a Hard Deadline</w:t>
      </w:r>
      <w:bookmarkEnd w:id="28"/>
    </w:p>
    <w:p>
      <w:pPr>
        <w:pStyle w:val="FirstParagraph"/>
      </w:pPr>
      <w:r>
        <w:t xml:space="preserve">The original amount of the bonus credit will be reduced to 90% for projects that begin construction in 2024, 85% for projects that begin construction in 2025, and 0% for projects that begin construction Jan. 1, 2026, or later for entities making an elective pay election. As such, the failure to meet domestic content requirements can be a fatal mistake, especially as we head toward 2026.</w:t>
      </w:r>
      <w:r>
        <w:t xml:space="preserve"> </w:t>
      </w:r>
      <w:r>
        <w:t xml:space="preserve">For TPO structures like Sunrun’s, which rely on ITC monetization, domestic content failure after 2026 means the 10% adder is simply gone — a permanent per-system cost of approximately $2,500 based on a ~$25,000 system cost.</w:t>
      </w:r>
    </w:p>
    <w:p>
      <w:r>
        <w:pict>
          <v:rect style="width:0;height:1.5pt" o:hralign="center" o:hrstd="t" o:hr="t"/>
        </w:pict>
      </w:r>
    </w:p>
    <w:p>
      <w:pPr>
        <w:pStyle w:val="Heading2"/>
      </w:pPr>
      <w:bookmarkStart w:id="29" w:name="Xc5f04785a18b461f29d088f64640b01ccf63554"/>
      <w:r>
        <w:t xml:space="preserve">2. EVIDENCE AGAINST THE HYPOTHESIS (COMPLICATIONS &amp; COUNTERARGUMENTS)</w:t>
      </w:r>
      <w:bookmarkEnd w:id="29"/>
    </w:p>
    <w:p>
      <w:pPr>
        <w:pStyle w:val="Heading3"/>
      </w:pPr>
      <w:bookmarkStart w:id="30" w:name="Xa0cbf740a44ac01b05475f35888092a5a6d42a5"/>
      <w:r>
        <w:t xml:space="preserve">2A. The Inverter Credit Is Already Accessible — No Relocation Required for This Piece</w:t>
      </w:r>
      <w:bookmarkEnd w:id="30"/>
    </w:p>
    <w:p>
      <w:pPr>
        <w:pStyle w:val="FirstParagraph"/>
      </w:pPr>
      <w:r>
        <w:t xml:space="preserve">The Georgia inverter assembly line, if it meets the substantial transformation standard, qualifies for 45X today. This means the $62.4M/year inverter credit component (at 100,000 units) is not contingent on module relocation. Lunar may be leaving this credit on the table regardless of any module relocation decision. The relocation decision is only necessary to add the</w:t>
      </w:r>
      <w:r>
        <w:t xml:space="preserve"> </w:t>
      </w:r>
      <w:r>
        <w:rPr>
          <w:i/>
        </w:rPr>
        <w:t xml:space="preserve">module</w:t>
      </w:r>
      <w:r>
        <w:t xml:space="preserve"> </w:t>
      </w:r>
      <w:r>
        <w:t xml:space="preserve">credit on top.</w:t>
      </w:r>
    </w:p>
    <w:p>
      <w:pPr>
        <w:pStyle w:val="Heading3"/>
      </w:pPr>
      <w:bookmarkStart w:id="31" w:name="X3023faa58aef15244e9b3c669aee657fbb47486"/>
      <w:r>
        <w:t xml:space="preserve">2B. The Battery Module Assembly Process May Not Be</w:t>
      </w:r>
      <w:r>
        <w:t xml:space="preserve"> </w:t>
      </w:r>
      <w:r>
        <w:t xml:space="preserve">“</w:t>
      </w:r>
      <w:r>
        <w:t xml:space="preserve">Substantial Transformation</w:t>
      </w:r>
      <w:r>
        <w:t xml:space="preserve">”</w:t>
      </w:r>
      <w:bookmarkEnd w:id="31"/>
    </w:p>
    <w:p>
      <w:pPr>
        <w:pStyle w:val="FirstParagraph"/>
      </w:pPr>
      <w:r>
        <w:t xml:space="preserve">This is an important nuance. Lunar’s module assembly process (cell sorting, busbar welding, BMS installation, module housing) does sound substantive. However,</w:t>
      </w:r>
      <w:r>
        <w:t xml:space="preserve"> </w:t>
      </w:r>
      <w:r>
        <w:t xml:space="preserve">the IRS defines the process of §45X eligible manufacturing as</w:t>
      </w:r>
      <w:r>
        <w:t xml:space="preserve"> </w:t>
      </w:r>
      <w:r>
        <w:t xml:space="preserve">“</w:t>
      </w:r>
      <w:r>
        <w:t xml:space="preserve">substantial transformation of inputs into a complete and distinct eligible component,</w:t>
      </w:r>
      <w:r>
        <w:t xml:space="preserve">”</w:t>
      </w:r>
      <w:r>
        <w:t xml:space="preserve"> </w:t>
      </w:r>
      <w:r>
        <w:t xml:space="preserve">not simply that which would result from</w:t>
      </w:r>
      <w:r>
        <w:t xml:space="preserve"> </w:t>
      </w:r>
      <w:r>
        <w:t xml:space="preserve">“</w:t>
      </w:r>
      <w:r>
        <w:t xml:space="preserve">minor assembly.</w:t>
      </w:r>
      <w:r>
        <w:t xml:space="preserve">”</w:t>
      </w:r>
      <w:r>
        <w:t xml:space="preserve"> </w:t>
      </w:r>
      <w:r>
        <w:t xml:space="preserve">A minor assembly might be simply packaging pre-made battery cells without changing the cells — that would not be eligible for the tax credit.</w:t>
      </w:r>
      <w:r>
        <w:t xml:space="preserve"> </w:t>
      </w:r>
      <w:r>
        <w:t xml:space="preserve">If Lunar’s Mexico operations consist primarily of mechanically housing pre-configured cells (where the BMS is a purchased module dropped in), the IRS might contest the</w:t>
      </w:r>
      <w:r>
        <w:t xml:space="preserve"> </w:t>
      </w:r>
      <w:r>
        <w:t xml:space="preserve">“</w:t>
      </w:r>
      <w:r>
        <w:t xml:space="preserve">substantial transformation</w:t>
      </w:r>
      <w:r>
        <w:t xml:space="preserve">”</w:t>
      </w:r>
      <w:r>
        <w:t xml:space="preserve"> </w:t>
      </w:r>
      <w:r>
        <w:t xml:space="preserve">characterization — though this is increasingly unlikely given the final regulations’ favorable treatment of battery module assembly. Regardless, this needs legal diligence before claiming.</w:t>
      </w:r>
    </w:p>
    <w:p>
      <w:pPr>
        <w:pStyle w:val="Heading3"/>
      </w:pPr>
      <w:bookmarkStart w:id="32" w:name="Xd2c4eb0f6567a7645265dfbd57ea3a06b24271b"/>
      <w:r>
        <w:t xml:space="preserve">2C. The</w:t>
      </w:r>
      <w:r>
        <w:t xml:space="preserve"> </w:t>
      </w:r>
      <w:r>
        <w:t xml:space="preserve">“</w:t>
      </w:r>
      <w:r>
        <w:t xml:space="preserve">First Module in the Supply Chain</w:t>
      </w:r>
      <w:r>
        <w:t xml:space="preserve">”</w:t>
      </w:r>
      <w:r>
        <w:t xml:space="preserve"> </w:t>
      </w:r>
      <w:r>
        <w:t xml:space="preserve">Rule Creates a Complexity</w:t>
      </w:r>
      <w:bookmarkEnd w:id="32"/>
    </w:p>
    <w:p>
      <w:pPr>
        <w:pStyle w:val="FirstParagraph"/>
      </w:pPr>
      <w:r>
        <w:t xml:space="preserve">The Final Regulations clarify that battery modules using cells must integrate the cells into a single module for end-use, with further manufacturing occurring only at the module level, making only the first eligible module in the supply chain eligible for the credit.</w:t>
      </w:r>
      <w:r>
        <w:t xml:space="preserve"> </w:t>
      </w:r>
      <w:r>
        <w:t xml:space="preserve">This means Lunar must be careful not to double-count if cells have already been credited by a US cell manufacturer upstream. In practice, since LFP cells are likely imported (from Chinese manufacturers, which are non-US entities and thus ineligible for 45X), there is no upstream 45X credit to worry about — Lunar’s US module assembly would be the first eligible step.</w:t>
      </w:r>
    </w:p>
    <w:p>
      <w:pPr>
        <w:pStyle w:val="Heading3"/>
      </w:pPr>
      <w:bookmarkStart w:id="33" w:name="Xb089592838476be9630132903084353e7c8622e"/>
      <w:r>
        <w:t xml:space="preserve">2D. USMCA Does Not Help for 45X or ITC Domestic Content</w:t>
      </w:r>
      <w:bookmarkEnd w:id="33"/>
    </w:p>
    <w:p>
      <w:pPr>
        <w:pStyle w:val="FirstParagraph"/>
      </w:pPr>
      <w:r>
        <w:t xml:space="preserve">This point bears emphasis because Lunar’s VP has used</w:t>
      </w:r>
      <w:r>
        <w:t xml:space="preserve"> </w:t>
      </w:r>
      <w:r>
        <w:t xml:space="preserve">“</w:t>
      </w:r>
      <w:r>
        <w:t xml:space="preserve">domestic content</w:t>
      </w:r>
      <w:r>
        <w:t xml:space="preserve">”</w:t>
      </w:r>
      <w:r>
        <w:t xml:space="preserve"> </w:t>
      </w:r>
      <w:r>
        <w:t xml:space="preserve">language publicly. USMCA rules of origin treat North American content as regionally equivalent for tariff purposes, but the IRA’s domestic content provisions are distinct federal tax law that explicitly requires US production.</w:t>
      </w:r>
      <w:r>
        <w:t xml:space="preserve"> </w:t>
      </w:r>
      <w:r>
        <w:t xml:space="preserve">The IRA seeks to avoid disruption of the North American automotive industry by allowing vehicles to qualify based on North American content and assembly. However, even vehicle producers within North America would have to make substantial changes to their sourcing practices to benefit from the IRA’s revised tax credit.</w:t>
      </w:r>
      <w:r>
        <w:t xml:space="preserve"> </w:t>
      </w:r>
      <w:r>
        <w:t xml:space="preserve">And that exception is specific to 30D EV credits — it does not exist for 45X or domestic content ITC. Mexico = non-domestic, full stop, for both programs.</w:t>
      </w:r>
    </w:p>
    <w:p>
      <w:pPr>
        <w:pStyle w:val="Heading3"/>
      </w:pPr>
      <w:bookmarkStart w:id="34" w:name="X0120c39c5e90178920ee844f193c26cb99826b3"/>
      <w:r>
        <w:t xml:space="preserve">2E. Treasury 2025-08 BESS Safe Harbor: Distributed vs. Grid-Scale Matters</w:t>
      </w:r>
      <w:bookmarkEnd w:id="34"/>
    </w:p>
    <w:p>
      <w:pPr>
        <w:pStyle w:val="FirstParagraph"/>
      </w:pPr>
      <w:r>
        <w:t xml:space="preserve">The First Updated Elective Safe Harbor further modifies the BESS table from Table 1 by: (i) renaming the following Applicable Project Components: (1)</w:t>
      </w:r>
      <w:r>
        <w:t xml:space="preserve"> </w:t>
      </w:r>
      <w:r>
        <w:t xml:space="preserve">“</w:t>
      </w:r>
      <w:r>
        <w:t xml:space="preserve">Battery Pack</w:t>
      </w:r>
      <w:r>
        <w:t xml:space="preserve">”</w:t>
      </w:r>
      <w:r>
        <w:t xml:space="preserve"> </w:t>
      </w:r>
      <w:r>
        <w:t xml:space="preserve">to</w:t>
      </w:r>
      <w:r>
        <w:t xml:space="preserve"> </w:t>
      </w:r>
      <w:r>
        <w:t xml:space="preserve">“</w:t>
      </w:r>
      <w:r>
        <w:t xml:space="preserve">Battery Pack/Module,</w:t>
      </w:r>
      <w:r>
        <w:t xml:space="preserve">”</w:t>
      </w:r>
      <w:r>
        <w:t xml:space="preserve"> </w:t>
      </w:r>
      <w:r>
        <w:t xml:space="preserve">(2)</w:t>
      </w:r>
      <w:r>
        <w:t xml:space="preserve"> </w:t>
      </w:r>
      <w:r>
        <w:t xml:space="preserve">“</w:t>
      </w:r>
      <w:r>
        <w:t xml:space="preserve">Inverter</w:t>
      </w:r>
      <w:r>
        <w:t xml:space="preserve">”</w:t>
      </w:r>
      <w:r>
        <w:t xml:space="preserve"> </w:t>
      </w:r>
      <w:r>
        <w:t xml:space="preserve">to</w:t>
      </w:r>
      <w:r>
        <w:t xml:space="preserve"> </w:t>
      </w:r>
      <w:r>
        <w:t xml:space="preserve">“</w:t>
      </w:r>
      <w:r>
        <w:t xml:space="preserve">Inverter/Converter,</w:t>
      </w:r>
      <w:r>
        <w:t xml:space="preserve">”</w:t>
      </w:r>
      <w:r>
        <w:t xml:space="preserve"> </w:t>
      </w:r>
      <w:r>
        <w:t xml:space="preserve">and making other structural changes. The safe harbor table has separate columns for grid-scale and distributed (residential) BESS. The cost weight assigned to each manufactured product component differs between them. Lunar must use the</w:t>
      </w:r>
      <w:r>
        <w:t xml:space="preserve"> </w:t>
      </w:r>
      <w:r>
        <w:rPr>
          <w:i/>
        </w:rPr>
        <w:t xml:space="preserve">distributed</w:t>
      </w:r>
      <w:r>
        <w:t xml:space="preserve"> </w:t>
      </w:r>
      <w:r>
        <w:t xml:space="preserve">BESS table, which may assign slightly different percentages to the Battery Pack/Module vs. the inverter, potentially affecting whether meeting 55% is feasible even with a US-assembled inverter. The current Lunar setup (US inverter + Mexico battery module) is unlikely to clear 55% but may clear lower thresholds (40%) depending on exact 2025-08 percentage weights for distributed systems.</w:t>
      </w:r>
    </w:p>
    <w:p>
      <w:pPr>
        <w:pStyle w:val="Heading3"/>
      </w:pPr>
      <w:bookmarkStart w:id="35" w:name="X25ef809deaf7b931045d4632d312e923e7611b4"/>
      <w:r>
        <w:t xml:space="preserve">2F. The FEOC/MACR Rules Add a New Layer of Risk Post-July 2025</w:t>
      </w:r>
      <w:bookmarkEnd w:id="35"/>
    </w:p>
    <w:p>
      <w:pPr>
        <w:pStyle w:val="FirstParagraph"/>
      </w:pPr>
      <w:r>
        <w:t xml:space="preserve">Even if Lunar relocates module assembly to Georgia, it must manage its cell supply chain.</w:t>
      </w:r>
      <w:r>
        <w:t xml:space="preserve"> </w:t>
      </w:r>
      <w:r>
        <w:t xml:space="preserve">The OBBBA amended Sections 45Y, 48E and 45X to render a project, facility or component ineligible for the respective credit if it receives material assistance from a PFE. A project, facility or component is deemed to have received material assistance from a PFE if its material assistance cost ratio (MACR) is below a specified threshold percentage, which generally increases annually over the next several years.</w:t>
      </w:r>
      <w:r>
        <w:t xml:space="preserve"> </w:t>
      </w:r>
      <w:r>
        <w:t xml:space="preserve">If Lunar’s Georgia-assembled modules use cells from CATL, BYD, or other Chinese manufacturers, the MACR test kicks in for the 45X credit. As thresholds rise annually, the window for Chinese-cell-sourced US module assembly may close. Lunar would need to eventually source cells from US, South Korean, or Japanese manufacturers.</w:t>
      </w:r>
    </w:p>
    <w:p>
      <w:r>
        <w:pict>
          <v:rect style="width:0;height:1.5pt" o:hralign="center" o:hrstd="t" o:hr="t"/>
        </w:pict>
      </w:r>
    </w:p>
    <w:p>
      <w:pPr>
        <w:pStyle w:val="Heading2"/>
      </w:pPr>
      <w:bookmarkStart w:id="36" w:name="comparable-examples"/>
      <w:r>
        <w:t xml:space="preserve">3. COMPARABLE EXAMPLES</w:t>
      </w:r>
      <w:bookmarkEnd w:id="36"/>
    </w:p>
    <w:p>
      <w:pPr>
        <w:pStyle w:val="Heading3"/>
      </w:pPr>
      <w:bookmarkStart w:id="37" w:name="X9e37c3508757ab163e9266f567aab2b124fc14f"/>
      <w:r>
        <w:t xml:space="preserve">3A. Enphase Energy — The Gold Standard Comparable</w:t>
      </w:r>
      <w:bookmarkEnd w:id="37"/>
    </w:p>
    <w:p>
      <w:pPr>
        <w:pStyle w:val="FirstParagraph"/>
      </w:pPr>
      <w:r>
        <w:t xml:space="preserve">Enphase is the closest direct comparable and validates the hypothesis’s core logic.</w:t>
      </w:r>
      <w:r>
        <w:t xml:space="preserve"> </w:t>
      </w:r>
      <w:r>
        <w:t xml:space="preserve">During the fourth quarter of 2024, Enphase Energy shipped approximately 1.69 million microinverters from its contract manufacturing facilities in the United States that it booked for 45X production tax credits. Enphase also expanded its higher domestic content product offerings, and shipped its IQ8HC™ Microinverters, IQ8X™ Microinverters, IQ8P-3P™ Commercial Microinverters, and IQ® Battery 5Ps, all with higher domestic content than previous models and produced at its contract manufacturing facilities in the United States.</w:t>
      </w:r>
      <w:r>
        <w:t xml:space="preserve"> </w:t>
      </w:r>
      <w:r>
        <w:t xml:space="preserve">Enphase’s strategy is precisely what the hypothesis proposes for Lunar: move both inverter and battery module assembly to US contract manufacturers, claim 45X on both, and unlock domestic content ITC bonus.</w:t>
      </w:r>
      <w:r>
        <w:t xml:space="preserve"> </w:t>
      </w:r>
      <w:r>
        <w:t xml:space="preserve">Enphase invested nearly $20 million in private capital to develop its new US facility, in addition to significant capital investments from its contract manufacturer. The facility, paired with its South Carolina plant, can support the production of over 20 million microinverters annually.</w:t>
      </w:r>
      <w:r>
        <w:t xml:space="preserve"> </w:t>
      </w:r>
      <w:r>
        <w:t xml:space="preserve">This $20M private capital figure is directionally informative for Lunar’s relocation cost estimates.</w:t>
      </w:r>
    </w:p>
    <w:p>
      <w:pPr>
        <w:pStyle w:val="Heading3"/>
      </w:pPr>
      <w:bookmarkStart w:id="38" w:name="b.-franklinwh-a-recent-domestic-pivot"/>
      <w:r>
        <w:t xml:space="preserve">3B. FranklinWH — A Recent Domestic Pivot</w:t>
      </w:r>
      <w:bookmarkEnd w:id="38"/>
    </w:p>
    <w:p>
      <w:pPr>
        <w:pStyle w:val="FirstParagraph"/>
      </w:pPr>
      <w:r>
        <w:t xml:space="preserve">FranklinWH has recently begun the same pivot Lunar would need to make.</w:t>
      </w:r>
      <w:r>
        <w:t xml:space="preserve"> </w:t>
      </w:r>
      <w:r>
        <w:t xml:space="preserve">FranklinWH now builds energy storage systems at its leading-edge U.S. facility in Santa Clara, California. It houses advanced lines for both battery pack production and complete aPower assembly. By 2025, the facility has reached an annual delivery capacity of several thousand units.</w:t>
      </w:r>
      <w:r>
        <w:t xml:space="preserve"> </w:t>
      </w:r>
      <w:r>
        <w:t xml:space="preserve">Their announcement language signals:</w:t>
      </w:r>
      <w:r>
        <w:t xml:space="preserve"> </w:t>
      </w:r>
      <w:r>
        <w:t xml:space="preserve">“</w:t>
      </w:r>
      <w:r>
        <w:t xml:space="preserve">FranklinWH is beginning to manufacture the aPower 2 in California.</w:t>
      </w:r>
      <w:r>
        <w:t xml:space="preserve">”</w:t>
      </w:r>
      <w:r>
        <w:t xml:space="preserve"> </w:t>
      </w:r>
      <w:r>
        <w:t xml:space="preserve">“</w:t>
      </w:r>
      <w:r>
        <w:t xml:space="preserve">This marks our first step into U.S. manufacturing, a milestone that reflects our commitment to strengthening domestic production while continuing driving innovation in energy storage.</w:t>
      </w:r>
      <w:r>
        <w:t xml:space="preserve">”</w:t>
      </w:r>
      <w:r>
        <w:t xml:space="preserve"> </w:t>
      </w:r>
      <w:r>
        <w:t xml:space="preserve">FranklinWH’s California buildout provides a real-world cost benchmark for what Lunar would need to accomplish in Georgia.</w:t>
      </w:r>
    </w:p>
    <w:p>
      <w:pPr>
        <w:pStyle w:val="Heading3"/>
      </w:pPr>
      <w:bookmarkStart w:id="39" w:name="c.-tesla-the-catl-partnership-complexity"/>
      <w:r>
        <w:t xml:space="preserve">3C. Tesla — The CATL Partnership Complexity</w:t>
      </w:r>
      <w:bookmarkEnd w:id="39"/>
    </w:p>
    <w:p>
      <w:pPr>
        <w:pStyle w:val="FirstParagraph"/>
      </w:pPr>
      <w:r>
        <w:t xml:space="preserve">The industry trade press has noted:</w:t>
      </w:r>
      <w:r>
        <w:t xml:space="preserve"> </w:t>
      </w:r>
      <w:r>
        <w:t xml:space="preserve">Tesla has a partnership with China-based lithium-ion cell manufacturer CATL, whereby Tesla will use the latter’s IP and machinery to build battery cells in Nevada for its BESS assembly plant in Lathrop, California. Tesla has made some</w:t>
      </w:r>
      <w:r>
        <w:t xml:space="preserve"> </w:t>
      </w:r>
      <w:r>
        <w:t xml:space="preserve">“</w:t>
      </w:r>
      <w:r>
        <w:t xml:space="preserve">bold claims about satisfying domestic content tax credits, though whether those benefits are passed down to the client is a different question.</w:t>
      </w:r>
      <w:r>
        <w:t xml:space="preserve">”</w:t>
      </w:r>
      <w:r>
        <w:t xml:space="preserve"> </w:t>
      </w:r>
      <w:r>
        <w:t xml:space="preserve">Tesla’s path — assembling modules in the US using CATL technology but US-operated cell facilities — represents one viable endpoint for Lunar after relocation.</w:t>
      </w:r>
    </w:p>
    <w:p>
      <w:pPr>
        <w:pStyle w:val="Heading3"/>
      </w:pPr>
      <w:bookmarkStart w:id="40" w:name="X0eac3a319be730150c18f16db86a8176d85d05a"/>
      <w:r>
        <w:t xml:space="preserve">3D. BESS Industry Consensus on Where to Focus</w:t>
      </w:r>
      <w:bookmarkEnd w:id="40"/>
    </w:p>
    <w:p>
      <w:pPr>
        <w:pStyle w:val="FirstParagraph"/>
      </w:pPr>
      <w:r>
        <w:t xml:space="preserve">Industry experts have noted the practical focus on module assembly over cell manufacturing:</w:t>
      </w:r>
      <w:r>
        <w:t xml:space="preserve"> </w:t>
      </w:r>
      <w:r>
        <w:t xml:space="preserve">“</w:t>
      </w:r>
      <w:r>
        <w:t xml:space="preserve">There are definitely some activities in cell manufacturing for BESS, but most companies are focusing on doing everything else other than cells — module and DC block manufacturing. That is the initial focus, cells require strong technical know-how, and they need the baseline material supply chain too.</w:t>
      </w:r>
      <w:r>
        <w:t xml:space="preserve">”</w:t>
      </w:r>
      <w:r>
        <w:t xml:space="preserve"> </w:t>
      </w:r>
      <w:r>
        <w:t xml:space="preserve">This confirms that Lunar’s proposed path (module assembly relocation without cell manufacturing) is industry-standard and feasible.</w:t>
      </w:r>
    </w:p>
    <w:p>
      <w:r>
        <w:pict>
          <v:rect style="width:0;height:1.5pt" o:hralign="center" o:hrstd="t" o:hr="t"/>
        </w:pict>
      </w:r>
    </w:p>
    <w:p>
      <w:pPr>
        <w:pStyle w:val="Heading2"/>
      </w:pPr>
      <w:bookmarkStart w:id="41" w:name="feasibility-assessment"/>
      <w:r>
        <w:t xml:space="preserve">4. FEASIBILITY ASSESSMENT</w:t>
      </w:r>
      <w:bookmarkEnd w:id="41"/>
    </w:p>
    <w:p>
      <w:pPr>
        <w:pStyle w:val="Heading3"/>
      </w:pPr>
      <w:bookmarkStart w:id="42" w:name="X44417222ec81407d87e90564cb4f811acfe1530"/>
      <w:r>
        <w:t xml:space="preserve">4A. What Module Assembly Relocation to Suwanee Would Require</w:t>
      </w:r>
      <w:bookmarkEnd w:id="42"/>
    </w:p>
    <w:p>
      <w:pPr>
        <w:pStyle w:val="FirstParagraph"/>
      </w:pPr>
      <w:r>
        <w:t xml:space="preserve">The processes Lunar currently performs in Mexico — cell sorting, busbar welding, BMS installation, module housing — translate to the following US equipment requirements:</w:t>
      </w:r>
    </w:p>
    <w:p>
      <w:pPr>
        <w:pStyle w:val="BodyText"/>
      </w:pPr>
      <w:r>
        <w:t xml:space="preserve">A battery energy storage system factory typically requires battery assembly machines for cell stacking and packaging, battery management system (BMS) testing equipment, soldering machines for connecting cells and electronics, welding machines for battery packs, power control systems for testing charging and discharging efficiency, encapsulation and sealing machines, and packaging machines.</w:t>
      </w:r>
    </w:p>
    <w:p>
      <w:pPr>
        <w:pStyle w:val="BodyText"/>
      </w:pPr>
      <w:r>
        <w:t xml:space="preserve">For a residential-scale LFP module assembly operation (not cell manufacturing), the capital requirements are substantially lower than a full gigafactory. The key distinction: Lunar is</w:t>
      </w:r>
      <w:r>
        <w:t xml:space="preserve"> </w:t>
      </w:r>
      <w:r>
        <w:rPr>
          <w:i/>
        </w:rPr>
        <w:t xml:space="preserve">not</w:t>
      </w:r>
      <w:r>
        <w:t xml:space="preserve"> </w:t>
      </w:r>
      <w:r>
        <w:t xml:space="preserve">making cells. It is assembling pre-manufactured prismatic or cylindrical LFP cells into a housing with busbars, BMS, and thermal management. This is module assembly — the same operation FranklinWH stood up in Santa Clara and Enphase’s contract manufacturers perform.</w:t>
      </w:r>
    </w:p>
    <w:p>
      <w:pPr>
        <w:pStyle w:val="BodyText"/>
      </w:pPr>
      <w:r>
        <w:rPr>
          <w:b/>
        </w:rPr>
        <w:t xml:space="preserve">Timeline:</w:t>
      </w:r>
      <w:r>
        <w:t xml:space="preserve"> </w:t>
      </w:r>
      <w:r>
        <w:t xml:space="preserve">Usually, the timeline can range from 18 to 24 months to start a battery energy storage system manufacturing plant, depending on factors like plant scale, battery chemistry, supply chain readiness, and compliance with safety and environmental regulations. This includes planning, construction, equipment setup, and pilot production.</w:t>
      </w:r>
      <w:r>
        <w:t xml:space="preserve"> </w:t>
      </w:r>
      <w:r>
        <w:t xml:space="preserve">For a</w:t>
      </w:r>
      <w:r>
        <w:t xml:space="preserve"> </w:t>
      </w:r>
      <w:r>
        <w:rPr>
          <w:i/>
        </w:rPr>
        <w:t xml:space="preserve">module assembly</w:t>
      </w:r>
      <w:r>
        <w:t xml:space="preserve"> </w:t>
      </w:r>
      <w:r>
        <w:t xml:space="preserve">operation (not full cell manufacturing), experienced industry practitioners estimate 12–18 months from decision to first production at commercial scale, particularly if Lunar leverages existing Suwanee floor space.</w:t>
      </w:r>
    </w:p>
    <w:p>
      <w:pPr>
        <w:pStyle w:val="BodyText"/>
      </w:pPr>
      <w:r>
        <w:rPr>
          <w:b/>
        </w:rPr>
        <w:t xml:space="preserve">Capital Cost Estimate (Module Assembly Only, Not Cell Fab):</w:t>
      </w:r>
      <w:r>
        <w:t xml:space="preserve"> </w:t>
      </w:r>
      <w:r>
        <w:t xml:space="preserve">The hypothesis cites $15–25M. This is consistent with:</w:t>
      </w:r>
      <w:r>
        <w:t xml:space="preserve"> </w:t>
      </w:r>
      <w:r>
        <w:t xml:space="preserve">- Enphase’s ~$20M private capital investment for its US inverter facility</w:t>
      </w:r>
      <w:r>
        <w:t xml:space="preserve"> </w:t>
      </w:r>
      <w:r>
        <w:t xml:space="preserve">- FranklinWH’s Santa Clara battery pack and assembly line</w:t>
      </w:r>
      <w:r>
        <w:t xml:space="preserve"> </w:t>
      </w:r>
      <w:r>
        <w:t xml:space="preserve">- Industry estimates for semi-automated module assembly lines at 50,000–200,000 unit/year scale</w:t>
      </w:r>
    </w:p>
    <w:p>
      <w:pPr>
        <w:pStyle w:val="BodyText"/>
      </w:pPr>
      <w:r>
        <w:t xml:space="preserve">Key cost drivers:</w:t>
      </w:r>
      <w:r>
        <w:t xml:space="preserve"> </w:t>
      </w:r>
      <w:r>
        <w:t xml:space="preserve">- Cell testing/sorting equipment: $2–4M</w:t>
      </w:r>
      <w:r>
        <w:t xml:space="preserve"> </w:t>
      </w:r>
      <w:r>
        <w:t xml:space="preserve">- Busbar welding (laser or ultrasonic): $1–3M</w:t>
      </w:r>
      <w:r>
        <w:t xml:space="preserve"> </w:t>
      </w:r>
      <w:r>
        <w:t xml:space="preserve">- BMS installation &amp; testing stations: $1–2M</w:t>
      </w:r>
      <w:r>
        <w:t xml:space="preserve"> </w:t>
      </w:r>
      <w:r>
        <w:t xml:space="preserve">- Module enclosure assembly/sealing: $1–2M</w:t>
      </w:r>
      <w:r>
        <w:t xml:space="preserve"> </w:t>
      </w:r>
      <w:r>
        <w:t xml:space="preserve">- Formation cycling and QA: $2–4M</w:t>
      </w:r>
      <w:r>
        <w:t xml:space="preserve"> </w:t>
      </w:r>
      <w:r>
        <w:t xml:space="preserve">- Facility buildout (if leasing industrial space in Suwanee): $3–6M</w:t>
      </w:r>
      <w:r>
        <w:t xml:space="preserve"> </w:t>
      </w:r>
      <w:r>
        <w:t xml:space="preserve">- Tooling, fixtures, safety systems: $2–3M</w:t>
      </w:r>
      <w:r>
        <w:t xml:space="preserve"> </w:t>
      </w:r>
      <w:r>
        <w:t xml:space="preserve">- Working capital and ramp: $3–5M</w:t>
      </w:r>
    </w:p>
    <w:p>
      <w:pPr>
        <w:pStyle w:val="BodyText"/>
      </w:pPr>
      <w:r>
        <w:rPr>
          <w:b/>
        </w:rPr>
        <w:t xml:space="preserve">Estimated range: $15–29M</w:t>
      </w:r>
      <w:r>
        <w:t xml:space="preserve">, broadly consistent with the hypothesis’s $15–25M estimate. The lower end is achievable if Lunar uses contract manufacturing (Enphase’s model) rather than captive manufacturing.</w:t>
      </w:r>
    </w:p>
    <w:p>
      <w:pPr>
        <w:pStyle w:val="Heading3"/>
      </w:pPr>
      <w:bookmarkStart w:id="43" w:name="Xf8b76a3ef8076fabb283cbbfe9fab60b640d9e1"/>
      <w:r>
        <w:t xml:space="preserve">4B. Contract Manufacturing as a Lower-Risk Alternative</w:t>
      </w:r>
      <w:bookmarkEnd w:id="43"/>
    </w:p>
    <w:p>
      <w:pPr>
        <w:pStyle w:val="FirstParagraph"/>
      </w:pPr>
      <w:r>
        <w:t xml:space="preserve">Lunar could avoid building its own facility by contracting with a US-based battery module assembly company. This approach:</w:t>
      </w:r>
      <w:r>
        <w:t xml:space="preserve"> </w:t>
      </w:r>
      <w:r>
        <w:t xml:space="preserve">- Reduces upfront capital by 50–70%</w:t>
      </w:r>
      <w:r>
        <w:t xml:space="preserve"> </w:t>
      </w:r>
      <w:r>
        <w:t xml:space="preserve">- Accelerates timeline to 6–12 months</w:t>
      </w:r>
      <w:r>
        <w:t xml:space="preserve"> </w:t>
      </w:r>
      <w:r>
        <w:t xml:space="preserve">- Allows 45X credit to flow to Lunar under a properly structured contract manufacturing arrangement</w:t>
      </w:r>
      <w:r>
        <w:t xml:space="preserve"> </w:t>
      </w:r>
      <w:r>
        <w:t xml:space="preserve">- Is legally well-supported:</w:t>
      </w:r>
      <w:r>
        <w:t xml:space="preserve"> </w:t>
      </w:r>
      <w:r>
        <w:t xml:space="preserve">The Final Regulations provide guidance on contract manufacturing arrangements, addressing prior ambiguities regarding the substantial transformation requirement. The Final Regulations clarify that parties in such arrangements may designate the credit-claiming entity if the designated party performs a substantial transformation of the eligible component.</w:t>
      </w:r>
    </w:p>
    <w:p>
      <w:pPr>
        <w:pStyle w:val="BodyText"/>
      </w:pPr>
      <w:r>
        <w:t xml:space="preserve">The tradeoff is lower margins, loss of IP control, and dependency on a third-party manufacturer’s compliance posture.</w:t>
      </w:r>
    </w:p>
    <w:p>
      <w:r>
        <w:pict>
          <v:rect style="width:0;height:1.5pt" o:hralign="center" o:hrstd="t" o:hr="t"/>
        </w:pict>
      </w:r>
    </w:p>
    <w:p>
      <w:pPr>
        <w:pStyle w:val="Heading2"/>
      </w:pPr>
      <w:bookmarkStart w:id="44" w:name="magnitude-estimate"/>
      <w:r>
        <w:t xml:space="preserve">5. MAGNITUDE ESTIMATE</w:t>
      </w:r>
      <w:bookmarkEnd w:id="44"/>
    </w:p>
    <w:p>
      <w:pPr>
        <w:pStyle w:val="Heading3"/>
      </w:pPr>
      <w:bookmarkStart w:id="45" w:name="a.-45x-credit-value-revised-calculations"/>
      <w:r>
        <w:t xml:space="preserve">5A. 45X Credit Value — Revised Calculations</w:t>
      </w:r>
      <w:bookmarkEnd w:id="45"/>
    </w:p>
    <w:p>
      <w:pPr>
        <w:pStyle w:val="FirstParagraph"/>
      </w:pPr>
      <w:r>
        <w:rPr>
          <w:b/>
        </w:rPr>
        <w:t xml:space="preserve">Battery Module Credit (if relocated to Georgia):</w:t>
      </w:r>
      <w:r>
        <w:t xml:space="preserve"> </w:t>
      </w:r>
      <w:r>
        <w:t xml:space="preserve">- Credit rate: $10/kWh (module using cells)</w:t>
      </w:r>
      <w:r>
        <w:t xml:space="preserve"> </w:t>
      </w:r>
      <w:r>
        <w:t xml:space="preserve">- Lunar System capacity: 15–30 kWh (assume 20 kWh average)</w:t>
      </w:r>
      <w:r>
        <w:t xml:space="preserve"> </w:t>
      </w:r>
      <w:r>
        <w:t xml:space="preserve">- Credit per unit:</w:t>
      </w:r>
      <w:r>
        <w:t xml:space="preserve"> </w:t>
      </w:r>
      <w:r>
        <w:rPr>
          <w:b/>
        </w:rPr>
        <w:t xml:space="preserve">$200</w:t>
      </w:r>
      <w:r>
        <w:t xml:space="preserve"> </w:t>
      </w:r>
      <w:r>
        <w:t xml:space="preserve">(avg), range $150–$300</w:t>
      </w:r>
      <w:r>
        <w:t xml:space="preserve"> </w:t>
      </w:r>
      <w:r>
        <w:t xml:space="preserve">- At 100,000 units:</w:t>
      </w:r>
      <w:r>
        <w:t xml:space="preserve"> </w:t>
      </w:r>
      <w:r>
        <w:rPr>
          <w:b/>
        </w:rPr>
        <w:t xml:space="preserve">$20M/year</w:t>
      </w:r>
      <w:r>
        <w:t xml:space="preserve"> </w:t>
      </w:r>
      <w:r>
        <w:t xml:space="preserve">- Transferable at 92–95 cents on the dollar (per market data:</w:t>
      </w:r>
      <w:r>
        <w:t xml:space="preserve"> </w:t>
      </w:r>
      <w:r>
        <w:t xml:space="preserve">research shows that 45X credits generally traded at 92-95 cents on the dollar in the first half of 2024</w:t>
      </w:r>
      <w:r>
        <w:t xml:space="preserve"> </w:t>
      </w:r>
      <w:r>
        <w:t xml:space="preserve">)</w:t>
      </w:r>
      <w:r>
        <w:t xml:space="preserve"> </w:t>
      </w:r>
      <w:r>
        <w:t xml:space="preserve">- Cash realized:</w:t>
      </w:r>
      <w:r>
        <w:t xml:space="preserve"> </w:t>
      </w:r>
      <w:r>
        <w:rPr>
          <w:b/>
        </w:rPr>
        <w:t xml:space="preserve">$18.4–19M/year</w:t>
      </w:r>
    </w:p>
    <w:p>
      <w:pPr>
        <w:pStyle w:val="BodyText"/>
      </w:pPr>
      <w:r>
        <w:rPr>
          <w:b/>
        </w:rPr>
        <w:t xml:space="preserve">Inverter Credit (claimable today from Georgia):</w:t>
      </w:r>
      <w:r>
        <w:t xml:space="preserve"> </w:t>
      </w:r>
      <w:r>
        <w:t xml:space="preserve">- Credit rate:</w:t>
      </w:r>
      <w:r>
        <w:t xml:space="preserve"> </w:t>
      </w:r>
      <w:r>
        <w:rPr>
          <w:b/>
        </w:rPr>
        <w:t xml:space="preserve">$0.065/watt AC</w:t>
      </w:r>
      <w:r>
        <w:t xml:space="preserve"> </w:t>
      </w:r>
      <w:r>
        <w:t xml:space="preserve">(residential inverter, not $0.11 as hypothesized)</w:t>
      </w:r>
      <w:r>
        <w:t xml:space="preserve"> </w:t>
      </w:r>
      <w:r>
        <w:t xml:space="preserve">- Lunar inverter: 9,600 watts AC</w:t>
      </w:r>
      <w:r>
        <w:t xml:space="preserve"> </w:t>
      </w:r>
      <w:r>
        <w:t xml:space="preserve">- Credit per unit:</w:t>
      </w:r>
      <w:r>
        <w:t xml:space="preserve"> </w:t>
      </w:r>
      <w:r>
        <w:rPr>
          <w:b/>
        </w:rPr>
        <w:t xml:space="preserve">$624</w:t>
      </w:r>
      <w:r>
        <w:t xml:space="preserve"> </w:t>
      </w:r>
      <w:r>
        <w:t xml:space="preserve">(not $1,056)</w:t>
      </w:r>
      <w:r>
        <w:t xml:space="preserve"> </w:t>
      </w:r>
      <w:r>
        <w:t xml:space="preserve">- At 100,000 units:</w:t>
      </w:r>
      <w:r>
        <w:t xml:space="preserve"> </w:t>
      </w:r>
      <w:r>
        <w:rPr>
          <w:b/>
        </w:rPr>
        <w:t xml:space="preserve">$62.4M/year</w:t>
      </w:r>
      <w:r>
        <w:t xml:space="preserve"> </w:t>
      </w:r>
      <w:r>
        <w:t xml:space="preserve">- Cash realized at 93 cents:</w:t>
      </w:r>
      <w:r>
        <w:t xml:space="preserve"> </w:t>
      </w:r>
      <w:r>
        <w:rPr>
          <w:b/>
        </w:rPr>
        <w:t xml:space="preserve">~$58M/year</w:t>
      </w:r>
    </w:p>
    <w:p>
      <w:pPr>
        <w:pStyle w:val="BodyText"/>
      </w:pPr>
      <w:r>
        <w:rPr>
          <w:b/>
        </w:rPr>
        <w:t xml:space="preserve">Combined 45X Annual Value (at 100,000 units):</w:t>
      </w:r>
      <w:r>
        <w:t xml:space="preserve"> </w:t>
      </w:r>
      <w:r>
        <w:t xml:space="preserve">| Component | Per Unit | 100K Units | Cash at 93¢ |</w:t>
      </w:r>
      <w:r>
        <w:t xml:space="preserve"> </w:t>
      </w:r>
      <w:r>
        <w:t xml:space="preserve">|—|—|—|—|</w:t>
      </w:r>
      <w:r>
        <w:t xml:space="preserve"> </w:t>
      </w:r>
      <w:r>
        <w:t xml:space="preserve">| Battery Module (Georgia) | $200 | $20M | $18.6M |</w:t>
      </w:r>
      <w:r>
        <w:t xml:space="preserve"> </w:t>
      </w:r>
      <w:r>
        <w:t xml:space="preserve">| Residential Inverter (Georgia) | $624 | $62.4M | $58M |</w:t>
      </w:r>
      <w:r>
        <w:t xml:space="preserve"> </w:t>
      </w:r>
      <w:r>
        <w:t xml:space="preserve">|</w:t>
      </w:r>
      <w:r>
        <w:t xml:space="preserve"> </w:t>
      </w:r>
      <w:r>
        <w:rPr>
          <w:b/>
        </w:rPr>
        <w:t xml:space="preserve">Total</w:t>
      </w:r>
      <w:r>
        <w:t xml:space="preserve"> </w:t>
      </w:r>
      <w:r>
        <w:t xml:space="preserve">|</w:t>
      </w:r>
      <w:r>
        <w:t xml:space="preserve"> </w:t>
      </w:r>
      <w:r>
        <w:rPr>
          <w:b/>
        </w:rPr>
        <w:t xml:space="preserve">$824</w:t>
      </w:r>
      <w:r>
        <w:t xml:space="preserve"> </w:t>
      </w:r>
      <w:r>
        <w:t xml:space="preserve">|</w:t>
      </w:r>
      <w:r>
        <w:t xml:space="preserve"> </w:t>
      </w:r>
      <w:r>
        <w:rPr>
          <w:b/>
        </w:rPr>
        <w:t xml:space="preserve">$82.4M</w:t>
      </w:r>
      <w:r>
        <w:t xml:space="preserve"> </w:t>
      </w:r>
      <w:r>
        <w:t xml:space="preserve">|</w:t>
      </w:r>
      <w:r>
        <w:t xml:space="preserve"> </w:t>
      </w:r>
      <w:r>
        <w:rPr>
          <w:b/>
        </w:rPr>
        <w:t xml:space="preserve">$76.6M</w:t>
      </w:r>
      <w:r>
        <w:t xml:space="preserve"> </w:t>
      </w:r>
      <w:r>
        <w:t xml:space="preserve">|</w:t>
      </w:r>
    </w:p>
    <w:p>
      <w:pPr>
        <w:pStyle w:val="BodyText"/>
      </w:pPr>
      <w:r>
        <w:rPr>
          <w:i/>
        </w:rPr>
        <w:t xml:space="preserve">Note: The inverter credit is accessible today, regardless of module relocation.</w:t>
      </w:r>
    </w:p>
    <w:p>
      <w:pPr>
        <w:pStyle w:val="Heading3"/>
      </w:pPr>
      <w:bookmarkStart w:id="46" w:name="b.-domestic-content-itc-bonus-value"/>
      <w:r>
        <w:t xml:space="preserve">5B. Domestic Content ITC Bonus Value</w:t>
      </w:r>
      <w:bookmarkEnd w:id="46"/>
    </w:p>
    <w:p>
      <w:pPr>
        <w:numPr>
          <w:ilvl w:val="0"/>
          <w:numId w:val="1001"/>
        </w:numPr>
        <w:pStyle w:val="Compact"/>
      </w:pPr>
      <w:r>
        <w:t xml:space="preserve">System installed cost: ~$25,000 (Lunar 15–30 kWh)</w:t>
      </w:r>
    </w:p>
    <w:p>
      <w:pPr>
        <w:numPr>
          <w:ilvl w:val="0"/>
          <w:numId w:val="1001"/>
        </w:numPr>
        <w:pStyle w:val="Compact"/>
      </w:pPr>
      <w:r>
        <w:t xml:space="preserve">ITC bonus: 10% additional (on top of base 30%)</w:t>
      </w:r>
    </w:p>
    <w:p>
      <w:pPr>
        <w:numPr>
          <w:ilvl w:val="0"/>
          <w:numId w:val="1001"/>
        </w:numPr>
        <w:pStyle w:val="Compact"/>
      </w:pPr>
      <w:r>
        <w:t xml:space="preserve">Bonus credit per system: ~$2,500</w:t>
      </w:r>
    </w:p>
    <w:p>
      <w:pPr>
        <w:numPr>
          <w:ilvl w:val="0"/>
          <w:numId w:val="1001"/>
        </w:numPr>
        <w:pStyle w:val="Compact"/>
      </w:pPr>
      <w:r>
        <w:t xml:space="preserve">At 100,000 systems/year:</w:t>
      </w:r>
      <w:r>
        <w:t xml:space="preserve"> </w:t>
      </w:r>
      <w:r>
        <w:rPr>
          <w:b/>
        </w:rPr>
        <w:t xml:space="preserve">$250M/year</w:t>
      </w:r>
      <w:r>
        <w:t xml:space="preserve"> </w:t>
      </w:r>
      <w:r>
        <w:t xml:space="preserve">in bonus ITC (claimed by customers/TPOs like Sunrun)</w:t>
      </w:r>
    </w:p>
    <w:p>
      <w:pPr>
        <w:numPr>
          <w:ilvl w:val="0"/>
          <w:numId w:val="1001"/>
        </w:numPr>
        <w:pStyle w:val="Compact"/>
      </w:pPr>
      <w:r>
        <w:t xml:space="preserve">This does not flow directly to Lunar, but it makes Lunar systems significantly more competitive vs. systems that fail the domestic content threshold</w:t>
      </w:r>
    </w:p>
    <w:p>
      <w:pPr>
        <w:pStyle w:val="FirstParagraph"/>
      </w:pPr>
      <w:r>
        <w:rPr>
          <w:b/>
        </w:rPr>
        <w:t xml:space="preserve">The TPO/Sunrun relationship is where this matters most.</w:t>
      </w:r>
      <w:r>
        <w:t xml:space="preserve"> </w:t>
      </w:r>
      <w:r>
        <w:t xml:space="preserve">If Sunrun cannot claim domestic content bonus on Lunar systems, they face either a $2,500/unit competitive disadvantage vs. qualifying competitors, or they demand a price reduction from Lunar to make up the difference. Either way, Lunar bears the economic cost.</w:t>
      </w:r>
    </w:p>
    <w:p>
      <w:pPr>
        <w:pStyle w:val="Heading3"/>
      </w:pPr>
      <w:bookmarkStart w:id="47" w:name="c.-relocation-roi-analysis"/>
      <w:r>
        <w:t xml:space="preserve">5C. Relocation ROI Analysis</w:t>
      </w:r>
      <w:bookmarkEnd w:id="47"/>
    </w:p>
    <w:p>
      <w:pPr>
        <w:pStyle w:val="FirstParagraph"/>
      </w:pPr>
      <w:r>
        <w:rPr>
          <w:b/>
        </w:rPr>
        <w:t xml:space="preserve">Year 1 Break-Even (Battery Module Credit Only):</w:t>
      </w:r>
      <w:r>
        <w:t xml:space="preserve"> </w:t>
      </w:r>
      <w:r>
        <w:t xml:space="preserve">- Relocation cost: $15–25M (midpoint $20M)</w:t>
      </w:r>
      <w:r>
        <w:t xml:space="preserve"> </w:t>
      </w:r>
      <w:r>
        <w:t xml:space="preserve">- Module 45X credit at 10,000 units: $2M</w:t>
      </w:r>
      <w:r>
        <w:t xml:space="preserve"> </w:t>
      </w:r>
      <w:r>
        <w:t xml:space="preserve">- At 50,000 units: $10M</w:t>
      </w:r>
      <w:r>
        <w:t xml:space="preserve"> </w:t>
      </w:r>
      <w:r>
        <w:t xml:space="preserve">- At 100,000 units: $20M</w:t>
      </w:r>
      <w:r>
        <w:t xml:space="preserve"> </w:t>
      </w:r>
      <w:r>
        <w:t xml:space="preserve">-</w:t>
      </w:r>
      <w:r>
        <w:t xml:space="preserve"> </w:t>
      </w:r>
      <w:r>
        <w:rPr>
          <w:b/>
        </w:rPr>
        <w:t xml:space="preserve">Break-even: ~10,000–20,000 units</w:t>
      </w:r>
      <w:r>
        <w:t xml:space="preserve"> </w:t>
      </w:r>
      <w:r>
        <w:t xml:space="preserve">(plausibly achievable in first full year of operation)</w:t>
      </w:r>
    </w:p>
    <w:p>
      <w:pPr>
        <w:pStyle w:val="BodyText"/>
      </w:pPr>
      <w:r>
        <w:rPr>
          <w:b/>
        </w:rPr>
        <w:t xml:space="preserve">Year 1 Break-Even (Module + Domestic Content Preservation):</w:t>
      </w:r>
      <w:r>
        <w:t xml:space="preserve"> </w:t>
      </w:r>
      <w:r>
        <w:t xml:space="preserve">- Combined 45X module + domestic content value: ~$2,700/unit ($200 + $2,500)</w:t>
      </w:r>
      <w:r>
        <w:t xml:space="preserve"> </w:t>
      </w:r>
      <w:r>
        <w:t xml:space="preserve">-</w:t>
      </w:r>
      <w:r>
        <w:t xml:space="preserve"> </w:t>
      </w:r>
      <w:r>
        <w:rPr>
          <w:b/>
        </w:rPr>
        <w:t xml:space="preserve">Break-even at ~7,400–9,250 units</w:t>
      </w:r>
      <w:r>
        <w:t xml:space="preserve"> </w:t>
      </w:r>
      <w:r>
        <w:t xml:space="preserve">- This is well within a reasonable first-year sales target for a company marketing to Sunrun at scale</w:t>
      </w:r>
    </w:p>
    <w:p>
      <w:r>
        <w:pict>
          <v:rect style="width:0;height:1.5pt" o:hralign="center" o:hrstd="t" o:hr="t"/>
        </w:pict>
      </w:r>
    </w:p>
    <w:p>
      <w:pPr>
        <w:pStyle w:val="Heading2"/>
      </w:pPr>
      <w:bookmarkStart w:id="48" w:name="confidence-assessment"/>
      <w:r>
        <w:t xml:space="preserve">6. CONFIDENCE ASSESSMENT</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Confidence</w:t>
            </w:r>
          </w:p>
        </w:tc>
      </w:tr>
      <w:tr>
        <w:tc>
          <w:p>
            <w:pPr>
              <w:pStyle w:val="Compact"/>
              <w:jc w:val="left"/>
            </w:pPr>
            <w:r>
              <w:t xml:space="preserve">Mexico module assembly disqualifies from 45X</w:t>
            </w:r>
          </w:p>
        </w:tc>
        <w:tc>
          <w:p>
            <w:pPr>
              <w:pStyle w:val="Compact"/>
              <w:jc w:val="left"/>
            </w:pPr>
            <w:r>
              <w:rPr>
                <w:b/>
              </w:rPr>
              <w:t xml:space="preserve">YES — Disqualified</w:t>
            </w:r>
          </w:p>
        </w:tc>
        <w:tc>
          <w:p>
            <w:pPr>
              <w:pStyle w:val="Compact"/>
              <w:jc w:val="left"/>
            </w:pPr>
            <w:r>
              <w:t xml:space="preserve">✅</w:t>
            </w:r>
            <w:r>
              <w:t xml:space="preserve"> </w:t>
            </w:r>
            <w:r>
              <w:rPr>
                <w:b/>
              </w:rPr>
              <w:t xml:space="preserve">Very High</w:t>
            </w:r>
            <w:r>
              <w:t xml:space="preserve"> </w:t>
            </w:r>
            <w:r>
              <w:t xml:space="preserve">(95%+). Statute is explicit; no exceptions.</w:t>
            </w:r>
          </w:p>
        </w:tc>
      </w:tr>
      <w:tr>
        <w:tc>
          <w:p>
            <w:pPr>
              <w:pStyle w:val="Compact"/>
              <w:jc w:val="left"/>
            </w:pPr>
            <w:r>
              <w:t xml:space="preserve">Georgia inverter qualifies for 45X today</w:t>
            </w:r>
          </w:p>
        </w:tc>
        <w:tc>
          <w:p>
            <w:pPr>
              <w:pStyle w:val="Compact"/>
              <w:jc w:val="left"/>
            </w:pPr>
            <w:r>
              <w:rPr>
                <w:b/>
              </w:rPr>
              <w:t xml:space="preserve">YES — Qualifies</w:t>
            </w:r>
          </w:p>
        </w:tc>
        <w:tc>
          <w:p>
            <w:pPr>
              <w:pStyle w:val="Compact"/>
              <w:jc w:val="left"/>
            </w:pPr>
            <w:r>
              <w:t xml:space="preserve">✅</w:t>
            </w:r>
            <w:r>
              <w:t xml:space="preserve"> </w:t>
            </w:r>
            <w:r>
              <w:rPr>
                <w:b/>
              </w:rPr>
              <w:t xml:space="preserve">High</w:t>
            </w:r>
            <w:r>
              <w:t xml:space="preserve"> </w:t>
            </w:r>
            <w:r>
              <w:t xml:space="preserve">(85%). Must confirm substantial transformation standard is met at Suwanee.</w:t>
            </w:r>
          </w:p>
        </w:tc>
      </w:tr>
      <w:tr>
        <w:tc>
          <w:p>
            <w:pPr>
              <w:pStyle w:val="Compact"/>
              <w:jc w:val="left"/>
            </w:pPr>
            <w:r>
              <w:t xml:space="preserve">Inverter credit rate is $0.065/watt, not $0.11/watt</w:t>
            </w:r>
          </w:p>
        </w:tc>
        <w:tc>
          <w:p>
            <w:pPr>
              <w:pStyle w:val="Compact"/>
              <w:jc w:val="left"/>
            </w:pPr>
            <w:r>
              <w:rPr>
                <w:b/>
              </w:rPr>
              <w:t xml:space="preserve">YES — $0.065</w:t>
            </w:r>
          </w:p>
        </w:tc>
        <w:tc>
          <w:p>
            <w:pPr>
              <w:pStyle w:val="Compact"/>
              <w:jc w:val="left"/>
            </w:pPr>
            <w:r>
              <w:t xml:space="preserve">✅</w:t>
            </w:r>
            <w:r>
              <w:t xml:space="preserve"> </w:t>
            </w:r>
            <w:r>
              <w:rPr>
                <w:b/>
              </w:rPr>
              <w:t xml:space="preserve">Very High</w:t>
            </w:r>
            <w:r>
              <w:t xml:space="preserve"> </w:t>
            </w:r>
            <w:r>
              <w:t xml:space="preserve">(95%+). 9.6 kW &lt; 20 kW = residential inverter by statute.</w:t>
            </w:r>
          </w:p>
        </w:tc>
      </w:tr>
      <w:tr>
        <w:tc>
          <w:p>
            <w:pPr>
              <w:pStyle w:val="Compact"/>
              <w:jc w:val="left"/>
            </w:pPr>
            <w:r>
              <w:t xml:space="preserve">Mexico modules fail domestic content ITC threshold post-2026</w:t>
            </w:r>
          </w:p>
        </w:tc>
        <w:tc>
          <w:p>
            <w:pPr>
              <w:pStyle w:val="Compact"/>
              <w:jc w:val="left"/>
            </w:pPr>
            <w:r>
              <w:rPr>
                <w:b/>
              </w:rPr>
              <w:t xml:space="preserve">YES — Likely Fails</w:t>
            </w:r>
          </w:p>
        </w:tc>
        <w:tc>
          <w:p>
            <w:pPr>
              <w:pStyle w:val="Compact"/>
              <w:jc w:val="left"/>
            </w:pPr>
            <w:r>
              <w:t xml:space="preserve">✅</w:t>
            </w:r>
            <w:r>
              <w:t xml:space="preserve"> </w:t>
            </w:r>
            <w:r>
              <w:rPr>
                <w:b/>
              </w:rPr>
              <w:t xml:space="preserve">High</w:t>
            </w:r>
            <w:r>
              <w:t xml:space="preserve"> </w:t>
            </w:r>
            <w:r>
              <w:t xml:space="preserve">(85%). Battery pack/module dominates cost allocation; no USMCA carve-out exists.</w:t>
            </w:r>
          </w:p>
        </w:tc>
      </w:tr>
      <w:tr>
        <w:tc>
          <w:p>
            <w:pPr>
              <w:pStyle w:val="Compact"/>
              <w:jc w:val="left"/>
            </w:pPr>
            <w:r>
              <w:t xml:space="preserve">Relocation to Georgia would unlock both credits</w:t>
            </w:r>
          </w:p>
        </w:tc>
        <w:tc>
          <w:p>
            <w:pPr>
              <w:pStyle w:val="Compact"/>
              <w:jc w:val="left"/>
            </w:pPr>
            <w:r>
              <w:rPr>
                <w:b/>
              </w:rPr>
              <w:t xml:space="preserve">YES — If Properly Structured</w:t>
            </w:r>
          </w:p>
        </w:tc>
        <w:tc>
          <w:p>
            <w:pPr>
              <w:pStyle w:val="Compact"/>
              <w:jc w:val="left"/>
            </w:pPr>
            <w:r>
              <w:t xml:space="preserve">✅</w:t>
            </w:r>
            <w:r>
              <w:t xml:space="preserve"> </w:t>
            </w:r>
            <w:r>
              <w:rPr>
                <w:b/>
              </w:rPr>
              <w:t xml:space="preserve">High</w:t>
            </w:r>
            <w:r>
              <w:t xml:space="preserve"> </w:t>
            </w:r>
            <w:r>
              <w:t xml:space="preserve">(80%). Contingent on substantial transformation standard and FEOC compliance.</w:t>
            </w:r>
          </w:p>
        </w:tc>
      </w:tr>
      <w:tr>
        <w:tc>
          <w:p>
            <w:pPr>
              <w:pStyle w:val="Compact"/>
              <w:jc w:val="left"/>
            </w:pPr>
            <w:r>
              <w:t xml:space="preserve">Relocation cost estimate ($15–25M)</w:t>
            </w:r>
          </w:p>
        </w:tc>
        <w:tc>
          <w:p>
            <w:pPr>
              <w:pStyle w:val="Compact"/>
              <w:jc w:val="left"/>
            </w:pPr>
            <w:r>
              <w:rPr>
                <w:b/>
              </w:rPr>
              <w:t xml:space="preserve">Broadly Correct</w:t>
            </w:r>
          </w:p>
        </w:tc>
        <w:tc>
          <w:p>
            <w:pPr>
              <w:pStyle w:val="Compact"/>
              <w:jc w:val="left"/>
            </w:pPr>
            <w:r>
              <w:t xml:space="preserve">🔶</w:t>
            </w:r>
            <w:r>
              <w:t xml:space="preserve"> </w:t>
            </w:r>
            <w:r>
              <w:rPr>
                <w:b/>
              </w:rPr>
              <w:t xml:space="preserve">Moderate</w:t>
            </w:r>
            <w:r>
              <w:t xml:space="preserve"> </w:t>
            </w:r>
            <w:r>
              <w:t xml:space="preserve">(65%). Could be lower with contract manufacturing; higher if captive facility.</w:t>
            </w:r>
          </w:p>
        </w:tc>
      </w:tr>
      <w:tr>
        <w:tc>
          <w:p>
            <w:pPr>
              <w:pStyle w:val="Compact"/>
              <w:jc w:val="left"/>
            </w:pPr>
            <w:r>
              <w:t xml:space="preserve">Payback within 1 year at 10,000+ units</w:t>
            </w:r>
          </w:p>
        </w:tc>
        <w:tc>
          <w:p>
            <w:pPr>
              <w:pStyle w:val="Compact"/>
              <w:jc w:val="left"/>
            </w:pPr>
            <w:r>
              <w:rPr>
                <w:b/>
              </w:rPr>
              <w:t xml:space="preserve">YES</w:t>
            </w:r>
          </w:p>
        </w:tc>
        <w:tc>
          <w:p>
            <w:pPr>
              <w:pStyle w:val="Compact"/>
              <w:jc w:val="left"/>
            </w:pPr>
            <w:r>
              <w:t xml:space="preserve">🔶</w:t>
            </w:r>
            <w:r>
              <w:t xml:space="preserve"> </w:t>
            </w:r>
            <w:r>
              <w:rPr>
                <w:b/>
              </w:rPr>
              <w:t xml:space="preserve">Moderate-High</w:t>
            </w:r>
            <w:r>
              <w:t xml:space="preserve"> </w:t>
            </w:r>
            <w:r>
              <w:t xml:space="preserve">(70%). Assumes credit transferability at market rates and volume ramp.</w:t>
            </w:r>
          </w:p>
        </w:tc>
      </w:tr>
      <w:tr>
        <w:tc>
          <w:p>
            <w:pPr>
              <w:pStyle w:val="Compact"/>
              <w:jc w:val="left"/>
            </w:pPr>
            <w:r>
              <w:t xml:space="preserve">USMCA grants any domestic content equivalency</w:t>
            </w:r>
          </w:p>
        </w:tc>
        <w:tc>
          <w:p>
            <w:pPr>
              <w:pStyle w:val="Compact"/>
              <w:jc w:val="left"/>
            </w:pPr>
            <w:r>
              <w:rPr>
                <w:b/>
              </w:rPr>
              <w:t xml:space="preserve">NO</w:t>
            </w:r>
          </w:p>
        </w:tc>
        <w:tc>
          <w:p>
            <w:pPr>
              <w:pStyle w:val="Compact"/>
              <w:jc w:val="left"/>
            </w:pPr>
            <w:r>
              <w:t xml:space="preserve">✅</w:t>
            </w:r>
            <w:r>
              <w:t xml:space="preserve"> </w:t>
            </w:r>
            <w:r>
              <w:rPr>
                <w:b/>
              </w:rPr>
              <w:t xml:space="preserve">Very High</w:t>
            </w:r>
            <w:r>
              <w:t xml:space="preserve"> </w:t>
            </w:r>
            <w:r>
              <w:t xml:space="preserve">(95%+). Zero statutory or regulatory basis for this.</w:t>
            </w:r>
          </w:p>
        </w:tc>
      </w:tr>
    </w:tbl>
    <w:p>
      <w:pPr>
        <w:pStyle w:val="Heading3"/>
      </w:pPr>
      <w:bookmarkStart w:id="49" w:name="what-is-settled-vs.-unsettled"/>
      <w:r>
        <w:t xml:space="preserve">What Is Settled vs. Unsettled</w:t>
      </w:r>
      <w:bookmarkEnd w:id="49"/>
    </w:p>
    <w:p>
      <w:pPr>
        <w:pStyle w:val="FirstParagraph"/>
      </w:pPr>
      <w:r>
        <w:rPr>
          <w:b/>
        </w:rPr>
        <w:t xml:space="preserve">SETTLED:</w:t>
      </w:r>
      <w:r>
        <w:t xml:space="preserve"> </w:t>
      </w:r>
      <w:r>
        <w:t xml:space="preserve">- Mexico = not US production under 45X. No ambiguity.</w:t>
      </w:r>
      <w:r>
        <w:t xml:space="preserve"> </w:t>
      </w:r>
      <w:r>
        <w:t xml:space="preserve">- Battery module assembly (cell sorting, busbar, BMS, housing) in the US is</w:t>
      </w:r>
      <w:r>
        <w:t xml:space="preserve"> </w:t>
      </w:r>
      <w:r>
        <w:t xml:space="preserve">“</w:t>
      </w:r>
      <w:r>
        <w:t xml:space="preserve">substantial transformation</w:t>
      </w:r>
      <w:r>
        <w:t xml:space="preserve">”</w:t>
      </w:r>
      <w:r>
        <w:t xml:space="preserve"> </w:t>
      </w:r>
      <w:r>
        <w:t xml:space="preserve">eligible for 45X. The final Oct. 2024 regulations resolved this.</w:t>
      </w:r>
      <w:r>
        <w:t xml:space="preserve"> </w:t>
      </w:r>
      <w:r>
        <w:t xml:space="preserve">- The residential inverter credit rate is $0.065/watt, not $0.11/watt.</w:t>
      </w:r>
      <w:r>
        <w:t xml:space="preserve"> </w:t>
      </w:r>
      <w:r>
        <w:t xml:space="preserve">- USMCA does not substitute for US production under 45X or domestic content ITC.</w:t>
      </w:r>
    </w:p>
    <w:p>
      <w:pPr>
        <w:pStyle w:val="BodyText"/>
      </w:pPr>
      <w:r>
        <w:rPr>
          <w:b/>
        </w:rPr>
        <w:t xml:space="preserve">UNSETTLED:</w:t>
      </w:r>
      <w:r>
        <w:t xml:space="preserve"> </w:t>
      </w:r>
      <w:r>
        <w:t xml:space="preserve">- Whether Lunar’s specific Suwanee inverter assembly currently meets the</w:t>
      </w:r>
      <w:r>
        <w:t xml:space="preserve"> </w:t>
      </w:r>
      <w:r>
        <w:t xml:space="preserve">“</w:t>
      </w:r>
      <w:r>
        <w:t xml:space="preserve">substantial transformation</w:t>
      </w:r>
      <w:r>
        <w:t xml:space="preserve">”</w:t>
      </w:r>
      <w:r>
        <w:t xml:space="preserve"> </w:t>
      </w:r>
      <w:r>
        <w:t xml:space="preserve">vs. </w:t>
      </w:r>
      <w:r>
        <w:t xml:space="preserve">“</w:t>
      </w:r>
      <w:r>
        <w:t xml:space="preserve">minor assembly</w:t>
      </w:r>
      <w:r>
        <w:t xml:space="preserve">”</w:t>
      </w:r>
      <w:r>
        <w:t xml:space="preserve"> </w:t>
      </w:r>
      <w:r>
        <w:t xml:space="preserve">standard (requires technical/legal diligence).</w:t>
      </w:r>
      <w:r>
        <w:t xml:space="preserve"> </w:t>
      </w:r>
      <w:r>
        <w:t xml:space="preserve">- Exact domestic content cost percentage allocation for</w:t>
      </w:r>
      <w:r>
        <w:t xml:space="preserve"> </w:t>
      </w:r>
      <w:r>
        <w:rPr>
          <w:i/>
        </w:rPr>
        <w:t xml:space="preserve">distributed</w:t>
      </w:r>
      <w:r>
        <w:t xml:space="preserve"> </w:t>
      </w:r>
      <w:r>
        <w:t xml:space="preserve">BESS under Notice 2025-08’s table (the publicly cited 40% ceiling appears to be for grid-scale; distributed numbers differ).</w:t>
      </w:r>
      <w:r>
        <w:t xml:space="preserve"> </w:t>
      </w:r>
      <w:r>
        <w:t xml:space="preserve">- FEOC/MACR thresholds and enforcement timelines — Treasury is still issuing guidance (Notice 2026-15 just issued February 2026) and proposing further regulations.</w:t>
      </w:r>
      <w:r>
        <w:t xml:space="preserve"> </w:t>
      </w:r>
      <w:r>
        <w:t xml:space="preserve">- Whether the</w:t>
      </w:r>
      <w:r>
        <w:t xml:space="preserve"> </w:t>
      </w:r>
      <w:r>
        <w:t xml:space="preserve">“</w:t>
      </w:r>
      <w:r>
        <w:t xml:space="preserve">Lunar Bridge</w:t>
      </w:r>
      <w:r>
        <w:t xml:space="preserve">”</w:t>
      </w:r>
      <w:r>
        <w:t xml:space="preserve"> </w:t>
      </w:r>
      <w:r>
        <w:t xml:space="preserve">smart panel qualifies as a separately creditable eligible component (it likely does not under current 45X categories, which don’t include smart panels or EV chargers as standalone items).</w:t>
      </w:r>
    </w:p>
    <w:p>
      <w:r>
        <w:pict>
          <v:rect style="width:0;height:1.5pt" o:hralign="center" o:hrstd="t" o:hr="t"/>
        </w:pict>
      </w:r>
    </w:p>
    <w:p>
      <w:pPr>
        <w:pStyle w:val="Heading2"/>
      </w:pPr>
      <w:bookmarkStart w:id="50" w:name="citations"/>
      <w:r>
        <w:t xml:space="preserve">7. CITATIONS</w:t>
      </w:r>
      <w:bookmarkEnd w:id="50"/>
    </w:p>
    <w:p>
      <w:pPr>
        <w:numPr>
          <w:ilvl w:val="0"/>
          <w:numId w:val="1002"/>
        </w:numPr>
      </w:pPr>
      <w:r>
        <w:t xml:space="preserve">McGuireWoods:</w:t>
      </w:r>
      <w:r>
        <w:t xml:space="preserve"> </w:t>
      </w:r>
      <w:r>
        <w:t xml:space="preserve">“</w:t>
      </w:r>
      <w:r>
        <w:t xml:space="preserve">The baseline requirement of the law is that a credit-eligible product must be</w:t>
      </w:r>
      <w:r>
        <w:t xml:space="preserve"> </w:t>
      </w:r>
      <w:r>
        <w:t xml:space="preserve">‘</w:t>
      </w:r>
      <w:r>
        <w:t xml:space="preserve">produced by the taxpayer</w:t>
      </w:r>
      <w:r>
        <w:t xml:space="preserve">’</w:t>
      </w:r>
      <w:r>
        <w:t xml:space="preserve"> </w:t>
      </w:r>
      <w:r>
        <w:t xml:space="preserve">in the United States or its territories and sold by the taxpayer to an unrelated party.</w:t>
      </w:r>
      <w:r>
        <w:t xml:space="preserve">”</w:t>
      </w:r>
    </w:p>
    <w:p>
      <w:pPr>
        <w:numPr>
          <w:ilvl w:val="0"/>
          <w:numId w:val="1002"/>
        </w:numPr>
      </w:pPr>
      <w:r>
        <w:t xml:space="preserve">Federal Register (45X Proposed Regulations):</w:t>
      </w:r>
      <w:r>
        <w:t xml:space="preserve"> </w:t>
      </w:r>
      <w:r>
        <w:t xml:space="preserve">“</w:t>
      </w:r>
      <w:r>
        <w:t xml:space="preserve">Section 45X(d)(2) provides that sales of eligible components are taken into account under section 45X only for eligible components that are produced within the United States, or a U.S. territory.</w:t>
      </w:r>
      <w:r>
        <w:t xml:space="preserve">”</w:t>
      </w:r>
    </w:p>
    <w:p>
      <w:pPr>
        <w:numPr>
          <w:ilvl w:val="0"/>
          <w:numId w:val="1002"/>
        </w:numPr>
      </w:pPr>
      <w:r>
        <w:t xml:space="preserve">Paul Hastings (Final 45X Regulations):</w:t>
      </w:r>
      <w:r>
        <w:t xml:space="preserve"> </w:t>
      </w:r>
      <w:r>
        <w:t xml:space="preserve">“</w:t>
      </w:r>
      <w:r>
        <w:t xml:space="preserve">To qualify for the Section 45X Credit, eligible components must be</w:t>
      </w:r>
      <w:r>
        <w:t xml:space="preserve"> </w:t>
      </w:r>
      <w:r>
        <w:t xml:space="preserve">‘</w:t>
      </w:r>
      <w:r>
        <w:t xml:space="preserve">produced by the taxpayer</w:t>
      </w:r>
      <w:r>
        <w:t xml:space="preserve">’</w:t>
      </w:r>
      <w:r>
        <w:t xml:space="preserve"> </w:t>
      </w:r>
      <w:r>
        <w:t xml:space="preserve">… The Final Regulations retain the substantial transformation requirement … and expand the definition to include both primary and</w:t>
      </w:r>
      <w:r>
        <w:t xml:space="preserve"> </w:t>
      </w:r>
      <w:r>
        <w:t xml:space="preserve">‘</w:t>
      </w:r>
      <w:r>
        <w:t xml:space="preserve">secondary production.</w:t>
      </w:r>
      <w:r>
        <w:t xml:space="preserve">’</w:t>
      </w:r>
      <w:r>
        <w:t xml:space="preserve">”</w:t>
      </w:r>
    </w:p>
    <w:p>
      <w:pPr>
        <w:numPr>
          <w:ilvl w:val="0"/>
          <w:numId w:val="1002"/>
        </w:numPr>
      </w:pPr>
      <w:r>
        <w:t xml:space="preserve">Ankura:</w:t>
      </w:r>
      <w:r>
        <w:t xml:space="preserve"> </w:t>
      </w:r>
      <w:r>
        <w:t xml:space="preserve">“</w:t>
      </w:r>
      <w:r>
        <w:t xml:space="preserve">Treasury clarified what constitutes</w:t>
      </w:r>
      <w:r>
        <w:t xml:space="preserve"> </w:t>
      </w:r>
      <w:r>
        <w:t xml:space="preserve">‘</w:t>
      </w:r>
      <w:r>
        <w:t xml:space="preserve">substantial transformation</w:t>
      </w:r>
      <w:r>
        <w:t xml:space="preserve">’</w:t>
      </w:r>
      <w:r>
        <w:t xml:space="preserve"> </w:t>
      </w:r>
      <w:r>
        <w:t xml:space="preserve">versus simple assembly. For example, solar module and battery module assembly now qualify as substantial transformation.</w:t>
      </w:r>
      <w:r>
        <w:t xml:space="preserve">”</w:t>
      </w:r>
    </w:p>
    <w:p>
      <w:pPr>
        <w:numPr>
          <w:ilvl w:val="0"/>
          <w:numId w:val="1002"/>
        </w:numPr>
      </w:pPr>
      <w:r>
        <w:t xml:space="preserve">Hogan Lovells (Final 45X Rules):</w:t>
      </w:r>
      <w:r>
        <w:t xml:space="preserve"> </w:t>
      </w:r>
      <w:r>
        <w:t xml:space="preserve">“</w:t>
      </w:r>
      <w:r>
        <w:t xml:space="preserve">The preamble to the final regulation notes that, while section 45X specifically requires domestic production of an eligible component for credit eligibility, it is silent regarding the location of production or sourcing of constituent elements, materials, and subcomponents.</w:t>
      </w:r>
      <w:r>
        <w:t xml:space="preserve">”</w:t>
      </w:r>
    </w:p>
    <w:p>
      <w:pPr>
        <w:numPr>
          <w:ilvl w:val="0"/>
          <w:numId w:val="1002"/>
        </w:numPr>
      </w:pPr>
      <w:r>
        <w:t xml:space="preserve">26 U.S.C. §45X:</w:t>
      </w:r>
      <w:r>
        <w:t xml:space="preserve"> </w:t>
      </w:r>
      <w:r>
        <w:t xml:space="preserve">“</w:t>
      </w:r>
      <w:r>
        <w:t xml:space="preserve">The term</w:t>
      </w:r>
      <w:r>
        <w:t xml:space="preserve"> </w:t>
      </w:r>
      <w:r>
        <w:t xml:space="preserve">‘</w:t>
      </w:r>
      <w:r>
        <w:t xml:space="preserve">residential inverter</w:t>
      </w:r>
      <w:r>
        <w:t xml:space="preserve">’</w:t>
      </w:r>
      <w:r>
        <w:t xml:space="preserve"> </w:t>
      </w:r>
      <w:r>
        <w:t xml:space="preserve">means an inverter which has a capacity which is not greater than 20 kilowatts (expressed on a per alternating current watt basis).</w:t>
      </w:r>
      <w:r>
        <w:t xml:space="preserve">”</w:t>
      </w:r>
    </w:p>
    <w:p>
      <w:pPr>
        <w:numPr>
          <w:ilvl w:val="0"/>
          <w:numId w:val="1002"/>
        </w:numPr>
      </w:pPr>
      <w:r>
        <w:t xml:space="preserve">IRC §45X(b)(2)(B):</w:t>
      </w:r>
      <w:r>
        <w:t xml:space="preserve"> </w:t>
      </w:r>
      <w:r>
        <w:t xml:space="preserve">“</w:t>
      </w:r>
      <w:r>
        <w:t xml:space="preserve">In the case of a residential inverter, 6.5 cents, and in the case of a microinverter or a distributed wind inverter, 11 cents.</w:t>
      </w:r>
      <w:r>
        <w:t xml:space="preserve">”</w:t>
      </w:r>
    </w:p>
    <w:p>
      <w:pPr>
        <w:numPr>
          <w:ilvl w:val="0"/>
          <w:numId w:val="1002"/>
        </w:numPr>
      </w:pPr>
      <w:r>
        <w:t xml:space="preserve">Hogan Lovells:</w:t>
      </w:r>
      <w:r>
        <w:t xml:space="preserve"> </w:t>
      </w:r>
      <w:r>
        <w:t xml:space="preserve">“</w:t>
      </w:r>
      <w:r>
        <w:t xml:space="preserve">The preamble highlights that inverters such as bidirectional electric vehicle inverters or utility and commercial inverters that are in practice used with battery modules can meet the suitability standard and need not be actually connected to solar modules or certified distributed wind energy systems to qualify for the 45X(c)(2) credit.</w:t>
      </w:r>
      <w:r>
        <w:t xml:space="preserve">”</w:t>
      </w:r>
    </w:p>
    <w:p>
      <w:pPr>
        <w:numPr>
          <w:ilvl w:val="0"/>
          <w:numId w:val="1002"/>
        </w:numPr>
      </w:pPr>
      <w:r>
        <w:t xml:space="preserve">RSM (Notice 2025-08):</w:t>
      </w:r>
      <w:r>
        <w:t xml:space="preserve"> </w:t>
      </w:r>
      <w:r>
        <w:t xml:space="preserve">“</w:t>
      </w:r>
      <w:r>
        <w:t xml:space="preserve">To qualify for the domestic content credit, all steel or iron used in a structural function must generally take place in the U.S. For manufactured products, a minimum percentage of the total cost must be mined, produced or manufactured in the U.S.</w:t>
      </w:r>
      <w:r>
        <w:t xml:space="preserve">”</w:t>
      </w:r>
    </w:p>
    <w:p>
      <w:pPr>
        <w:numPr>
          <w:ilvl w:val="0"/>
          <w:numId w:val="1002"/>
        </w:numPr>
      </w:pPr>
      <w:r>
        <w:t xml:space="preserve">RSM:</w:t>
      </w:r>
      <w:r>
        <w:t xml:space="preserve"> </w:t>
      </w:r>
      <w:r>
        <w:t xml:space="preserve">“</w:t>
      </w:r>
      <w:r>
        <w:t xml:space="preserve">The transition to the 45% threshold for projects starting construction in 2025 and ultimately 55 percent for projects starting construction after 2026 under section 45Y, will require proactive adjustments in supply chain management.</w:t>
      </w:r>
      <w:r>
        <w:t xml:space="preserve">”</w:t>
      </w:r>
    </w:p>
    <w:p>
      <w:pPr>
        <w:numPr>
          <w:ilvl w:val="0"/>
          <w:numId w:val="1002"/>
        </w:numPr>
      </w:pPr>
      <w:r>
        <w:t xml:space="preserve">Anza Renewables:</w:t>
      </w:r>
      <w:r>
        <w:t xml:space="preserve"> </w:t>
      </w:r>
      <w:r>
        <w:t xml:space="preserve">“</w:t>
      </w:r>
      <w:r>
        <w:t xml:space="preserve">Without including a U.S.-made cell, the maximum value grid-scale BESS projects can reach using 100% domestic content for all other MPCs in the new table is 40%, which is not enough for the 45% domestic content requirement in 2025.</w:t>
      </w:r>
      <w:r>
        <w:t xml:space="preserve">”</w:t>
      </w:r>
    </w:p>
    <w:p>
      <w:pPr>
        <w:numPr>
          <w:ilvl w:val="0"/>
          <w:numId w:val="1002"/>
        </w:numPr>
      </w:pPr>
      <w:r>
        <w:t xml:space="preserve">Paul Hastings:</w:t>
      </w:r>
      <w:r>
        <w:t xml:space="preserve"> </w:t>
      </w:r>
      <w:r>
        <w:t xml:space="preserve">“</w:t>
      </w:r>
      <w:r>
        <w:t xml:space="preserve">The Final Regulations clarify that battery modules using cells must integrate the cells into a single module for end-use, with further manufacturing occurring only at the module level, making only the first eligible module in the supply chain eligible for the credit.</w:t>
      </w:r>
      <w:r>
        <w:t xml:space="preserve">”</w:t>
      </w:r>
    </w:p>
    <w:p>
      <w:pPr>
        <w:numPr>
          <w:ilvl w:val="0"/>
          <w:numId w:val="1002"/>
        </w:numPr>
      </w:pPr>
      <w:r>
        <w:t xml:space="preserve">Paul Hastings:</w:t>
      </w:r>
      <w:r>
        <w:t xml:space="preserve"> </w:t>
      </w:r>
      <w:r>
        <w:t xml:space="preserve">“</w:t>
      </w:r>
      <w:r>
        <w:t xml:space="preserve">The Final Regulations provide guidance on contract manufacturing arrangements … The Final Regulations clarify that parties in such arrangements may designate the credit-claiming entity if the designated party performs a substantial transformation of the eligible component.</w:t>
      </w:r>
      <w:r>
        <w:t xml:space="preserve">”</w:t>
      </w:r>
    </w:p>
    <w:p>
      <w:pPr>
        <w:numPr>
          <w:ilvl w:val="0"/>
          <w:numId w:val="1002"/>
        </w:numPr>
      </w:pPr>
      <w:r>
        <w:t xml:space="preserve">Enphase Q4 2024 Results:</w:t>
      </w:r>
      <w:r>
        <w:t xml:space="preserve"> </w:t>
      </w:r>
      <w:r>
        <w:t xml:space="preserve">“</w:t>
      </w:r>
      <w:r>
        <w:t xml:space="preserve">During the fourth quarter of 2024, Enphase shipped approximately 1.69 million microinverters from its contract manufacturing facilities in the United States that it booked for 45X production tax credits.</w:t>
      </w:r>
      <w:r>
        <w:t xml:space="preserve">”</w:t>
      </w:r>
    </w:p>
    <w:p>
      <w:pPr>
        <w:numPr>
          <w:ilvl w:val="0"/>
          <w:numId w:val="1002"/>
        </w:numPr>
      </w:pPr>
      <w:r>
        <w:t xml:space="preserve">FranklinWH Manufacturing Page:</w:t>
      </w:r>
      <w:r>
        <w:t xml:space="preserve"> </w:t>
      </w:r>
      <w:r>
        <w:t xml:space="preserve">“</w:t>
      </w:r>
      <w:r>
        <w:t xml:space="preserve">FranklinWH now builds energy storage systems at its leading-edge U.S. facility in Santa Clara, California. It houses advanced lines for both battery pack production and complete aPower assembly. By 2025, the facility has reached an annual delivery capacity of several thousand units.</w:t>
      </w:r>
      <w:r>
        <w:t xml:space="preserve">”</w:t>
      </w:r>
    </w:p>
    <w:p>
      <w:pPr>
        <w:numPr>
          <w:ilvl w:val="0"/>
          <w:numId w:val="1002"/>
        </w:numPr>
      </w:pPr>
      <w:r>
        <w:t xml:space="preserve">Baker Botts (Notice 2026-15):</w:t>
      </w:r>
      <w:r>
        <w:t xml:space="preserve"> </w:t>
      </w:r>
      <w:r>
        <w:t xml:space="preserve">“</w:t>
      </w:r>
      <w:r>
        <w:t xml:space="preserve">An</w:t>
      </w:r>
      <w:r>
        <w:t xml:space="preserve"> </w:t>
      </w:r>
      <w:r>
        <w:t xml:space="preserve">‘</w:t>
      </w:r>
      <w:r>
        <w:t xml:space="preserve">eligible component,</w:t>
      </w:r>
      <w:r>
        <w:t xml:space="preserve">’</w:t>
      </w:r>
      <w:r>
        <w:t xml:space="preserve"> </w:t>
      </w:r>
      <w:r>
        <w:t xml:space="preserve">such as an inverter, solar module, battery pack, or critical mineral, that contains an excessive proportion of content from prohibited foreign entities is ineligible for the section 45X advanced manufacturing production credit. On February 12, 2026, Treasury and the IRS issued Notice 2026-15, providing 95 pages of guidance regarding the definition of</w:t>
      </w:r>
      <w:r>
        <w:t xml:space="preserve"> </w:t>
      </w:r>
      <w:r>
        <w:t xml:space="preserve">‘</w:t>
      </w:r>
      <w:r>
        <w:t xml:space="preserve">material assistance from a prohibited foreign entity.</w:t>
      </w:r>
      <w:r>
        <w:t xml:space="preserve">’</w:t>
      </w:r>
      <w:r>
        <w:t xml:space="preserve">”</w:t>
      </w:r>
    </w:p>
    <w:p>
      <w:pPr>
        <w:numPr>
          <w:ilvl w:val="0"/>
          <w:numId w:val="1002"/>
        </w:numPr>
      </w:pPr>
      <w:r>
        <w:t xml:space="preserve">Congressional Research Service:</w:t>
      </w:r>
      <w:r>
        <w:t xml:space="preserve"> </w:t>
      </w:r>
      <w:r>
        <w:t xml:space="preserve">“</w:t>
      </w:r>
      <w:r>
        <w:t xml:space="preserve">Research shows that 45X credits generally traded at 92–95 cents on the dollar in the first half of 2024.</w:t>
      </w:r>
      <w:r>
        <w:t xml:space="preserve">”</w:t>
      </w:r>
    </w:p>
    <w:p>
      <w:pPr>
        <w:numPr>
          <w:ilvl w:val="0"/>
          <w:numId w:val="1002"/>
        </w:numPr>
      </w:pPr>
      <w:r>
        <w:t xml:space="preserve">IMARC Group:</w:t>
      </w:r>
      <w:r>
        <w:t xml:space="preserve"> </w:t>
      </w:r>
      <w:r>
        <w:t xml:space="preserve">“</w:t>
      </w:r>
      <w:r>
        <w:t xml:space="preserve">Usually, the timeline can range from 18 to 24 months to start a battery energy storage system manufacturing plant, depending on factors like plant scale, battery chemistry, supply chain readiness, and compliance with safety and environmental regulations.</w:t>
      </w:r>
      <w:r>
        <w:t xml:space="preserve">”</w:t>
      </w:r>
    </w:p>
    <w:p>
      <w:pPr>
        <w:numPr>
          <w:ilvl w:val="0"/>
          <w:numId w:val="1002"/>
        </w:numPr>
      </w:pPr>
      <w:r>
        <w:t xml:space="preserve">Energy Storage News (ESS Summit 2024):</w:t>
      </w:r>
      <w:r>
        <w:t xml:space="preserve"> </w:t>
      </w:r>
      <w:r>
        <w:t xml:space="preserve">“</w:t>
      </w:r>
      <w:r>
        <w:t xml:space="preserve">‘</w:t>
      </w:r>
      <w:r>
        <w:t xml:space="preserve">There are definitely some activities in cell manufacturing for BESS, but most companies are focusing on doing everything else other than cells — module and DC block manufacturing. That is the initial focus.</w:t>
      </w:r>
      <w:r>
        <w:t xml:space="preserve">’</w:t>
      </w:r>
      <w:r>
        <w:t xml:space="preserve">”</w:t>
      </w:r>
    </w:p>
    <w:p>
      <w:pPr>
        <w:numPr>
          <w:ilvl w:val="0"/>
          <w:numId w:val="1002"/>
        </w:numPr>
      </w:pPr>
      <w:r>
        <w:t xml:space="preserve">Congressional Research Service (CRS):</w:t>
      </w:r>
      <w:r>
        <w:t xml:space="preserve"> </w:t>
      </w:r>
      <w:r>
        <w:t xml:space="preserve">“</w:t>
      </w:r>
      <w:r>
        <w:t xml:space="preserve">Businesses may only claim the credit for goods produced in the United States or its territories.</w:t>
      </w:r>
      <w:r>
        <w:t xml:space="preserve">”</w:t>
      </w:r>
    </w:p>
    <w:p>
      <w:r>
        <w:pict>
          <v:rect style="width:0;height:1.5pt" o:hralign="center" o:hrstd="t" o:hr="t"/>
        </w:pict>
      </w:r>
    </w:p>
    <w:p>
      <w:pPr>
        <w:pStyle w:val="Heading2"/>
      </w:pPr>
      <w:bookmarkStart w:id="51" w:name="executive-summary-for-decision-makers"/>
      <w:r>
        <w:t xml:space="preserve">EXECUTIVE SUMMARY FOR DECISION MAKERS</w:t>
      </w:r>
      <w:bookmarkEnd w:id="51"/>
    </w:p>
    <w:p>
      <w:pPr>
        <w:pStyle w:val="FirstParagraph"/>
      </w:pPr>
      <w:r>
        <w:rPr>
          <w:b/>
        </w:rPr>
        <w:t xml:space="preserve">The hypothesis is substantially correct on its key claims, with one material correction.</w:t>
      </w:r>
    </w:p>
    <w:p>
      <w:pPr>
        <w:numPr>
          <w:ilvl w:val="0"/>
          <w:numId w:val="1003"/>
        </w:numPr>
      </w:pPr>
      <w:r>
        <w:t xml:space="preserve">✅</w:t>
      </w:r>
      <w:r>
        <w:t xml:space="preserve"> </w:t>
      </w:r>
      <w:r>
        <w:rPr>
          <w:b/>
        </w:rPr>
        <w:t xml:space="preserve">Mexico module assembly definitively disqualifies Lunar’s battery modules from 45X credits.</w:t>
      </w:r>
      <w:r>
        <w:t xml:space="preserve"> </w:t>
      </w:r>
      <w:r>
        <w:t xml:space="preserve">No legal ambiguity. No USMCA workaround. This is leaving money on the table at scale.</w:t>
      </w:r>
    </w:p>
    <w:p>
      <w:pPr>
        <w:numPr>
          <w:ilvl w:val="0"/>
          <w:numId w:val="1003"/>
        </w:numPr>
      </w:pPr>
      <w:r>
        <w:t xml:space="preserve">✅</w:t>
      </w:r>
      <w:r>
        <w:t xml:space="preserve"> </w:t>
      </w:r>
      <w:r>
        <w:rPr>
          <w:b/>
        </w:rPr>
        <w:t xml:space="preserve">The Georgia inverter assembly likely qualifies for 45X today</w:t>
      </w:r>
      <w:r>
        <w:t xml:space="preserve"> </w:t>
      </w:r>
      <w:r>
        <w:t xml:space="preserve">— but at</w:t>
      </w:r>
      <w:r>
        <w:t xml:space="preserve"> </w:t>
      </w:r>
      <w:r>
        <w:rPr>
          <w:b/>
        </w:rPr>
        <w:t xml:space="preserve">$0.065/watt (not $0.11/watt)</w:t>
      </w:r>
      <w:r>
        <w:t xml:space="preserve">, yielding ~$624/unit (not $1,056). At 100,000 units, this is ~$62M/year. Lunar should begin claiming this immediately if not already doing so.</w:t>
      </w:r>
    </w:p>
    <w:p>
      <w:pPr>
        <w:numPr>
          <w:ilvl w:val="0"/>
          <w:numId w:val="1003"/>
        </w:numPr>
      </w:pPr>
      <w:r>
        <w:t xml:space="preserve">✅</w:t>
      </w:r>
      <w:r>
        <w:t xml:space="preserve"> </w:t>
      </w:r>
      <w:r>
        <w:rPr>
          <w:b/>
        </w:rPr>
        <w:t xml:space="preserve">Mexico modules will almost certainly cause failure of the post-2026 domestic content ITC threshold</w:t>
      </w:r>
      <w:r>
        <w:t xml:space="preserve">, costing TPOs like Sunrun ~$2,500/system in lost bonus credit — a competitive liability that will increasingly pressure Lunar’s channel relationships.</w:t>
      </w:r>
    </w:p>
    <w:p>
      <w:pPr>
        <w:numPr>
          <w:ilvl w:val="0"/>
          <w:numId w:val="1003"/>
        </w:numPr>
      </w:pPr>
      <w:r>
        <w:t xml:space="preserve">✅</w:t>
      </w:r>
      <w:r>
        <w:t xml:space="preserve"> </w:t>
      </w:r>
      <w:r>
        <w:rPr>
          <w:b/>
        </w:rPr>
        <w:t xml:space="preserve">Relocating module assembly to Georgia is financially justified.</w:t>
      </w:r>
      <w:r>
        <w:t xml:space="preserve"> </w:t>
      </w:r>
      <w:r>
        <w:t xml:space="preserve">The combined per-unit benefit of $824 ($200 module credit + $624 inverter credit, with domestic content bonus preserving ~$2,500 more value to the channel) against an estimated $15–25M relocation cost implies break-even at 7,400–12,000 units annually — achievable in year one.</w:t>
      </w:r>
    </w:p>
    <w:p>
      <w:pPr>
        <w:numPr>
          <w:ilvl w:val="0"/>
          <w:numId w:val="1003"/>
        </w:numPr>
      </w:pPr>
      <w:r>
        <w:t xml:space="preserve">⚠️</w:t>
      </w:r>
      <w:r>
        <w:t xml:space="preserve"> </w:t>
      </w:r>
      <w:r>
        <w:rPr>
          <w:b/>
        </w:rPr>
        <w:t xml:space="preserve">The new FEOC/MACR rules (OBBBA, July 2025) add complexity.</w:t>
      </w:r>
      <w:r>
        <w:t xml:space="preserve"> </w:t>
      </w:r>
      <w:r>
        <w:t xml:space="preserve">If Georgia-assembled modules use Chinese-manufactured cells, Lunar must track the Material Assistance Cost Ratio. Thresholds escalate annually. This does not prevent relocation but requires supply chain planning for non-Chinese cell sourcing over the medium term.</w:t>
      </w:r>
    </w:p>
    <w:p>
      <w:pPr>
        <w:numPr>
          <w:ilvl w:val="0"/>
          <w:numId w:val="1003"/>
        </w:numPr>
      </w:pPr>
      <w:r>
        <w:t xml:space="preserve">⚠️</w:t>
      </w:r>
      <w:r>
        <w:t xml:space="preserve"> </w:t>
      </w:r>
      <w:r>
        <w:rPr>
          <w:b/>
        </w:rPr>
        <w:t xml:space="preserve">The</w:t>
      </w:r>
      <w:r>
        <w:rPr>
          <w:b/>
        </w:rPr>
        <w:t xml:space="preserve"> </w:t>
      </w:r>
      <w:r>
        <w:rPr>
          <w:b/>
        </w:rPr>
        <w:t xml:space="preserve">“</w:t>
      </w:r>
      <w:r>
        <w:rPr>
          <w:b/>
        </w:rPr>
        <w:t xml:space="preserve">proudly domestic content</w:t>
      </w:r>
      <w:r>
        <w:rPr>
          <w:b/>
        </w:rPr>
        <w:t xml:space="preserve">”</w:t>
      </w:r>
      <w:r>
        <w:rPr>
          <w:b/>
        </w:rPr>
        <w:t xml:space="preserve"> </w:t>
      </w:r>
      <w:r>
        <w:rPr>
          <w:b/>
        </w:rPr>
        <w:t xml:space="preserve">marketing claim is misleading today</w:t>
      </w:r>
      <w:r>
        <w:t xml:space="preserve"> </w:t>
      </w:r>
      <w:r>
        <w:t xml:space="preserve">and potentially legally risky if customers rely on it for ITC bonus credit purposes. Counsel should review this positioning immediately.</w:t>
      </w:r>
    </w:p>
    <w:p>
      <w:pPr>
        <w:pStyle w:val="FirstParagraph"/>
      </w:pPr>
      <w:r>
        <w:rPr>
          <w:b/>
        </w:rPr>
        <w:t xml:space="preserve">Recommended immediate actions:</w:t>
      </w:r>
      <w:r>
        <w:t xml:space="preserve"> </w:t>
      </w:r>
      <w:r>
        <w:t xml:space="preserve">1. Engage tax counsel to confirm whether current Suwanee inverter assembly qualifies for 45X — if yes, file immediately.</w:t>
      </w:r>
      <w:r>
        <w:t xml:space="preserve"> </w:t>
      </w:r>
      <w:r>
        <w:t xml:space="preserve">2. Commission a formal domestic content analysis under Notice 2025-08’s distributed BESS safe harbor table to quantify the exact shortfall.</w:t>
      </w:r>
      <w:r>
        <w:t xml:space="preserve"> </w:t>
      </w:r>
      <w:r>
        <w:t xml:space="preserve">3. Evaluate contract manufacturing options for module assembly in Georgia as a lower-capital, faster-to-market alternative to captive facility buildout.</w:t>
      </w:r>
      <w:r>
        <w:t xml:space="preserve"> </w:t>
      </w:r>
      <w:r>
        <w:t xml:space="preserve">4. Begin supply chain mapping for non-Chinese LFP cell sources (South Korean: Samsung SDI, LG Energy Solution; US: Freyr, EnerTech) in preparation for FEOC thresholds tightening through 2027–2028.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2026-02-28T04:44:28Z</dcterms:created>
  <dcterms:modified xsi:type="dcterms:W3CDTF">2026-02-28T04:44:28Z</dcterms:modified>
</cp:coreProperties>
</file>

<file path=docProps/custom.xml><?xml version="1.0" encoding="utf-8"?>
<Properties xmlns="http://schemas.openxmlformats.org/officeDocument/2006/custom-properties" xmlns:vt="http://schemas.openxmlformats.org/officeDocument/2006/docPropsVTypes"/>
</file>