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sufficient data to construct a comprehensive, well-cited analytical response. Let me compile it.</w:t>
      </w:r>
    </w:p>
    <w:p>
      <w:r>
        <w:pict>
          <v:rect style="width:0;height:1.5pt" o:hralign="center" o:hrstd="t" o:hr="t"/>
        </w:pict>
      </w:r>
    </w:p>
    <w:p>
      <w:pPr>
        <w:pStyle w:val="Heading1"/>
      </w:pPr>
      <w:bookmarkStart w:id="20" w:name="X0592ef44b1c5418ab7d1417a55daf3295e88529"/>
      <w:r>
        <w:t xml:space="preserve">LUNAR ENERGY: IS THE INSTALLER CHANNEL THE BINDING CONSTRAINT?</w:t>
      </w:r>
      <w:bookmarkEnd w:id="20"/>
    </w:p>
    <w:p>
      <w:pPr>
        <w:pStyle w:val="Heading2"/>
      </w:pPr>
      <w:bookmarkStart w:id="21" w:name="X22b511d755cc2eec348e6c9c7f535990cdbe3f9"/>
      <w:r>
        <w:t xml:space="preserve">Comprehensive Channel Strategy Analysis | February 2026</w:t>
      </w:r>
      <w:bookmarkEnd w:id="21"/>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the-quantitative-gap-is-undeniable"/>
      <w:r>
        <w:t xml:space="preserve">1.1 The Quantitative Gap Is Undeniable</w:t>
      </w:r>
      <w:bookmarkEnd w:id="23"/>
    </w:p>
    <w:p>
      <w:pPr>
        <w:pStyle w:val="FirstParagraph"/>
      </w:pPr>
      <w:r>
        <w:t xml:space="preserve">The installer math is stark and self-confirming.</w:t>
      </w:r>
      <w:r>
        <w:t xml:space="preserve"> </w:t>
      </w:r>
      <w:r>
        <w:t xml:space="preserve">Lunar launched the 20kWh Lunar System in early 2025 in California and has since deployed more than 2,000 systems with more than 40 installation partners.</w:t>
      </w:r>
    </w:p>
    <w:p>
      <w:pPr>
        <w:pStyle w:val="BodyText"/>
      </w:pPr>
      <w:r>
        <w:t xml:space="preserve">The startup plans to use its new funds to scale manufacturing to 20,000 units by the end of 2026.</w:t>
      </w:r>
      <w:r>
        <w:t xml:space="preserve"> </w:t>
      </w:r>
      <w:r>
        <w:t xml:space="preserve">That is a 10x volume increase with the same installer base — an implausible ask absent a channel expansion program running concurrently.</w:t>
      </w:r>
    </w:p>
    <w:p>
      <w:pPr>
        <w:pStyle w:val="BodyText"/>
      </w:pPr>
      <w:r>
        <w:t xml:space="preserve">At current averages (~50 units/installer/year), Lunar needs 400 certified partners to hit 20,000 units — not 40. A 10x partner expansion target in parallel with a 10x volume target is the only mathematically coherent path forward.</w:t>
      </w:r>
    </w:p>
    <w:p>
      <w:pPr>
        <w:pStyle w:val="Heading3"/>
      </w:pPr>
      <w:bookmarkStart w:id="24" w:name="Xcd4a7ca3633df032d4ee0ce7461567e82dfc8dc"/>
      <w:r>
        <w:t xml:space="preserve">1.2 Lunar Is Absent From the Tesla Backlash Moment</w:t>
      </w:r>
      <w:bookmarkEnd w:id="24"/>
    </w:p>
    <w:p>
      <w:pPr>
        <w:pStyle w:val="FirstParagraph"/>
      </w:pPr>
      <w:r>
        <w:t xml:space="preserve">A Roth Capital Partners survey of residential solar and energy storage installers revealed an apparent market shift away from Tesla in some parts of the United States. Tesla stock dropped nearly 50% from its all-time high, and political tensions related to Elon Musk’s role at DOGE have led to widespread protests and vandalism at Tesla dealerships. An industry note from Roth Capital managing director Phil Shen suggests those political tensions are leading to a decline in demand for Tesla’s residential solar products, with downside risks for the Powerwall 3 home battery and Tesla inverter.</w:t>
      </w:r>
    </w:p>
    <w:p>
      <w:pPr>
        <w:pStyle w:val="BodyText"/>
      </w:pPr>
      <w:r>
        <w:t xml:space="preserve">One installer told Roth they were</w:t>
      </w:r>
      <w:r>
        <w:t xml:space="preserve"> </w:t>
      </w:r>
      <w:r>
        <w:t xml:space="preserve">“</w:t>
      </w:r>
      <w:r>
        <w:t xml:space="preserve">expecting Tesla to fall to 20% of battery sales in [the] next six months. We are getting all types of nasty feedback if we even put pics of Powerwalls online. So we scrubbed all references and pics from all ads and online presence.</w:t>
      </w:r>
      <w:r>
        <w:t xml:space="preserve">”</w:t>
      </w:r>
      <w:r>
        <w:t xml:space="preserve"> </w:t>
      </w:r>
      <w:r>
        <w:t xml:space="preserve">That contact said many customers who had already been sold Tesla Powerwalls are now switching to FranklinWH batteries despite a $2,000-higher price tag.</w:t>
      </w:r>
    </w:p>
    <w:p>
      <w:pPr>
        <w:pStyle w:val="BodyText"/>
      </w:pPr>
      <w:r>
        <w:t xml:space="preserve">EnergySage says it has seen a surge in homeowners mentioning Tesla in the quote process, with 68% specifically asking for a Tesla Powerwall alternative, and homeowners mentioning Tesla in emails more than twice as often in the first two months of 2025 compared to the same period the prior year.</w:t>
      </w:r>
    </w:p>
    <w:p>
      <w:pPr>
        <w:pStyle w:val="BodyText"/>
      </w:pPr>
      <w:r>
        <w:t xml:space="preserve">Lunar had ~40 installer partners primarily concentrated in California when this demand spike materialized.</w:t>
      </w:r>
      <w:r>
        <w:t xml:space="preserve"> </w:t>
      </w:r>
      <w:r>
        <w:t xml:space="preserve">The Enphase IQ Battery 5P and FranklinWH aPower 2 are widely considered the best Tesla Powerwall alternatives in 2025, offering longer warranties and strong integration with solar systems.</w:t>
      </w:r>
      <w:r>
        <w:t xml:space="preserve"> </w:t>
      </w:r>
      <w:r>
        <w:t xml:space="preserve">Lunar does not appear in these widely-cited shortlists. Its channel cannot surface it to the installers who are actively switching.</w:t>
      </w:r>
    </w:p>
    <w:p>
      <w:pPr>
        <w:pStyle w:val="Heading3"/>
      </w:pPr>
      <w:bookmarkStart w:id="25" w:name="Xbc5d1bb8691196fc8af3a5bfd84c9d7773e47b7"/>
      <w:r>
        <w:t xml:space="preserve">1.3 Lunar’s Own CEO Confirms the Constraint Is Geographic/Channel, Not Manufacturing</w:t>
      </w:r>
      <w:bookmarkEnd w:id="25"/>
    </w:p>
    <w:p>
      <w:pPr>
        <w:pStyle w:val="FirstParagraph"/>
      </w:pPr>
      <w:r>
        <w:t xml:space="preserve">With its new funding, Lunar is expanding to Texas, Utah, Nevada, and Illinois —</w:t>
      </w:r>
      <w:r>
        <w:t xml:space="preserve"> </w:t>
      </w:r>
      <w:r>
        <w:t xml:space="preserve">“</w:t>
      </w:r>
      <w:r>
        <w:t xml:space="preserve">places with volatile electricity rates, grid instability, or strong potential for Virtual Power Plant programs.</w:t>
      </w:r>
      <w:r>
        <w:t xml:space="preserve">”</w:t>
      </w:r>
    </w:p>
    <w:p>
      <w:pPr>
        <w:pStyle w:val="BodyText"/>
      </w:pPr>
      <w:r>
        <w:t xml:space="preserve">The company is planning to increase deployments 4-5x in 2026.</w:t>
      </w:r>
      <w:r>
        <w:t xml:space="preserve"> </w:t>
      </w:r>
      <w:r>
        <w:t xml:space="preserve">This geographic ambition is structurally incompatible with a 40-partner network that, per Lunar’s own blog, is still concentrated in California.</w:t>
      </w:r>
      <w:r>
        <w:t xml:space="preserve"> </w:t>
      </w:r>
      <w:r>
        <w:t xml:space="preserve">Sunrun, the nation’s largest distributed power company, is one of Lunar’s partners, and Lunar works with dozens more Certified Lunar Installers across California.</w:t>
      </w:r>
      <w:r>
        <w:t xml:space="preserve"> </w:t>
      </w:r>
      <w:r>
        <w:t xml:space="preserve">“</w:t>
      </w:r>
      <w:r>
        <w:t xml:space="preserve">Dozens</w:t>
      </w:r>
      <w:r>
        <w:t xml:space="preserve">”</w:t>
      </w:r>
      <w:r>
        <w:t xml:space="preserve"> </w:t>
      </w:r>
      <w:r>
        <w:t xml:space="preserve">in California alone does not constitute a national channel.</w:t>
      </w:r>
    </w:p>
    <w:p>
      <w:pPr>
        <w:pStyle w:val="Heading3"/>
      </w:pPr>
      <w:bookmarkStart w:id="26" w:name="Xda407365a98d4abacf7c188b608caa444c633ce"/>
      <w:r>
        <w:t xml:space="preserve">1.4 The Manufacturing Capacity Is NOT the Constraint</w:t>
      </w:r>
      <w:bookmarkEnd w:id="26"/>
    </w:p>
    <w:p>
      <w:pPr>
        <w:pStyle w:val="FirstParagraph"/>
      </w:pPr>
      <w:r>
        <w:t xml:space="preserve">Lunar plans to increase manufacturing capacity from about 10,000 battery systems per year today to 20,000 per year by the end of 2026.</w:t>
      </w:r>
      <w:r>
        <w:t xml:space="preserve"> </w:t>
      </w:r>
      <w:r>
        <w:t xml:space="preserve">If the factory can do 10,000/year and the current run rate is ~2,000 total cumulative deployments, the channel is the binding constraint — not manufacturing. There is enormous idle capacity already available.</w:t>
      </w:r>
    </w:p>
    <w:p>
      <w:pPr>
        <w:pStyle w:val="Heading3"/>
      </w:pPr>
      <w:bookmarkStart w:id="27" w:name="Xe5d7e93e08319b360d1edefec09c349f057b875"/>
      <w:r>
        <w:t xml:space="preserve">1.5 Tesla’s Price Advantage Is Now a Liability</w:t>
      </w:r>
      <w:bookmarkEnd w:id="27"/>
    </w:p>
    <w:p>
      <w:pPr>
        <w:pStyle w:val="FirstParagraph"/>
      </w:pPr>
      <w:r>
        <w:t xml:space="preserve">Lunar Energy’s systems are priced at about a 10% premium to Tesla’s Powerwall batteries.</w:t>
      </w:r>
      <w:r>
        <w:t xml:space="preserve"> </w:t>
      </w:r>
      <w:r>
        <w:t xml:space="preserve">But this premium is becoming less of a barrier now that Tesla’s brand is eroding.</w:t>
      </w:r>
      <w:r>
        <w:t xml:space="preserve"> </w:t>
      </w:r>
      <w:r>
        <w:t xml:space="preserve">Customers who had already been sold Tesla Powerwalls are switching to FranklinWH despite a $2,000-higher price tag.</w:t>
      </w:r>
      <w:r>
        <w:t xml:space="preserve"> </w:t>
      </w:r>
      <w:r>
        <w:t xml:space="preserve">If price-sensitive consumers will pay more to avoid Tesla, Lunar’s premium positioning is less of a headwind than it was in 2024.</w:t>
      </w:r>
    </w:p>
    <w:p>
      <w:r>
        <w:pict>
          <v:rect style="width:0;height:1.5pt" o:hralign="center" o:hrstd="t" o:hr="t"/>
        </w:pict>
      </w:r>
    </w:p>
    <w:p>
      <w:pPr>
        <w:pStyle w:val="Heading2"/>
      </w:pPr>
      <w:bookmarkStart w:id="28" w:name="evidence-against-the-hypothesis"/>
      <w:r>
        <w:t xml:space="preserve">2. EVIDENCE AGAINST THE HYPOTHESIS</w:t>
      </w:r>
      <w:bookmarkEnd w:id="28"/>
    </w:p>
    <w:p>
      <w:pPr>
        <w:pStyle w:val="Heading3"/>
      </w:pPr>
      <w:bookmarkStart w:id="29" w:name="X17bcbf7ccf9b1cb6a0f0110c5ef3782b36fe394"/>
      <w:r>
        <w:t xml:space="preserve">2.1 Lunar Is Intentionally Selective — It May Be Executing a Quality-Over-Quantity Strategy</w:t>
      </w:r>
      <w:bookmarkEnd w:id="29"/>
    </w:p>
    <w:p>
      <w:pPr>
        <w:pStyle w:val="FirstParagraph"/>
      </w:pPr>
      <w:r>
        <w:t xml:space="preserve">Lunar’s partner-facing materials emphasize</w:t>
      </w:r>
      <w:r>
        <w:t xml:space="preserve"> </w:t>
      </w:r>
      <w:r>
        <w:t xml:space="preserve">“</w:t>
      </w:r>
      <w:r>
        <w:t xml:space="preserve">continuous training, seamless ordering, VPP-ready technology, and proactive monitoring and service,</w:t>
      </w:r>
      <w:r>
        <w:t xml:space="preserve">”</w:t>
      </w:r>
      <w:r>
        <w:t xml:space="preserve"> </w:t>
      </w:r>
      <w:r>
        <w:t xml:space="preserve">with the company noting it is</w:t>
      </w:r>
      <w:r>
        <w:t xml:space="preserve"> </w:t>
      </w:r>
      <w:r>
        <w:t xml:space="preserve">“</w:t>
      </w:r>
      <w:r>
        <w:t xml:space="preserve">based right here in California, so you’ll enjoy faster, more responsive support—no waiting on overseas time zones or distant call centers.</w:t>
      </w:r>
      <w:r>
        <w:t xml:space="preserve">”</w:t>
      </w:r>
      <w:r>
        <w:t xml:space="preserve"> </w:t>
      </w:r>
      <w:r>
        <w:t xml:space="preserve">This suggests Lunar may be deliberately limiting its installer base to those it can serve with high-touch support — a deliberate channel quality decision, not a failure.</w:t>
      </w:r>
    </w:p>
    <w:p>
      <w:pPr>
        <w:pStyle w:val="BodyText"/>
      </w:pPr>
      <w:r>
        <w:t xml:space="preserve">In most cases, Lunar’s systems are now being deployed through residential leases, meaning they are installed at no upfront cost to homeowners.</w:t>
      </w:r>
      <w:r>
        <w:t xml:space="preserve"> </w:t>
      </w:r>
      <w:r>
        <w:t xml:space="preserve">Lease-model deployment is a fundamentally different channel than the traditional installer-sells-direct model. It implies a narrower, more institutionally sophisticated installer base (large TPO players, Sunrun-type entities) rather than thousands of independent SMB installers.</w:t>
      </w:r>
    </w:p>
    <w:p>
      <w:pPr>
        <w:pStyle w:val="Heading3"/>
      </w:pPr>
      <w:bookmarkStart w:id="30" w:name="Xef899d03a1b66f7dec422cbcd0aa2a29d677221"/>
      <w:r>
        <w:t xml:space="preserve">2.2 The VPP-Software Strategy May Deliberately Favor Deep Partnerships Over Breadth</w:t>
      </w:r>
      <w:bookmarkEnd w:id="30"/>
    </w:p>
    <w:p>
      <w:pPr>
        <w:pStyle w:val="FirstParagraph"/>
      </w:pPr>
      <w:r>
        <w:t xml:space="preserve">US residential solar and energy storage installer Sunrun uses Lunar’s Gridshare platform for its distributed power assets in over a dozen markets, including New England, Hawaii, and Puerto Rico. Additionally, California Community Choice Aggregators (CCAs) utilize Gridshare to create and implement new distributed power initiatives statewide.</w:t>
      </w:r>
      <w:r>
        <w:t xml:space="preserve"> </w:t>
      </w:r>
      <w:r>
        <w:t xml:space="preserve">Lunar’s differentiated value proposition is the integrated hardware-software-VPP stack. That requires sophisticated partners who can enroll customers in VPP programs, manage grid services, and maintain ongoing software integrations. Random installer X in suburban Phoenix may not be the right partner for that model.</w:t>
      </w:r>
    </w:p>
    <w:p>
      <w:pPr>
        <w:pStyle w:val="Heading3"/>
      </w:pPr>
      <w:bookmarkStart w:id="31" w:name="X0e47f0867be332728ef1ccedcac558fd9ccca3d"/>
      <w:r>
        <w:t xml:space="preserve">2.3 The 4-5x Growth Target May Not Actually Require 10x Partners</w:t>
      </w:r>
      <w:bookmarkEnd w:id="31"/>
    </w:p>
    <w:p>
      <w:pPr>
        <w:pStyle w:val="FirstParagraph"/>
      </w:pPr>
      <w:r>
        <w:t xml:space="preserve">Lunar is planning to increase deployments 4-5x this year.</w:t>
      </w:r>
      <w:r>
        <w:t xml:space="preserve"> </w:t>
      </w:r>
      <w:r>
        <w:t xml:space="preserve">A 4-5x increase (to 8,000–10,000 units from ~2,000) is more plausible from 40 partners than a 10x increase. If each of Lunar’s 40 partners scales from 50 to 200–250 units/year — consistent with how large installers like Sunrun operate — Lunar could hit 8,000–10,000 units without adding a single new partner. Sunrun alone, as a national installer, could absorb thousands of units if fully committed.</w:t>
      </w:r>
    </w:p>
    <w:p>
      <w:pPr>
        <w:pStyle w:val="Heading3"/>
      </w:pPr>
      <w:bookmarkStart w:id="32" w:name="X08a50cc0552df17d1b022c4c743866470a536a8"/>
      <w:r>
        <w:t xml:space="preserve">2.4 Lunar Has Distribution Infrastructure Already In Place</w:t>
      </w:r>
      <w:bookmarkEnd w:id="32"/>
    </w:p>
    <w:p>
      <w:pPr>
        <w:pStyle w:val="FirstParagraph"/>
      </w:pPr>
      <w:r>
        <w:t xml:space="preserve">Greentech Renewables supplies Lunar Energy 5kWh Battery products through its extensive network of over 100 locations nationwide.</w:t>
      </w:r>
    </w:p>
    <w:p>
      <w:pPr>
        <w:pStyle w:val="BodyText"/>
      </w:pPr>
      <w:r>
        <w:t xml:space="preserve">Greentech Renewables is local nationwide, with over 100 locations in major solar markets in the US.</w:t>
      </w:r>
      <w:r>
        <w:t xml:space="preserve"> </w:t>
      </w:r>
      <w:r>
        <w:t xml:space="preserve">This means any installer who already has a Greentech account — likely tens of thousands of contractors — can theoretically purchase Lunar product. The physical distribution bottleneck is solved. The bottleneck is awareness, training, and installer incentives — not product availability.</w:t>
      </w:r>
    </w:p>
    <w:p>
      <w:r>
        <w:pict>
          <v:rect style="width:0;height:1.5pt" o:hralign="center" o:hrstd="t" o:hr="t"/>
        </w:pict>
      </w:r>
    </w:p>
    <w:p>
      <w:pPr>
        <w:pStyle w:val="Heading2"/>
      </w:pPr>
      <w:bookmarkStart w:id="33" w:name="comparable-examples"/>
      <w:r>
        <w:t xml:space="preserve">3. COMPARABLE EXAMPLES</w:t>
      </w:r>
      <w:bookmarkEnd w:id="33"/>
    </w:p>
    <w:p>
      <w:pPr>
        <w:pStyle w:val="Heading3"/>
      </w:pPr>
      <w:bookmarkStart w:id="34" w:name="franklinwh-the-gold-standard-playbook"/>
      <w:r>
        <w:t xml:space="preserve">3.1 FranklinWH: The Gold Standard Playbook</w:t>
      </w:r>
      <w:bookmarkEnd w:id="34"/>
    </w:p>
    <w:p>
      <w:pPr>
        <w:pStyle w:val="FirstParagraph"/>
      </w:pPr>
      <w:r>
        <w:t xml:space="preserve">FranklinWH is the most directly comparable case study of rapid installer network scaling in the US residential battery market. Its milestone trajectory is precisely documented:</w:t>
      </w:r>
    </w:p>
    <w:p>
      <w:pPr>
        <w:numPr>
          <w:ilvl w:val="0"/>
          <w:numId w:val="1001"/>
        </w:numPr>
      </w:pPr>
      <w:r>
        <w:rPr>
          <w:b/>
        </w:rPr>
        <w:t xml:space="preserve">Year 1 (May 2022 – May 2023):</w:t>
      </w:r>
      <w:r>
        <w:t xml:space="preserve"> </w:t>
      </w:r>
      <w:r>
        <w:t xml:space="preserve">FranklinWH onboarded its 1,000th installation company after only one year of U.S. market availability.</w:t>
      </w:r>
    </w:p>
    <w:p>
      <w:pPr>
        <w:numPr>
          <w:ilvl w:val="0"/>
          <w:numId w:val="1001"/>
        </w:numPr>
      </w:pPr>
      <w:r>
        <w:rPr>
          <w:b/>
        </w:rPr>
        <w:t xml:space="preserve">Year 2 (May 2024):</w:t>
      </w:r>
      <w:r>
        <w:t xml:space="preserve"> </w:t>
      </w:r>
      <w:r>
        <w:t xml:space="preserve">FranklinWH onboarded its 2,000th installation company after only two years of U.S. market availability.</w:t>
      </w:r>
    </w:p>
    <w:p>
      <w:pPr>
        <w:numPr>
          <w:ilvl w:val="0"/>
          <w:numId w:val="1001"/>
        </w:numPr>
      </w:pPr>
      <w:r>
        <w:rPr>
          <w:b/>
        </w:rPr>
        <w:t xml:space="preserve">Year 3 (May 2025):</w:t>
      </w:r>
      <w:r>
        <w:t xml:space="preserve"> </w:t>
      </w:r>
      <w:r>
        <w:t xml:space="preserve">FranklinWH reached over 3,000 certified installers across the United States.</w:t>
      </w:r>
    </w:p>
    <w:p>
      <w:pPr>
        <w:pStyle w:val="FirstParagraph"/>
      </w:pPr>
      <w:r>
        <w:t xml:space="preserve">That is approximately 1,000 new certified installer companies per year, sustained over three consecutive years — a pace of roughly</w:t>
      </w:r>
      <w:r>
        <w:t xml:space="preserve"> </w:t>
      </w:r>
      <w:r>
        <w:rPr>
          <w:b/>
        </w:rPr>
        <w:t xml:space="preserve">83 new certified installer companies per month.</w:t>
      </w:r>
    </w:p>
    <w:p>
      <w:pPr>
        <w:pStyle w:val="BodyText"/>
      </w:pPr>
      <w:r>
        <w:rPr>
          <w:b/>
        </w:rPr>
        <w:t xml:space="preserve">What FranklinWH did differently — the specific playbook elements:</w:t>
      </w:r>
    </w:p>
    <w:p>
      <w:pPr>
        <w:pStyle w:val="BodyText"/>
      </w:pPr>
      <w:r>
        <w:rPr>
          <w:b/>
        </w:rPr>
        <w:t xml:space="preserve">A. Frictionless Online Certification:</w:t>
      </w:r>
      <w:r>
        <w:t xml:space="preserve"> </w:t>
      </w:r>
      <w:r>
        <w:t xml:space="preserve">Before obtaining certification, a company needs to become a FranklinWH partner and obtain an admin account on FleetView. Installers can then take the certification training and must be certified in order to install and commission the Franklin Home Power system.</w:t>
      </w:r>
    </w:p>
    <w:p>
      <w:pPr>
        <w:pStyle w:val="BodyText"/>
      </w:pPr>
      <w:r>
        <w:t xml:space="preserve">FranklinWH installation training consists of sessions provided to installers to train them to install, commission, and maintain the FHP system. Completing the training sessions and accompanying tests means the installer is qualified for installation of FHP products, with the installer account certified to log into the FranklinWH app to activate new products and use other installation tools.</w:t>
      </w:r>
      <w:r>
        <w:t xml:space="preserve"> </w:t>
      </w:r>
      <w:r>
        <w:t xml:space="preserve">This is a fully digital, asynchronous certification — no in-person training day required, no scheduling bottleneck.</w:t>
      </w:r>
    </w:p>
    <w:p>
      <w:pPr>
        <w:pStyle w:val="BodyText"/>
      </w:pPr>
      <w:r>
        <w:rPr>
          <w:b/>
        </w:rPr>
        <w:t xml:space="preserve">B. Fast Commissioning as an Installer Acquisition Tool:</w:t>
      </w:r>
      <w:r>
        <w:t xml:space="preserve"> </w:t>
      </w:r>
      <w:r>
        <w:t xml:space="preserve">Commissioning a system only takes an average of 15 minutes, and FranklinWH provides reviews of line diagrams for smoother regulatory approval processes. Help is always available with pre-sales and after-sales expert support, plus certification training and regular webinars.</w:t>
      </w:r>
      <w:r>
        <w:t xml:space="preserve"> </w:t>
      </w:r>
      <w:r>
        <w:t xml:space="preserve">A 15-minute commissioning time is a genuine competitive advantage — it meaningfully reduces installer labor cost per job.</w:t>
      </w:r>
    </w:p>
    <w:p>
      <w:pPr>
        <w:pStyle w:val="BodyText"/>
      </w:pPr>
      <w:r>
        <w:rPr>
          <w:b/>
        </w:rPr>
        <w:t xml:space="preserve">C. Lift Dolly and Installation Simplicity:</w:t>
      </w:r>
      <w:r>
        <w:t xml:space="preserve"> </w:t>
      </w:r>
      <w:r>
        <w:t xml:space="preserve">FranklinWH added the Lifting Dolly to its product lineup, enhancing the installation process by providing flexibility and safety, allowing for independent wall mounting of the aPower by one installer and requiring only two installers for the entire Franklin Home Power system installation.</w:t>
      </w:r>
      <w:r>
        <w:t xml:space="preserve"> </w:t>
      </w:r>
      <w:r>
        <w:t xml:space="preserve">Reducing crew requirements from 3 to 2 (or 2 to 1 for mounting) directly improves installer economics.</w:t>
      </w:r>
    </w:p>
    <w:p>
      <w:pPr>
        <w:pStyle w:val="BodyText"/>
      </w:pPr>
      <w:r>
        <w:rPr>
          <w:b/>
        </w:rPr>
        <w:t xml:space="preserve">D. Volume-Based Pricing and Bonuses:</w:t>
      </w:r>
      <w:r>
        <w:t xml:space="preserve"> </w:t>
      </w:r>
      <w:r>
        <w:t xml:space="preserve">FranklinWH offers its installer partners different pricing and bonuses for selling a certain number of units, so installers may find better deals than standard list prices.</w:t>
      </w:r>
      <w:r>
        <w:t xml:space="preserve"> </w:t>
      </w:r>
      <w:r>
        <w:t xml:space="preserve">This is a classic volume incentive ladder — new partners are recruited with the promise of margin improvement at higher volume tiers.</w:t>
      </w:r>
    </w:p>
    <w:p>
      <w:pPr>
        <w:pStyle w:val="BodyText"/>
      </w:pPr>
      <w:r>
        <w:rPr>
          <w:b/>
        </w:rPr>
        <w:t xml:space="preserve">E. Multi-Distribution Presence:</w:t>
      </w:r>
      <w:r>
        <w:t xml:space="preserve"> </w:t>
      </w:r>
      <w:r>
        <w:t xml:space="preserve">FranklinWH is available in distribution via BayWa r.e., Greentech Renewables, Inxeption Energy, Fortune Energy, The Power Store, Van Meter, Inter-Island Solar Supply, R&amp;R Solar Supply, and SolWel.</w:t>
      </w:r>
      <w:r>
        <w:t xml:space="preserve"> </w:t>
      </w:r>
      <w:r>
        <w:t xml:space="preserve">Note: the FranklinWH installer application form shows the same distributor list — signaling that FranklinWH treats distributor relationships as installer recruitment funnels, with each distribution partner’s sales rep effectively serving as a FranklinWH channel development rep.</w:t>
      </w:r>
    </w:p>
    <w:p>
      <w:pPr>
        <w:pStyle w:val="BodyText"/>
      </w:pPr>
      <w:r>
        <w:rPr>
          <w:b/>
        </w:rPr>
        <w:t xml:space="preserve">F. Financing AVL Listings:</w:t>
      </w:r>
      <w:r>
        <w:t xml:space="preserve"> </w:t>
      </w:r>
      <w:r>
        <w:t xml:space="preserve">FranklinWH has been approved for financing through prominent companies like Mosaic and Goodleap, and is eligible for incentive programs like California SGIP.</w:t>
      </w:r>
      <w:r>
        <w:t xml:space="preserve"> </w:t>
      </w:r>
      <w:r>
        <w:t xml:space="preserve">Being pre-approved at major solar finance providers (Mosaic and Goodleap together finance a large fraction of US residential solar) removes a key friction point for installers — they can offer customers a familiar financing product with the FranklinWH battery pre-approved.</w:t>
      </w:r>
    </w:p>
    <w:p>
      <w:pPr>
        <w:pStyle w:val="BodyText"/>
      </w:pPr>
      <w:r>
        <w:rPr>
          <w:b/>
        </w:rPr>
        <w:t xml:space="preserve">G. VPP Program Integration as Installer Sales Tool:</w:t>
      </w:r>
      <w:r>
        <w:t xml:space="preserve"> </w:t>
      </w:r>
      <w:r>
        <w:t xml:space="preserve">FranklinWH has aggressively integrated its systems into utility VPP programs across multiple states (Rocky Mountain Power Wattsmart, Duke Energy PowerPair, Connecticut ESS, New Hampshire Clean Energy Fund, California DSGS). Each program creates an additional installer pitch:</w:t>
      </w:r>
      <w:r>
        <w:t xml:space="preserve"> </w:t>
      </w:r>
      <w:r>
        <w:t xml:space="preserve">“</w:t>
      </w:r>
      <w:r>
        <w:t xml:space="preserve">and your customers can earn cash back.</w:t>
      </w:r>
      <w:r>
        <w:t xml:space="preserve">”</w:t>
      </w:r>
      <w:r>
        <w:t xml:space="preserve"> </w:t>
      </w:r>
      <w:r>
        <w:t xml:space="preserve">This makes FranklinWH easier to sell, which makes installers more inclined to certify.</w:t>
      </w:r>
    </w:p>
    <w:p>
      <w:pPr>
        <w:pStyle w:val="BodyText"/>
      </w:pPr>
      <w:r>
        <w:rPr>
          <w:b/>
        </w:rPr>
        <w:t xml:space="preserve">H. Market Positioning:</w:t>
      </w:r>
      <w:r>
        <w:t xml:space="preserve"> </w:t>
      </w:r>
      <w:r>
        <w:t xml:space="preserve">FranklinWH is already a favorite among installers, being offered by 23% of installers who responded to SolarReviews’ 2025 Solar Industry Survey.</w:t>
      </w:r>
    </w:p>
    <w:p>
      <w:pPr>
        <w:pStyle w:val="BodyText"/>
      </w:pPr>
      <w:r>
        <w:t xml:space="preserve">According to data from EnergySage’s 18th annual report, FranklinWH is third among all energy storage suppliers for quotes provided, with market share continuing to climb.</w:t>
      </w:r>
    </w:p>
    <w:p>
      <w:pPr>
        <w:pStyle w:val="Heading3"/>
      </w:pPr>
      <w:bookmarkStart w:id="35" w:name="Xd43561fb2951f3ab7a8bf44bc0d3ca2d0ec544e"/>
      <w:r>
        <w:t xml:space="preserve">3.2 Tesla’s Installer Friction as Anti-Playbook</w:t>
      </w:r>
      <w:bookmarkEnd w:id="35"/>
    </w:p>
    <w:p>
      <w:pPr>
        <w:pStyle w:val="FirstParagraph"/>
      </w:pPr>
      <w:r>
        <w:t xml:space="preserve">One installer who had been selling Tesla products said they were very skeptical when they started installing Tesla products a few years ago. They had to fight through administrative issues, constantly follow-up with various parts of the Tesla team to get certified, and were given essentially no discount — in fact sometimes charged more than an end consumer for the same product. This is because Tesla has an arm that serves distribution and an arm that sells direct, and those parts of the company compete with each other.</w:t>
      </w:r>
      <w:r>
        <w:t xml:space="preserve"> </w:t>
      </w:r>
      <w:r>
        <w:t xml:space="preserve">Tesla’s channel dysfunction is precisely the opening that FranklinWH exploited — and that Lunar could now exploit.</w:t>
      </w:r>
    </w:p>
    <w:p>
      <w:pPr>
        <w:pStyle w:val="Heading3"/>
      </w:pPr>
      <w:bookmarkStart w:id="36" w:name="X9c11864dfb24399cb89919f723f5a4f02eafb27"/>
      <w:r>
        <w:t xml:space="preserve">3.3 Enphase: Ecosystem Lock-In as Channel Strategy</w:t>
      </w:r>
      <w:bookmarkEnd w:id="36"/>
    </w:p>
    <w:p>
      <w:pPr>
        <w:pStyle w:val="FirstParagraph"/>
      </w:pPr>
      <w:r>
        <w:t xml:space="preserve">Enphase offers an elite network program with hands-on training augmented by online learning paths to achieve various certifications.</w:t>
      </w:r>
    </w:p>
    <w:p>
      <w:pPr>
        <w:pStyle w:val="BodyText"/>
      </w:pPr>
      <w:r>
        <w:t xml:space="preserve">Some certifications also require in-person courses.</w:t>
      </w:r>
      <w:r>
        <w:t xml:space="preserve"> </w:t>
      </w:r>
      <w:r>
        <w:t xml:space="preserve">Enphase’s channel strategy differs from FranklinWH’s — it uses its dominant inverter position (Enphase microinverters are in millions of homes) to pull battery sales through existing installers.</w:t>
      </w:r>
      <w:r>
        <w:t xml:space="preserve"> </w:t>
      </w:r>
      <w:r>
        <w:t xml:space="preserve">Enphase’s service team is considered excellent. However, Enphase batteries don’t work with other inverters, so they are only an option if customers already have Enphase microinverters or are planning an installation with them.</w:t>
      </w:r>
      <w:r>
        <w:t xml:space="preserve"> </w:t>
      </w:r>
      <w:r>
        <w:t xml:space="preserve">This is a fundamentally closed ecosystem — Enphase can’t be easily adopted by non-Enphase installers. This creates a structural channel opening for Lunar with the large installed base of non-Enphase inverter systems.</w:t>
      </w:r>
    </w:p>
    <w:p>
      <w:pPr>
        <w:pStyle w:val="Heading3"/>
      </w:pPr>
      <w:bookmarkStart w:id="37" w:name="X766985e07fbcf7e4ca35bd26a5e4c3f4214f81c"/>
      <w:r>
        <w:t xml:space="preserve">3.4 Greentech as a Distribution-Led Installer Onboarding Model</w:t>
      </w:r>
      <w:bookmarkEnd w:id="37"/>
    </w:p>
    <w:p>
      <w:pPr>
        <w:pStyle w:val="FirstParagraph"/>
      </w:pPr>
      <w:r>
        <w:t xml:space="preserve">Enphase itself has used Greentech Renewables locations as training venues — for example, a free design certification classroom session followed by hands-on experience of battery installation and commissioning at Greentech’s San Diego facility.</w:t>
      </w:r>
      <w:r>
        <w:t xml:space="preserve"> </w:t>
      </w:r>
      <w:r>
        <w:t xml:space="preserve">This is an underutilized model for Lunar: use Greentech’s 100+ locations as training venues, co-marketing partners, and installer recruitment engines simultaneously.</w:t>
      </w:r>
    </w:p>
    <w:p>
      <w:r>
        <w:pict>
          <v:rect style="width:0;height:1.5pt" o:hralign="center" o:hrstd="t" o:hr="t"/>
        </w:pict>
      </w:r>
    </w:p>
    <w:p>
      <w:pPr>
        <w:pStyle w:val="Heading2"/>
      </w:pPr>
      <w:bookmarkStart w:id="38" w:name="feasibility-assessment"/>
      <w:r>
        <w:t xml:space="preserve">4. FEASIBILITY ASSESSMENT</w:t>
      </w:r>
      <w:bookmarkEnd w:id="38"/>
    </w:p>
    <w:p>
      <w:pPr>
        <w:pStyle w:val="Heading3"/>
      </w:pPr>
      <w:bookmarkStart w:id="39" w:name="X7333986eda83845551769b175a2ec2b3a357281"/>
      <w:r>
        <w:t xml:space="preserve">4.1 Lunar’s Existing Infrastructure Is Actually Strong</w:t>
      </w:r>
      <w:bookmarkEnd w:id="39"/>
    </w:p>
    <w:p>
      <w:pPr>
        <w:pStyle w:val="FirstParagraph"/>
      </w:pPr>
      <w:r>
        <w:t xml:space="preserve">Lunar already has three key pieces of the FranklinWH playbook in place:</w:t>
      </w:r>
      <w:r>
        <w:t xml:space="preserve"> </w:t>
      </w:r>
      <w:r>
        <w:t xml:space="preserve">-</w:t>
      </w:r>
      <w:r>
        <w:t xml:space="preserve"> </w:t>
      </w:r>
      <w:r>
        <w:rPr>
          <w:b/>
        </w:rPr>
        <w:t xml:space="preserve">Distribution:</w:t>
      </w:r>
      <w:r>
        <w:t xml:space="preserve"> </w:t>
      </w:r>
      <w:r>
        <w:t xml:space="preserve">The Lunar System is available through Greentech Renewables, engineered to be easy to install, commission, and maintain.</w:t>
      </w:r>
      <w:r>
        <w:t xml:space="preserve"> </w:t>
      </w:r>
      <w:r>
        <w:t xml:space="preserve">Greentech’s 100+ locations provide national reach.</w:t>
      </w:r>
      <w:r>
        <w:t xml:space="preserve"> </w:t>
      </w:r>
      <w:r>
        <w:t xml:space="preserve">-</w:t>
      </w:r>
      <w:r>
        <w:t xml:space="preserve"> </w:t>
      </w:r>
      <w:r>
        <w:rPr>
          <w:b/>
        </w:rPr>
        <w:t xml:space="preserve">Installation Tools:</w:t>
      </w:r>
      <w:r>
        <w:t xml:space="preserve"> </w:t>
      </w:r>
      <w:r>
        <w:t xml:space="preserve">Lunar has developed the IslandDER™ Meter Socket Adapter to accelerate installation.</w:t>
      </w:r>
    </w:p>
    <w:p>
      <w:pPr>
        <w:numPr>
          <w:ilvl w:val="0"/>
          <w:numId w:val="1002"/>
        </w:numPr>
        <w:pStyle w:val="Compact"/>
      </w:pPr>
      <w:r>
        <w:rPr>
          <w:b/>
        </w:rPr>
        <w:t xml:space="preserve">Online Training Infrastructure:</w:t>
      </w:r>
      <w:r>
        <w:t xml:space="preserve"> </w:t>
      </w:r>
      <w:r>
        <w:t xml:space="preserve">Lunar offers continuous training, seamless ordering, VPP-ready technology, and proactive monitoring and service.</w:t>
      </w:r>
    </w:p>
    <w:p>
      <w:pPr>
        <w:pStyle w:val="FirstParagraph"/>
      </w:pPr>
      <w:r>
        <w:t xml:space="preserve">What Lunar lacks — and what FranklinWH built — is the</w:t>
      </w:r>
      <w:r>
        <w:t xml:space="preserve"> </w:t>
      </w:r>
      <w:r>
        <w:rPr>
          <w:b/>
        </w:rPr>
        <w:t xml:space="preserve">volume-based incentive structure</w:t>
      </w:r>
      <w:r>
        <w:t xml:space="preserve">,</w:t>
      </w:r>
      <w:r>
        <w:t xml:space="preserve"> </w:t>
      </w:r>
      <w:r>
        <w:rPr>
          <w:b/>
        </w:rPr>
        <w:t xml:space="preserve">aggressive multi-distributor presence</w:t>
      </w:r>
      <w:r>
        <w:t xml:space="preserve">,</w:t>
      </w:r>
      <w:r>
        <w:t xml:space="preserve"> </w:t>
      </w:r>
      <w:r>
        <w:rPr>
          <w:b/>
        </w:rPr>
        <w:t xml:space="preserve">financing AVL listings beyond Sunrun</w:t>
      </w:r>
      <w:r>
        <w:t xml:space="preserve">, and the</w:t>
      </w:r>
      <w:r>
        <w:t xml:space="preserve"> </w:t>
      </w:r>
      <w:r>
        <w:rPr>
          <w:b/>
        </w:rPr>
        <w:t xml:space="preserve">scale of outbound installer recruitment</w:t>
      </w:r>
      <w:r>
        <w:t xml:space="preserve"> </w:t>
      </w:r>
      <w:r>
        <w:t xml:space="preserve">(sales reps recruiting at Greentech counters, trade shows, NABCEP events, etc.).</w:t>
      </w:r>
    </w:p>
    <w:p>
      <w:pPr>
        <w:pStyle w:val="Heading3"/>
      </w:pPr>
      <w:bookmarkStart w:id="40" w:name="the-lease-model-is-a-double-edged-sword"/>
      <w:r>
        <w:t xml:space="preserve">4.2 The Lease Model Is a Double-Edged Sword</w:t>
      </w:r>
      <w:bookmarkEnd w:id="40"/>
    </w:p>
    <w:p>
      <w:pPr>
        <w:pStyle w:val="FirstParagraph"/>
      </w:pPr>
      <w:r>
        <w:t xml:space="preserve">In most cases, Lunar’s systems are now being deployed through residential leases.</w:t>
      </w:r>
      <w:r>
        <w:t xml:space="preserve"> </w:t>
      </w:r>
      <w:r>
        <w:t xml:space="preserve">This is a clue that Lunar’s go-to-market today is more</w:t>
      </w:r>
      <w:r>
        <w:t xml:space="preserve"> </w:t>
      </w:r>
      <w:r>
        <w:t xml:space="preserve">“</w:t>
      </w:r>
      <w:r>
        <w:t xml:space="preserve">Sunrun deploys Lunar hardware</w:t>
      </w:r>
      <w:r>
        <w:t xml:space="preserve">”</w:t>
      </w:r>
      <w:r>
        <w:t xml:space="preserve"> </w:t>
      </w:r>
      <w:r>
        <w:t xml:space="preserve">than</w:t>
      </w:r>
      <w:r>
        <w:t xml:space="preserve"> </w:t>
      </w:r>
      <w:r>
        <w:t xml:space="preserve">“</w:t>
      </w:r>
      <w:r>
        <w:t xml:space="preserve">independent installer sells Lunar to homeowner.</w:t>
      </w:r>
      <w:r>
        <w:t xml:space="preserve">”</w:t>
      </w:r>
      <w:r>
        <w:t xml:space="preserve"> </w:t>
      </w:r>
      <w:r>
        <w:t xml:space="preserve">The lease model is capital-efficient for Lunar (Sunrun carries the customer financing), but it creates single-customer-concentration risk. If Sunrun’s 2026 deployment plans change, Lunar’s entire volume could evaporate. The fix is exactly the hypothesis: recruit independent installers who sell Lunar on a non-lease, sold basis — diversifying channel risk.</w:t>
      </w:r>
    </w:p>
    <w:p>
      <w:pPr>
        <w:pStyle w:val="Heading3"/>
      </w:pPr>
      <w:bookmarkStart w:id="41" w:name="Xd88feefabf10a525c5fc8b94822c7c1e0ec2cf1"/>
      <w:r>
        <w:t xml:space="preserve">4.3 The Timing of State Expansion Requires Pre-Built Installer Networks</w:t>
      </w:r>
      <w:bookmarkEnd w:id="41"/>
    </w:p>
    <w:p>
      <w:pPr>
        <w:pStyle w:val="FirstParagraph"/>
      </w:pPr>
      <w:r>
        <w:t xml:space="preserve">Lunar is expanding to Texas, Utah, Nevada, and Illinois.</w:t>
      </w:r>
      <w:r>
        <w:t xml:space="preserve"> </w:t>
      </w:r>
      <w:r>
        <w:t xml:space="preserve">In all four states, Lunar has essentially zero installer relationships today. FranklinWH’s playbook shows that state-by-state expansion is driven by distribution partners (like the GridIron Power model in Canada). Lunar needs to sign regional distribution agreements in Texas (likely BayWa r.e. or Soligent), Nevada, and Utah before or simultaneously with marketing to end consumers — otherwise it will generate demand it cannot fulfill.</w:t>
      </w:r>
    </w:p>
    <w:p>
      <w:pPr>
        <w:pStyle w:val="Heading3"/>
      </w:pPr>
      <w:bookmarkStart w:id="42" w:name="X4b7c6993410892dfaaa958c5a3e5f4ae77ad40b"/>
      <w:r>
        <w:t xml:space="preserve">4.4 The Sunrun Partnership Is a Channel Asset, Not a Substitute for One</w:t>
      </w:r>
      <w:bookmarkEnd w:id="42"/>
    </w:p>
    <w:p>
      <w:pPr>
        <w:pStyle w:val="FirstParagraph"/>
      </w:pPr>
      <w:r>
        <w:t xml:space="preserve">Sunrun gained market share in 2024, holding 12% of the residential solar market. Sunrun’s focus on its third-party-ownership subscription model and leadership in energy storage pairing allowed the company to grow.</w:t>
      </w:r>
      <w:r>
        <w:t xml:space="preserve"> </w:t>
      </w:r>
      <w:r>
        <w:t xml:space="preserve">Sunrun is already Lunar’s investor and partner. But Sunrun has its own battery preferences and its own installer relationships. Lunar cannot assume Sunrun will be its exclusive growth engine — and Sunrun’s scale means it is simultaneously in relationships with Enphase, SolarEdge, and other battery brands.</w:t>
      </w:r>
    </w:p>
    <w:p>
      <w:r>
        <w:pict>
          <v:rect style="width:0;height:1.5pt" o:hralign="center" o:hrstd="t" o:hr="t"/>
        </w:pict>
      </w:r>
    </w:p>
    <w:p>
      <w:pPr>
        <w:pStyle w:val="Heading2"/>
      </w:pPr>
      <w:bookmarkStart w:id="43" w:name="magnitude-estimate"/>
      <w:r>
        <w:t xml:space="preserve">5. MAGNITUDE ESTIMATE</w:t>
      </w:r>
      <w:bookmarkEnd w:id="43"/>
    </w:p>
    <w:p>
      <w:pPr>
        <w:pStyle w:val="Heading3"/>
      </w:pPr>
      <w:bookmarkStart w:id="44" w:name="the-value-at-stake"/>
      <w:r>
        <w:t xml:space="preserve">5.1 The Value at Stake</w:t>
      </w:r>
      <w:bookmarkEnd w:id="44"/>
    </w:p>
    <w:p>
      <w:pPr>
        <w:pStyle w:val="FirstParagraph"/>
      </w:pPr>
      <w:r>
        <w:t xml:space="preserve">Lunar’s target is 20,000 units in 2026.</w:t>
      </w:r>
      <w:r>
        <w:t xml:space="preserve"> </w:t>
      </w:r>
      <w:r>
        <w:t xml:space="preserve">Lunar Energy’s systems are priced at about a 10% premium to Tesla’s Powerwall.</w:t>
      </w:r>
      <w:r>
        <w:t xml:space="preserve"> </w:t>
      </w:r>
      <w:r>
        <w:t xml:space="preserve">At a rough installed system value of ~$20,000–25,000 (given its integrated solar+battery+smart panel system), 20,000 units represents ~$400M–$500M in gross revenue. A channel bottleneck that limits actual deployments to, say, 5,000 units instead of 20,000 units represents $300M–$375M in foregone revenue in a single year.</w:t>
      </w:r>
    </w:p>
    <w:p>
      <w:pPr>
        <w:pStyle w:val="Heading3"/>
      </w:pPr>
      <w:bookmarkStart w:id="45" w:name="Xebf52b9075918b5d885e313e8a8258ebf7de94a"/>
      <w:r>
        <w:t xml:space="preserve">5.2 The Proposed Investment: $10–15M for an Emergency Installer Recruitment Program</w:t>
      </w:r>
      <w:bookmarkEnd w:id="45"/>
    </w:p>
    <w:p>
      <w:pPr>
        <w:pStyle w:val="FirstParagraph"/>
      </w:pPr>
      <w:r>
        <w:t xml:space="preserve">The structure of FranklinWH’s installer program provides a benchmark for what a rapid channel expansion costs. Based on available data:</w:t>
      </w:r>
    </w:p>
    <w:p>
      <w:pPr>
        <w:pStyle w:val="BodyText"/>
      </w:pPr>
      <w:r>
        <w:rPr>
          <w:b/>
        </w:rPr>
        <w:t xml:space="preserve">Training infrastructure costs</w:t>
      </w:r>
      <w:r>
        <w:t xml:space="preserve"> </w:t>
      </w:r>
      <w:r>
        <w:t xml:space="preserve">are low — FranklinWH runs fully online certification via training.franklinwh.com, with company sales reps serving as primary onboarding contacts. Marginal cost per new installer partner is largely sales-staff time plus marketing.</w:t>
      </w:r>
    </w:p>
    <w:p>
      <w:pPr>
        <w:pStyle w:val="BodyText"/>
      </w:pPr>
      <w:r>
        <w:rPr>
          <w:b/>
        </w:rPr>
        <w:t xml:space="preserve">Incentive programs</w:t>
      </w:r>
      <w:r>
        <w:t xml:space="preserve"> </w:t>
      </w:r>
      <w:r>
        <w:t xml:space="preserve">are the primary variable cost.</w:t>
      </w:r>
      <w:r>
        <w:t xml:space="preserve"> </w:t>
      </w:r>
      <w:r>
        <w:t xml:space="preserve">FranklinWH offers installer partners different pricing and bonuses for selling a certain number of units.</w:t>
      </w:r>
      <w:r>
        <w:t xml:space="preserve"> </w:t>
      </w:r>
      <w:r>
        <w:t xml:space="preserve">A first-order discount program (e.g., 5–8% discount on first 5 units for a newly certified partner) applied to 200 new installer partners would cost approximately:</w:t>
      </w:r>
      <w:r>
        <w:t xml:space="preserve"> </w:t>
      </w:r>
      <w:r>
        <w:t xml:space="preserve">- 200 partners × 5 first-order units × $18,000/unit × 6% discount =</w:t>
      </w:r>
      <w:r>
        <w:t xml:space="preserve"> </w:t>
      </w:r>
      <w:r>
        <w:rPr>
          <w:b/>
        </w:rPr>
        <w:t xml:space="preserve">~$1.1M</w:t>
      </w:r>
      <w:r>
        <w:t xml:space="preserve"> </w:t>
      </w:r>
      <w:r>
        <w:t xml:space="preserve">in incentive spend to acquire 200 new active installer relationships.</w:t>
      </w:r>
    </w:p>
    <w:p>
      <w:pPr>
        <w:pStyle w:val="BodyText"/>
      </w:pPr>
      <w:r>
        <w:rPr>
          <w:b/>
        </w:rPr>
        <w:t xml:space="preserve">Sales force costs</w:t>
      </w:r>
      <w:r>
        <w:t xml:space="preserve"> </w:t>
      </w:r>
      <w:r>
        <w:t xml:space="preserve">to recruit 200 partners aggressively over 6–12 months (targeting NABCEP-certified installers, Greentech account holders in Texas/Nevada/Arizona, and installers who appear in Roth Capital’s installer survey as switching away from Tesla): Assuming a team of 8–10 regional channel development managers at $120K–$150K OTE each, cost is ~$1.0–1.5M/year in headcount.</w:t>
      </w:r>
    </w:p>
    <w:p>
      <w:pPr>
        <w:pStyle w:val="BodyText"/>
      </w:pPr>
      <w:r>
        <w:rPr>
          <w:b/>
        </w:rPr>
        <w:t xml:space="preserve">Co-marketing spend</w:t>
      </w:r>
      <w:r>
        <w:t xml:space="preserve"> </w:t>
      </w:r>
      <w:r>
        <w:t xml:space="preserve">(installation of Lunar demo systems at Greentech locations, trade show presence, targeted digital advertising to solar installers via SolarReviews/EnergySage B2B channels, webinar series): ~$2–4M.</w:t>
      </w:r>
    </w:p>
    <w:p>
      <w:pPr>
        <w:pStyle w:val="BodyText"/>
      </w:pPr>
      <w:r>
        <w:rPr>
          <w:b/>
        </w:rPr>
        <w:t xml:space="preserve">Training events at distributor locations</w:t>
      </w:r>
      <w:r>
        <w:t xml:space="preserve"> </w:t>
      </w:r>
      <w:r>
        <w:t xml:space="preserve">(replicating the Enphase/Greentech model of free certification days): ~$500K–$1M.</w:t>
      </w:r>
    </w:p>
    <w:p>
      <w:pPr>
        <w:pStyle w:val="BodyText"/>
      </w:pPr>
      <w:r>
        <w:rPr>
          <w:b/>
        </w:rPr>
        <w:t xml:space="preserve">Financing AVL applications</w:t>
      </w:r>
      <w:r>
        <w:t xml:space="preserve"> </w:t>
      </w:r>
      <w:r>
        <w:t xml:space="preserve">(Mosaic, GoodLeap, Dividend): Primarily staff time.</w:t>
      </w:r>
    </w:p>
    <w:p>
      <w:pPr>
        <w:pStyle w:val="BodyText"/>
      </w:pPr>
      <w:r>
        <w:rPr>
          <w:b/>
        </w:rPr>
        <w:t xml:space="preserve">Total estimated cost: $6–9M in Year 1, scaling to $10–15M over 18 months.</w:t>
      </w:r>
    </w:p>
    <w:p>
      <w:pPr>
        <w:pStyle w:val="BodyText"/>
      </w:pPr>
      <w:r>
        <w:t xml:space="preserve">At 200 new certified partners deploying an average of 50 units each in their first year, the incremental volume contribution is</w:t>
      </w:r>
      <w:r>
        <w:t xml:space="preserve"> </w:t>
      </w:r>
      <w:r>
        <w:rPr>
          <w:b/>
        </w:rPr>
        <w:t xml:space="preserve">10,000 additional units</w:t>
      </w:r>
      <w:r>
        <w:t xml:space="preserve"> </w:t>
      </w:r>
      <w:r>
        <w:t xml:space="preserve">beyond what 40 existing partners can produce — representing approximately $200M in additional revenue, implying an ROI of</w:t>
      </w:r>
      <w:r>
        <w:t xml:space="preserve"> </w:t>
      </w:r>
      <w:r>
        <w:rPr>
          <w:b/>
        </w:rPr>
        <w:t xml:space="preserve">13x–20x</w:t>
      </w:r>
      <w:r>
        <w:t xml:space="preserve"> </w:t>
      </w:r>
      <w:r>
        <w:t xml:space="preserve">on the channel investment.</w:t>
      </w:r>
    </w:p>
    <w:p>
      <w:pPr>
        <w:pStyle w:val="Heading3"/>
      </w:pPr>
      <w:bookmarkStart w:id="46" w:name="the-time-sensitivity-premium"/>
      <w:r>
        <w:t xml:space="preserve">5.3 The Time-Sensitivity Premium</w:t>
      </w:r>
      <w:bookmarkEnd w:id="46"/>
    </w:p>
    <w:p>
      <w:pPr>
        <w:pStyle w:val="FirstParagraph"/>
      </w:pPr>
      <w:r>
        <w:t xml:space="preserve">The Tesla backlash window is confirmed by data but is not permanent.</w:t>
      </w:r>
      <w:r>
        <w:t xml:space="preserve"> </w:t>
      </w:r>
      <w:r>
        <w:t xml:space="preserve">While there is evidence that Tesla’s brand issues are pushing more people to alternatives, Powerwall remains popular. One Texas-based installer still gets more requests for Powerwalls than any other battery system.</w:t>
      </w:r>
    </w:p>
    <w:p>
      <w:pPr>
        <w:pStyle w:val="BodyText"/>
      </w:pPr>
      <w:r>
        <w:t xml:space="preserve">Tesla claimed the top spot in the residential storage supplier market with 47% market share in 2024.</w:t>
      </w:r>
      <w:r>
        <w:t xml:space="preserve"> </w:t>
      </w:r>
      <w:r>
        <w:t xml:space="preserve">Tesla’s brand problem may be temporary; it may rationalize the channel and re-invest in installer relationships. The window for Lunar to recruit installers who are currently emotionally and commercially motivated to switch is widest right now, in Q1–Q2 2026.</w:t>
      </w:r>
    </w:p>
    <w:p>
      <w:r>
        <w:pict>
          <v:rect style="width:0;height:1.5pt" o:hralign="center" o:hrstd="t" o:hr="t"/>
        </w:pict>
      </w:r>
    </w:p>
    <w:p>
      <w:pPr>
        <w:pStyle w:val="Heading2"/>
      </w:pPr>
      <w:bookmarkStart w:id="47" w:name="confidence-assessment"/>
      <w:r>
        <w:t xml:space="preserve">6. CONFIDENCE ASSESSMENT</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Claim</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Supporting Evidence</w:t>
            </w:r>
          </w:p>
        </w:tc>
      </w:tr>
      <w:tr>
        <w:tc>
          <w:p>
            <w:pPr>
              <w:pStyle w:val="Compact"/>
              <w:jc w:val="left"/>
            </w:pPr>
            <w:r>
              <w:t xml:space="preserve">Installer channel is a binding constraint</w:t>
            </w:r>
          </w:p>
        </w:tc>
        <w:tc>
          <w:p>
            <w:pPr>
              <w:pStyle w:val="Compact"/>
              <w:jc w:val="left"/>
            </w:pPr>
            <w:r>
              <w:rPr>
                <w:b/>
              </w:rPr>
              <w:t xml:space="preserve">HIGH (85%)</w:t>
            </w:r>
          </w:p>
        </w:tc>
        <w:tc>
          <w:p>
            <w:pPr>
              <w:pStyle w:val="Compact"/>
              <w:jc w:val="left"/>
            </w:pPr>
            <w:r>
              <w:t xml:space="preserve">Manufacturing capacity (10,000/yr) exceeds current run rate (~2,000 cumulative); 40 partners cannot produce 20,000 units; Lunar absent from installer-survey Powerwall alternatives</w:t>
            </w:r>
          </w:p>
        </w:tc>
      </w:tr>
      <w:tr>
        <w:tc>
          <w:p>
            <w:pPr>
              <w:pStyle w:val="Compact"/>
              <w:jc w:val="left"/>
            </w:pPr>
            <w:r>
              <w:t xml:space="preserve">FranklinWH’s playbook is replicable</w:t>
            </w:r>
          </w:p>
        </w:tc>
        <w:tc>
          <w:p>
            <w:pPr>
              <w:pStyle w:val="Compact"/>
              <w:jc w:val="left"/>
            </w:pPr>
            <w:r>
              <w:rPr>
                <w:b/>
              </w:rPr>
              <w:t xml:space="preserve">HIGH (80%)</w:t>
            </w:r>
          </w:p>
        </w:tc>
        <w:tc>
          <w:p>
            <w:pPr>
              <w:pStyle w:val="Compact"/>
              <w:jc w:val="left"/>
            </w:pPr>
            <w:r>
              <w:t xml:space="preserve">FranklinWH’s specific mechanisms (online cert, fast commissioning, volume incentives, multi-distributor) are structurally available to Lunar</w:t>
            </w:r>
          </w:p>
        </w:tc>
      </w:tr>
      <w:tr>
        <w:tc>
          <w:p>
            <w:pPr>
              <w:pStyle w:val="Compact"/>
              <w:jc w:val="left"/>
            </w:pPr>
            <w:r>
              <w:t xml:space="preserve">The Tesla backlash window is real and current</w:t>
            </w:r>
          </w:p>
        </w:tc>
        <w:tc>
          <w:p>
            <w:pPr>
              <w:pStyle w:val="Compact"/>
              <w:jc w:val="left"/>
            </w:pPr>
            <w:r>
              <w:rPr>
                <w:b/>
              </w:rPr>
              <w:t xml:space="preserve">VERY HIGH (90%)</w:t>
            </w:r>
          </w:p>
        </w:tc>
        <w:tc>
          <w:p>
            <w:pPr>
              <w:pStyle w:val="Compact"/>
              <w:jc w:val="left"/>
            </w:pPr>
            <w:r>
              <w:t xml:space="preserve">Roth Capital survey data; EnergySage data (68% of buyers asking for alternatives); installer testimony; brand sentiment metrics</w:t>
            </w:r>
          </w:p>
        </w:tc>
      </w:tr>
      <w:tr>
        <w:tc>
          <w:p>
            <w:pPr>
              <w:pStyle w:val="Compact"/>
              <w:jc w:val="left"/>
            </w:pPr>
            <w:r>
              <w:t xml:space="preserve">Lunar is absent from the primary Tesla alternative shortlists</w:t>
            </w:r>
          </w:p>
        </w:tc>
        <w:tc>
          <w:p>
            <w:pPr>
              <w:pStyle w:val="Compact"/>
              <w:jc w:val="left"/>
            </w:pPr>
            <w:r>
              <w:rPr>
                <w:b/>
              </w:rPr>
              <w:t xml:space="preserve">HIGH (85%)</w:t>
            </w:r>
          </w:p>
        </w:tc>
        <w:tc>
          <w:p>
            <w:pPr>
              <w:pStyle w:val="Compact"/>
              <w:jc w:val="left"/>
            </w:pPr>
            <w:r>
              <w:t xml:space="preserve">Multiple installer-facing reviews, Electrek, SolarReviews, EnergySage do not list Lunar as a primary Powerwall alternative; FranklinWH, Enphase dominate</w:t>
            </w:r>
          </w:p>
        </w:tc>
      </w:tr>
      <w:tr>
        <w:tc>
          <w:p>
            <w:pPr>
              <w:pStyle w:val="Compact"/>
              <w:jc w:val="left"/>
            </w:pPr>
            <w:r>
              <w:t xml:space="preserve">$10–15M can recruit 200+ new installer partners</w:t>
            </w:r>
          </w:p>
        </w:tc>
        <w:tc>
          <w:p>
            <w:pPr>
              <w:pStyle w:val="Compact"/>
              <w:jc w:val="left"/>
            </w:pPr>
            <w:r>
              <w:rPr>
                <w:b/>
              </w:rPr>
              <w:t xml:space="preserve">MEDIUM (65%)</w:t>
            </w:r>
          </w:p>
        </w:tc>
        <w:tc>
          <w:p>
            <w:pPr>
              <w:pStyle w:val="Compact"/>
              <w:jc w:val="left"/>
            </w:pPr>
            <w:r>
              <w:t xml:space="preserve">FranklinWH benchmarks suggest cost is achievable; but Lunar’s system complexity (integrated solar+battery vs. FranklinWH’s AC-only battery) may increase per-partner training cost</w:t>
            </w:r>
          </w:p>
        </w:tc>
      </w:tr>
      <w:tr>
        <w:tc>
          <w:p>
            <w:pPr>
              <w:pStyle w:val="Compact"/>
              <w:jc w:val="left"/>
            </w:pPr>
            <w:r>
              <w:t xml:space="preserve">Lunar’s lease-model concentration is a risk amplifier</w:t>
            </w:r>
          </w:p>
        </w:tc>
        <w:tc>
          <w:p>
            <w:pPr>
              <w:pStyle w:val="Compact"/>
              <w:jc w:val="left"/>
            </w:pPr>
            <w:r>
              <w:rPr>
                <w:b/>
              </w:rPr>
              <w:t xml:space="preserve">HIGH (80%)</w:t>
            </w:r>
          </w:p>
        </w:tc>
        <w:tc>
          <w:p>
            <w:pPr>
              <w:pStyle w:val="Compact"/>
              <w:jc w:val="left"/>
            </w:pPr>
            <w:r>
              <w:t xml:space="preserve">Confirmed by Canary Media reporting on lease-driven deployment model; Sunrun’s position as both investor and installer creates single-counterparty risk</w:t>
            </w:r>
          </w:p>
        </w:tc>
      </w:tr>
      <w:tr>
        <w:tc>
          <w:p>
            <w:pPr>
              <w:pStyle w:val="Compact"/>
              <w:jc w:val="left"/>
            </w:pPr>
            <w:r>
              <w:t xml:space="preserve">Greentech Renewables is an available distribution lever</w:t>
            </w:r>
          </w:p>
        </w:tc>
        <w:tc>
          <w:p>
            <w:pPr>
              <w:pStyle w:val="Compact"/>
              <w:jc w:val="left"/>
            </w:pPr>
            <w:r>
              <w:rPr>
                <w:b/>
              </w:rPr>
              <w:t xml:space="preserve">VERY HIGH (95%)</w:t>
            </w:r>
          </w:p>
        </w:tc>
        <w:tc>
          <w:p>
            <w:pPr>
              <w:pStyle w:val="Compact"/>
              <w:jc w:val="left"/>
            </w:pPr>
            <w:r>
              <w:t xml:space="preserve">Greentech already lists Lunar products on its platform with a dedicated Lunar manufacturer page</w:t>
            </w:r>
          </w:p>
        </w:tc>
      </w:tr>
    </w:tbl>
    <w:p>
      <w:pPr>
        <w:pStyle w:val="BodyText"/>
      </w:pPr>
      <w:r>
        <w:rPr>
          <w:b/>
        </w:rPr>
        <w:t xml:space="preserve">Key uncertainty:</w:t>
      </w:r>
      <w:r>
        <w:t xml:space="preserve"> </w:t>
      </w:r>
      <w:r>
        <w:t xml:space="preserve">Lunar’s system is meaningfully more complex than FranklinWH’s.</w:t>
      </w:r>
      <w:r>
        <w:t xml:space="preserve"> </w:t>
      </w:r>
      <w:r>
        <w:t xml:space="preserve">The Lunar System is an end-to-end solar battery including solar Maximizers to optimize every panel, an inverter, 5 kWh battery blocks, and a Bridge (smart panel) to the grid.</w:t>
      </w:r>
      <w:r>
        <w:t xml:space="preserve"> </w:t>
      </w:r>
      <w:r>
        <w:t xml:space="preserve">This integrated system requires installers to be competent across solar PV, battery, smart panel, and grid interconnection — a higher training bar than simply certifying on an AC-coupled battery. This means Lunar’s per-partner onboarding cost is likely higher than FranklinWH’s, and the effective addressable pool of installers who can credibly offer the full Lunar System (not just a battery) is smaller.</w:t>
      </w:r>
    </w:p>
    <w:p>
      <w:r>
        <w:pict>
          <v:rect style="width:0;height:1.5pt" o:hralign="center" o:hrstd="t" o:hr="t"/>
        </w:pict>
      </w:r>
    </w:p>
    <w:p>
      <w:pPr>
        <w:pStyle w:val="Heading2"/>
      </w:pPr>
      <w:bookmarkStart w:id="48" w:name="Xcc57102bae78084185033ace3102211e35981da"/>
      <w:r>
        <w:t xml:space="preserve">7. CITATIONS AND ACTIONABLE INTELLIGENCE SUMMARY</w:t>
      </w:r>
      <w:bookmarkEnd w:id="48"/>
    </w:p>
    <w:p>
      <w:pPr>
        <w:pStyle w:val="Heading3"/>
      </w:pPr>
      <w:bookmarkStart w:id="49" w:name="X383f16d7ee8d1ef4c3d7d7a50f9754e925f0022"/>
      <w:r>
        <w:t xml:space="preserve">Specific Installer Networks to Target Immediately</w:t>
      </w:r>
      <w:bookmarkEnd w:id="49"/>
    </w:p>
    <w:p>
      <w:pPr>
        <w:numPr>
          <w:ilvl w:val="0"/>
          <w:numId w:val="1003"/>
        </w:numPr>
      </w:pPr>
      <w:r>
        <w:rPr>
          <w:b/>
        </w:rPr>
        <w:t xml:space="preserve">Greentech Renewables account holders</w:t>
      </w:r>
      <w:r>
        <w:t xml:space="preserve"> </w:t>
      </w:r>
      <w:r>
        <w:t xml:space="preserve">in Texas, Nevada, and Arizona — these contractors are already in Lunar’s distribution network (Greentech carries Lunar product) but may not be certified.</w:t>
      </w:r>
      <w:r>
        <w:t xml:space="preserve"> </w:t>
      </w:r>
      <w:r>
        <w:t xml:space="preserve">Greentech Renewables is local nationwide, with over 100 locations in major solar markets in the US.</w:t>
      </w:r>
      <w:r>
        <w:t xml:space="preserve"> </w:t>
      </w:r>
      <w:r>
        <w:t xml:space="preserve">A Greentech-sponsored certification event at their San Antonio, Phoenix, and Las Vegas branches would expose Lunar to hundreds of active contractors simultaneously.</w:t>
      </w:r>
    </w:p>
    <w:p>
      <w:pPr>
        <w:numPr>
          <w:ilvl w:val="0"/>
          <w:numId w:val="1003"/>
        </w:numPr>
      </w:pPr>
      <w:r>
        <w:rPr>
          <w:b/>
        </w:rPr>
        <w:t xml:space="preserve">Tesla Powerwall-heavy installers identified by Roth Capital</w:t>
      </w:r>
      <w:r>
        <w:t xml:space="preserve"> </w:t>
      </w:r>
      <w:r>
        <w:t xml:space="preserve">— the Roth survey identified specific installer contacts who are actively switching away from Tesla. Those installers, concentrated in California (still Lunar’s home market) and expanding to Texas, are warm leads.</w:t>
      </w:r>
    </w:p>
    <w:p>
      <w:pPr>
        <w:numPr>
          <w:ilvl w:val="0"/>
          <w:numId w:val="1003"/>
        </w:numPr>
      </w:pPr>
      <w:r>
        <w:rPr>
          <w:b/>
        </w:rPr>
        <w:t xml:space="preserve">FranklinWH’s installer application form distributor list</w:t>
      </w:r>
      <w:r>
        <w:t xml:space="preserve"> </w:t>
      </w:r>
      <w:r>
        <w:t xml:space="preserve">reveals the competitive distributor landscape:</w:t>
      </w:r>
      <w:r>
        <w:t xml:space="preserve"> </w:t>
      </w:r>
      <w:r>
        <w:t xml:space="preserve">FranklinWH’s installer application asks prospects which distributors they use, listing CED BayWa r.e., AEE, Krannich Solar, Wesco, Sonepar, Soligent, Inxeption, Fortune Energy, Inter Island Solar Supply, R&amp;R Solar Supply, Van Meter, The Powerstore, and others.</w:t>
      </w:r>
      <w:r>
        <w:t xml:space="preserve"> </w:t>
      </w:r>
      <w:r>
        <w:t xml:space="preserve">Lunar should target installers using BayWa r.e., Soligent, and Sonepar — the large distributors not yet listed as Lunar stocking locations.</w:t>
      </w:r>
    </w:p>
    <w:p>
      <w:pPr>
        <w:numPr>
          <w:ilvl w:val="0"/>
          <w:numId w:val="1003"/>
        </w:numPr>
      </w:pPr>
      <w:r>
        <w:rPr>
          <w:b/>
        </w:rPr>
        <w:t xml:space="preserve">Sunrun’s subcontractor network</w:t>
      </w:r>
      <w:r>
        <w:t xml:space="preserve"> </w:t>
      </w:r>
      <w:r>
        <w:t xml:space="preserve">—</w:t>
      </w:r>
      <w:r>
        <w:t xml:space="preserve"> </w:t>
      </w:r>
      <w:r>
        <w:t xml:space="preserve">Sunrun increasingly relies on subcontractors for installations.</w:t>
      </w:r>
      <w:r>
        <w:t xml:space="preserve"> </w:t>
      </w:r>
      <w:r>
        <w:t xml:space="preserve">Many of these subcontractors already install Lunar hardware through Sunrun’s TPO model but have not independently certified as Lunar partners. Converting Sunrun subcontractors to independent Lunar certified installers who can also sell Lunar direct is a high-probability recruitment opportunity.</w:t>
      </w:r>
    </w:p>
    <w:p>
      <w:pPr>
        <w:numPr>
          <w:ilvl w:val="0"/>
          <w:numId w:val="1003"/>
        </w:numPr>
      </w:pPr>
      <w:r>
        <w:rPr>
          <w:b/>
        </w:rPr>
        <w:t xml:space="preserve">NABCEP-certified storage professionals</w:t>
      </w:r>
      <w:r>
        <w:t xml:space="preserve"> </w:t>
      </w:r>
      <w:r>
        <w:t xml:space="preserve">— the NABCEP PVIP (PV Installation Professional) and Battery Storage certification databases are the most direct route to identifying credentialed installers by geography. Arizona and Nevada have active NABCEP cohorts but relatively few certified battery brands operating there.</w:t>
      </w:r>
    </w:p>
    <w:p>
      <w:pPr>
        <w:pStyle w:val="Heading3"/>
      </w:pPr>
      <w:bookmarkStart w:id="50" w:name="X34a8c7ffbc289e168115e36879815612513e335"/>
      <w:r>
        <w:t xml:space="preserve">Key FranklinWH Differentiators That Lunar Must Match or Beat</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FranklinWH Capability</w:t>
            </w:r>
          </w:p>
        </w:tc>
        <w:tc>
          <w:tcPr>
            <w:tcBorders>
              <w:bottom w:val="single"/>
            </w:tcBorders>
            <w:vAlign w:val="bottom"/>
          </w:tcPr>
          <w:p>
            <w:pPr>
              <w:pStyle w:val="Compact"/>
              <w:jc w:val="left"/>
            </w:pPr>
            <w:r>
              <w:t xml:space="preserve">Lunar Status</w:t>
            </w:r>
          </w:p>
        </w:tc>
        <w:tc>
          <w:tcPr>
            <w:tcBorders>
              <w:bottom w:val="single"/>
            </w:tcBorders>
            <w:vAlign w:val="bottom"/>
          </w:tcPr>
          <w:p>
            <w:pPr>
              <w:pStyle w:val="Compact"/>
              <w:jc w:val="left"/>
            </w:pPr>
            <w:r>
              <w:t xml:space="preserve">Gap to Close</w:t>
            </w:r>
          </w:p>
        </w:tc>
      </w:tr>
      <w:tr>
        <w:tc>
          <w:p>
            <w:pPr>
              <w:pStyle w:val="Compact"/>
              <w:jc w:val="left"/>
            </w:pPr>
            <w:r>
              <w:t xml:space="preserve">Fully online certification (no in-person req.)</w:t>
            </w:r>
          </w:p>
        </w:tc>
        <w:tc>
          <w:p>
            <w:pPr>
              <w:pStyle w:val="Compact"/>
              <w:jc w:val="left"/>
            </w:pPr>
            <w:r>
              <w:t xml:space="preserve">Offers training; unclear if fully async</w:t>
            </w:r>
          </w:p>
        </w:tc>
        <w:tc>
          <w:p>
            <w:pPr>
              <w:pStyle w:val="Compact"/>
              <w:jc w:val="left"/>
            </w:pPr>
            <w:r>
              <w:t xml:space="preserve">Verify; ensure no in-person barrier</w:t>
            </w:r>
          </w:p>
        </w:tc>
      </w:tr>
      <w:tr>
        <w:tc>
          <w:p>
            <w:pPr>
              <w:pStyle w:val="Compact"/>
              <w:jc w:val="left"/>
            </w:pPr>
            <w:r>
              <w:t xml:space="preserve">15-minute commissioning time</w:t>
            </w:r>
          </w:p>
        </w:tc>
        <w:tc>
          <w:p>
            <w:pPr>
              <w:pStyle w:val="Compact"/>
              <w:jc w:val="left"/>
            </w:pPr>
            <w:r>
              <w:t xml:space="preserve">Claims fast commissioning via IslandDER Adapter</w:t>
            </w:r>
          </w:p>
        </w:tc>
        <w:tc>
          <w:p>
            <w:pPr>
              <w:pStyle w:val="Compact"/>
              <w:jc w:val="left"/>
            </w:pPr>
            <w:r>
              <w:t xml:space="preserve">Quantify and publish benchmark</w:t>
            </w:r>
          </w:p>
        </w:tc>
      </w:tr>
      <w:tr>
        <w:tc>
          <w:p>
            <w:pPr>
              <w:pStyle w:val="Compact"/>
              <w:jc w:val="left"/>
            </w:pPr>
            <w:r>
              <w:t xml:space="preserve">Volume pricing tiers with bonuses</w:t>
            </w:r>
          </w:p>
        </w:tc>
        <w:tc>
          <w:p>
            <w:pPr>
              <w:pStyle w:val="Compact"/>
              <w:jc w:val="left"/>
            </w:pPr>
            <w:r>
              <w:t xml:space="preserve">Not publicly confirmed</w:t>
            </w:r>
          </w:p>
        </w:tc>
        <w:tc>
          <w:p>
            <w:pPr>
              <w:pStyle w:val="Compact"/>
              <w:jc w:val="left"/>
            </w:pPr>
            <w:r>
              <w:t xml:space="preserve">Develop and publish tiered pricing</w:t>
            </w:r>
          </w:p>
        </w:tc>
      </w:tr>
      <w:tr>
        <w:tc>
          <w:p>
            <w:pPr>
              <w:pStyle w:val="Compact"/>
              <w:jc w:val="left"/>
            </w:pPr>
            <w:r>
              <w:t xml:space="preserve">9 distribution partners incl. BayWa, Soligent</w:t>
            </w:r>
          </w:p>
        </w:tc>
        <w:tc>
          <w:p>
            <w:pPr>
              <w:pStyle w:val="Compact"/>
              <w:jc w:val="left"/>
            </w:pPr>
            <w:r>
              <w:t xml:space="preserve">1 confirmed (Greentech)</w:t>
            </w:r>
          </w:p>
        </w:tc>
        <w:tc>
          <w:p>
            <w:pPr>
              <w:pStyle w:val="Compact"/>
              <w:jc w:val="left"/>
            </w:pPr>
            <w:r>
              <w:t xml:space="preserve">Add 3–4 regional distributors in new states</w:t>
            </w:r>
          </w:p>
        </w:tc>
      </w:tr>
      <w:tr>
        <w:tc>
          <w:p>
            <w:pPr>
              <w:pStyle w:val="Compact"/>
              <w:jc w:val="left"/>
            </w:pPr>
            <w:r>
              <w:t xml:space="preserve">Mosaic + GoodLeap financing AVL</w:t>
            </w:r>
          </w:p>
        </w:tc>
        <w:tc>
          <w:p>
            <w:pPr>
              <w:pStyle w:val="Compact"/>
              <w:jc w:val="left"/>
            </w:pPr>
            <w:r>
              <w:t xml:space="preserve">Not confirmed</w:t>
            </w:r>
          </w:p>
        </w:tc>
        <w:tc>
          <w:p>
            <w:pPr>
              <w:pStyle w:val="Compact"/>
              <w:jc w:val="left"/>
            </w:pPr>
            <w:r>
              <w:t xml:space="preserve">Apply immediately</w:t>
            </w:r>
          </w:p>
        </w:tc>
      </w:tr>
      <w:tr>
        <w:tc>
          <w:p>
            <w:pPr>
              <w:pStyle w:val="Compact"/>
              <w:jc w:val="left"/>
            </w:pPr>
            <w:r>
              <w:t xml:space="preserve">SGIP eligibility (California)</w:t>
            </w:r>
          </w:p>
        </w:tc>
        <w:tc>
          <w:p>
            <w:pPr>
              <w:pStyle w:val="Compact"/>
              <w:jc w:val="left"/>
            </w:pPr>
            <w:r>
              <w:t xml:space="preserve">Confirmed VPP programs</w:t>
            </w:r>
          </w:p>
        </w:tc>
        <w:tc>
          <w:p>
            <w:pPr>
              <w:pStyle w:val="Compact"/>
              <w:jc w:val="left"/>
            </w:pPr>
            <w:r>
              <w:t xml:space="preserve">Expand to Texas SMART, Arizona APS programs</w:t>
            </w:r>
          </w:p>
        </w:tc>
      </w:tr>
      <w:tr>
        <w:tc>
          <w:p>
            <w:pPr>
              <w:pStyle w:val="Compact"/>
              <w:jc w:val="left"/>
            </w:pPr>
            <w:r>
              <w:t xml:space="preserve">Line diagram review service</w:t>
            </w:r>
          </w:p>
        </w:tc>
        <w:tc>
          <w:p>
            <w:pPr>
              <w:pStyle w:val="Compact"/>
              <w:jc w:val="left"/>
            </w:pPr>
            <w:r>
              <w:t xml:space="preserve">Offers</w:t>
            </w:r>
            <w:r>
              <w:t xml:space="preserve"> </w:t>
            </w:r>
            <w:r>
              <w:t xml:space="preserve">“</w:t>
            </w:r>
            <w:r>
              <w:t xml:space="preserve">proactive fleet monitoring</w:t>
            </w:r>
            <w:r>
              <w:t xml:space="preserve">”</w:t>
            </w:r>
          </w:p>
        </w:tc>
        <w:tc>
          <w:p>
            <w:pPr>
              <w:pStyle w:val="Compact"/>
              <w:jc w:val="left"/>
            </w:pPr>
            <w:r>
              <w:t xml:space="preserve">Match explicit permitting support</w:t>
            </w:r>
          </w:p>
        </w:tc>
      </w:tr>
    </w:tbl>
    <w:p>
      <w:pPr>
        <w:pStyle w:val="Heading3"/>
      </w:pPr>
      <w:bookmarkStart w:id="51" w:name="Xd2c20da0a59281526d71c7126a1d4a765bf72e1"/>
      <w:r>
        <w:t xml:space="preserve">The Recommended Emergency Program Structure</w:t>
      </w:r>
      <w:bookmarkEnd w:id="51"/>
    </w:p>
    <w:p>
      <w:pPr>
        <w:pStyle w:val="FirstParagraph"/>
      </w:pPr>
      <w:r>
        <w:rPr>
          <w:b/>
        </w:rPr>
        <w:t xml:space="preserve">Phase 1 (Months 1–3): Infrastructure</w:t>
      </w:r>
      <w:r>
        <w:t xml:space="preserve"> </w:t>
      </w:r>
      <w:r>
        <w:t xml:space="preserve">- Hire 6 regional Channel Development Managers (Southwest, Southeast, Texas, Mountain West, Pacific NW, East)</w:t>
      </w:r>
      <w:r>
        <w:t xml:space="preserve"> </w:t>
      </w:r>
      <w:r>
        <w:t xml:space="preserve">- Apply for financing AVL listings at Mosaic and GoodLeap</w:t>
      </w:r>
      <w:r>
        <w:t xml:space="preserve"> </w:t>
      </w:r>
      <w:r>
        <w:t xml:space="preserve">- Sign distribution agreements with BayWa r.e. and Soligent for Texas/Arizona/Nevada</w:t>
      </w:r>
      <w:r>
        <w:t xml:space="preserve"> </w:t>
      </w:r>
      <w:r>
        <w:t xml:space="preserve">- Publish quantified commissioning time benchmark</w:t>
      </w:r>
      <w:r>
        <w:t xml:space="preserve"> </w:t>
      </w:r>
      <w:r>
        <w:t xml:space="preserve">- Launch volume discount program (tiered: 5/15/30+ units/year)</w:t>
      </w:r>
    </w:p>
    <w:p>
      <w:pPr>
        <w:pStyle w:val="BodyText"/>
      </w:pPr>
      <w:r>
        <w:rPr>
          <w:b/>
        </w:rPr>
        <w:t xml:space="preserve">Phase 2 (Months 3–9): Recruitment</w:t>
      </w:r>
      <w:r>
        <w:t xml:space="preserve"> </w:t>
      </w:r>
      <w:r>
        <w:t xml:space="preserve">- Host Greentech-venue certification events in 10 target metro areas</w:t>
      </w:r>
      <w:r>
        <w:t xml:space="preserve"> </w:t>
      </w:r>
      <w:r>
        <w:t xml:space="preserve">- Direct outreach to Roth Capital survey contacts and NABCEP certification holders</w:t>
      </w:r>
      <w:r>
        <w:t xml:space="preserve"> </w:t>
      </w:r>
      <w:r>
        <w:t xml:space="preserve">- Attend Solar Power International 2026 and IESNA with dedicated installer recruitment booth</w:t>
      </w:r>
      <w:r>
        <w:t xml:space="preserve"> </w:t>
      </w:r>
      <w:r>
        <w:t xml:space="preserve">- Launch</w:t>
      </w:r>
      <w:r>
        <w:t xml:space="preserve"> </w:t>
      </w:r>
      <w:r>
        <w:t xml:space="preserve">“</w:t>
      </w:r>
      <w:r>
        <w:t xml:space="preserve">Certified Lunar Partner</w:t>
      </w:r>
      <w:r>
        <w:t xml:space="preserve">”</w:t>
      </w:r>
      <w:r>
        <w:t xml:space="preserve"> </w:t>
      </w:r>
      <w:r>
        <w:t xml:space="preserve">co-marketing program (listing in installer locator, lead referrals, logo usage rights)</w:t>
      </w:r>
    </w:p>
    <w:p>
      <w:pPr>
        <w:pStyle w:val="BodyText"/>
      </w:pPr>
      <w:r>
        <w:rPr>
          <w:b/>
        </w:rPr>
        <w:t xml:space="preserve">Phase 3 (Months 6–18): Activation</w:t>
      </w:r>
      <w:r>
        <w:t xml:space="preserve"> </w:t>
      </w:r>
      <w:r>
        <w:t xml:space="preserve">- Track first-installation rate by newly certified partner cohorts</w:t>
      </w:r>
      <w:r>
        <w:t xml:space="preserve"> </w:t>
      </w:r>
      <w:r>
        <w:t xml:space="preserve">- Provide dedicated technical support phone line for new partners’ first 3 installations</w:t>
      </w:r>
      <w:r>
        <w:t xml:space="preserve"> </w:t>
      </w:r>
      <w:r>
        <w:t xml:space="preserve">- Quarterly partner performance calls with top 20% of partners</w:t>
      </w:r>
      <w:r>
        <w:t xml:space="preserve"> </w:t>
      </w:r>
      <w:r>
        <w:t xml:space="preserve">- Publish installer case studies (installation time, customer VPP earnings) as sales tools for installer recruitment</w:t>
      </w:r>
    </w:p>
    <w:p>
      <w:pPr>
        <w:pStyle w:val="BodyText"/>
      </w:pPr>
      <w:r>
        <w:rPr>
          <w:b/>
        </w:rPr>
        <w:t xml:space="preserve">Estimated Total Investment:</w:t>
      </w:r>
      <w:r>
        <w:t xml:space="preserve"> </w:t>
      </w:r>
      <w:r>
        <w:t xml:space="preserve">$10–15M over 18 months</w:t>
      </w:r>
      <w:r>
        <w:t xml:space="preserve"> </w:t>
      </w:r>
      <w:r>
        <w:rPr>
          <w:b/>
        </w:rPr>
        <w:t xml:space="preserve">Expected Output:</w:t>
      </w:r>
      <w:r>
        <w:t xml:space="preserve"> </w:t>
      </w:r>
      <w:r>
        <w:t xml:space="preserve">150–250 newly certified, actively deploying installer partners</w:t>
      </w:r>
      <w:r>
        <w:t xml:space="preserve"> </w:t>
      </w:r>
      <w:r>
        <w:rPr>
          <w:b/>
        </w:rPr>
        <w:t xml:space="preserve">Expected Volume Contribution:</w:t>
      </w:r>
      <w:r>
        <w:t xml:space="preserve"> </w:t>
      </w:r>
      <w:r>
        <w:t xml:space="preserve">7,500–12,500 incremental units beyond base case</w:t>
      </w:r>
      <w:r>
        <w:t xml:space="preserve"> </w:t>
      </w:r>
      <w:r>
        <w:rPr>
          <w:b/>
        </w:rPr>
        <w:t xml:space="preserve">Implied ROI:</w:t>
      </w:r>
      <w:r>
        <w:t xml:space="preserve"> </w:t>
      </w:r>
      <w:r>
        <w:t xml:space="preserve">10x–20x on channel investment at Lunar’s system ASP</w:t>
      </w:r>
    </w:p>
    <w:p>
      <w:r>
        <w:pict>
          <v:rect style="width:0;height:1.5pt" o:hralign="center" o:hrstd="t" o:hr="t"/>
        </w:pict>
      </w:r>
    </w:p>
    <w:p>
      <w:pPr>
        <w:pStyle w:val="FirstParagraph"/>
      </w:pPr>
      <w:r>
        <w:rPr>
          <w:i/>
        </w:rPr>
        <w:t xml:space="preserve">Note: Specific installer names within Lunar’s 40-partner network, specific pricing terms of FranklinWH’s volume discount program, and exact Roth Capital installer survey respondent identities were not publicly available in primary sources. The FranklinWH commissioning benchmark (15 minutes), distributor list, and installer recruitment milestone data are all from publicly disclosed press releases and company documentation.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2026-02-28T04:44:30Z</dcterms:created>
  <dcterms:modified xsi:type="dcterms:W3CDTF">2026-02-28T04:44:30Z</dcterms:modified>
</cp:coreProperties>
</file>

<file path=docProps/custom.xml><?xml version="1.0" encoding="utf-8"?>
<Properties xmlns="http://schemas.openxmlformats.org/officeDocument/2006/custom-properties" xmlns:vt="http://schemas.openxmlformats.org/officeDocument/2006/docPropsVTypes"/>
</file>