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is now a thorough research base. Let me compile the full structured analysis.</w:t>
      </w:r>
    </w:p>
    <w:p>
      <w:r>
        <w:pict>
          <v:rect style="width:0;height:1.5pt" o:hralign="center" o:hrstd="t" o:hr="t"/>
        </w:pict>
      </w:r>
    </w:p>
    <w:p>
      <w:pPr>
        <w:pStyle w:val="Heading1"/>
      </w:pPr>
      <w:bookmarkStart w:id="20" w:name="Xdc0ba05d685c9765a536e5131169790a19c14ba"/>
      <w:r>
        <w:t xml:space="preserve">DOE LPO Eligibility &amp; Pursuit Analysis: Lunar Energy — $150–250M Loan Facility</w:t>
      </w:r>
      <w:bookmarkEnd w:id="20"/>
    </w:p>
    <w:p>
      <w:pPr>
        <w:pStyle w:val="FirstParagraph"/>
      </w:pPr>
      <w:r>
        <w:rPr>
          <w:b/>
        </w:rPr>
        <w:t xml:space="preserve">Analyst Note:</w:t>
      </w:r>
      <w:r>
        <w:t xml:space="preserve"> </w:t>
      </w:r>
      <w:r>
        <w:rPr>
          <w:i/>
        </w:rPr>
        <w:t xml:space="preserve">All five research questions have now been investigated. Key findings are organized below in the requested framework. This assessment reflects the current regulatory environment as of February 28, 2026, which is materially different from the environment that existed when the original hypothesis was formulated.</w:t>
      </w:r>
    </w:p>
    <w:p>
      <w:r>
        <w:pict>
          <v:rect style="width:0;height:1.5pt" o:hralign="center" o:hrstd="t" o:hr="t"/>
        </w:pict>
      </w:r>
    </w:p>
    <w:p>
      <w:pPr>
        <w:pStyle w:val="Heading2"/>
      </w:pPr>
      <w:bookmarkStart w:id="21" w:name="critical-threshold-finding-read-first"/>
      <w:r>
        <w:t xml:space="preserve">⚠️ CRITICAL THRESHOLD FINDING — READ FIRST</w:t>
      </w:r>
      <w:bookmarkEnd w:id="21"/>
    </w:p>
    <w:p>
      <w:pPr>
        <w:pStyle w:val="FirstParagraph"/>
      </w:pPr>
      <w:r>
        <w:t xml:space="preserve">The ATVM program — which was Lunar Energy’s primary eligibility pathway —</w:t>
      </w:r>
      <w:r>
        <w:t xml:space="preserve"> </w:t>
      </w:r>
      <w:r>
        <w:rPr>
          <w:b/>
        </w:rPr>
        <w:t xml:space="preserve">has been repealed</w:t>
      </w:r>
      <w:r>
        <w:t xml:space="preserve">. The Title XVII Innovative Clean Energy program’s IRA-funded credit subsidy has also been rescinded. The LPO’s mandate has been fundamentally restructured under the One Big Beautiful Bill Act (OBBBA, signed July 4, 2025). This changes the analysis from</w:t>
      </w:r>
      <w:r>
        <w:t xml:space="preserve"> </w:t>
      </w:r>
      <w:r>
        <w:t xml:space="preserve">“</w:t>
      </w:r>
      <w:r>
        <w:t xml:space="preserve">should Lunar apply?</w:t>
      </w:r>
      <w:r>
        <w:t xml:space="preserve">”</w:t>
      </w:r>
      <w:r>
        <w:t xml:space="preserve"> </w:t>
      </w:r>
      <w:r>
        <w:t xml:space="preserve">to</w:t>
      </w:r>
      <w:r>
        <w:t xml:space="preserve"> </w:t>
      </w:r>
      <w:r>
        <w:t xml:space="preserve">“</w:t>
      </w:r>
      <w:r>
        <w:t xml:space="preserve">can Lunar apply at all, and under what program?</w:t>
      </w:r>
      <w:r>
        <w:t xml:space="preserve">”</w:t>
      </w:r>
    </w:p>
    <w:p>
      <w:pPr>
        <w:pStyle w:val="BodyText"/>
      </w:pPr>
      <w:r>
        <w:t xml:space="preserve">The Advanced Technology Vehicles Manufacturing (ATVM) loan program — which had supported electric vehicle, battery, and critical minerals initiatives — has been repealed entirely.</w:t>
      </w:r>
    </w:p>
    <w:p>
      <w:pPr>
        <w:pStyle w:val="BodyText"/>
      </w:pPr>
      <w:r>
        <w:t xml:space="preserve">The newly enacted One Big Beautiful Bill Act brings sweeping changes to the DOE Loan Programs Office, overhauling its authorities and reshaping its future role in energy infrastructure financing. Most notably, the law repeals the Inflation Reduction Act’s loan authority for LPO programs and replaces the Section 1706 Energy Infrastructure Reinvestment (EIR) program with a new Energy Dominance Financing authority.</w:t>
      </w:r>
    </w:p>
    <w:p>
      <w:r>
        <w:pict>
          <v:rect style="width:0;height:1.5pt" o:hralign="center" o:hrstd="t" o:hr="t"/>
        </w:pict>
      </w:r>
    </w:p>
    <w:p>
      <w:pPr>
        <w:pStyle w:val="Heading2"/>
      </w:pPr>
      <w:bookmarkStart w:id="22" w:name="evidence-for-the-hypothesis"/>
      <w:r>
        <w:t xml:space="preserve">1. EVIDENCE FOR THE HYPOTHESIS</w:t>
      </w:r>
      <w:bookmarkEnd w:id="22"/>
    </w:p>
    <w:p>
      <w:pPr>
        <w:pStyle w:val="FirstParagraph"/>
      </w:pPr>
      <w:r>
        <w:rPr>
          <w:b/>
        </w:rPr>
        <w:t xml:space="preserve">A. Lunar’s U.S.-based manufacturing creates a factual foundation for a loan pitch</w:t>
      </w:r>
    </w:p>
    <w:p>
      <w:pPr>
        <w:pStyle w:val="BodyText"/>
      </w:pPr>
      <w:r>
        <w:t xml:space="preserve">The Lunar System is designed in California and assembled in Georgia and Washington, making it eligible for clean energy investment tax credits.</w:t>
      </w:r>
      <w:r>
        <w:t xml:space="preserve"> </w:t>
      </w:r>
      <w:r>
        <w:t xml:space="preserve">The Georgia assembly footprint is the core domestic manufacturing asset that any LPO application would center on.</w:t>
      </w:r>
      <w:r>
        <w:t xml:space="preserve"> </w:t>
      </w:r>
      <w:r>
        <w:t xml:space="preserve">CEO Kunal Girotra has stated the extra funding will allow the company to aggressively scale its U.S. manufacturing base; Lunar currently designs its products in California and assembles them in Georgia and Washington.</w:t>
      </w:r>
    </w:p>
    <w:p>
      <w:pPr>
        <w:pStyle w:val="BodyText"/>
      </w:pPr>
      <w:r>
        <w:rPr>
          <w:b/>
        </w:rPr>
        <w:t xml:space="preserve">B. The</w:t>
      </w:r>
      <w:r>
        <w:rPr>
          <w:b/>
        </w:rPr>
        <w:t xml:space="preserve"> </w:t>
      </w:r>
      <w:r>
        <w:rPr>
          <w:b/>
        </w:rPr>
        <w:t xml:space="preserve">“</w:t>
      </w:r>
      <w:r>
        <w:rPr>
          <w:b/>
        </w:rPr>
        <w:t xml:space="preserve">domestic content</w:t>
      </w:r>
      <w:r>
        <w:rPr>
          <w:b/>
        </w:rPr>
        <w:t xml:space="preserve">”</w:t>
      </w:r>
      <w:r>
        <w:rPr>
          <w:b/>
        </w:rPr>
        <w:t xml:space="preserve"> </w:t>
      </w:r>
      <w:r>
        <w:rPr>
          <w:b/>
        </w:rPr>
        <w:t xml:space="preserve">and</w:t>
      </w:r>
      <w:r>
        <w:rPr>
          <w:b/>
        </w:rPr>
        <w:t xml:space="preserve"> </w:t>
      </w:r>
      <w:r>
        <w:rPr>
          <w:b/>
        </w:rPr>
        <w:t xml:space="preserve">“</w:t>
      </w:r>
      <w:r>
        <w:rPr>
          <w:b/>
        </w:rPr>
        <w:t xml:space="preserve">proudly domestic</w:t>
      </w:r>
      <w:r>
        <w:rPr>
          <w:b/>
        </w:rPr>
        <w:t xml:space="preserve">”</w:t>
      </w:r>
      <w:r>
        <w:rPr>
          <w:b/>
        </w:rPr>
        <w:t xml:space="preserve"> </w:t>
      </w:r>
      <w:r>
        <w:rPr>
          <w:b/>
        </w:rPr>
        <w:t xml:space="preserve">positioning aligns with the current administration’s energy dominance framing</w:t>
      </w:r>
    </w:p>
    <w:p>
      <w:pPr>
        <w:pStyle w:val="BodyText"/>
      </w:pPr>
      <w:r>
        <w:t xml:space="preserve">Lunar Vice President of Revenue Ed Gunn noted that the company is</w:t>
      </w:r>
      <w:r>
        <w:t xml:space="preserve"> </w:t>
      </w:r>
      <w:r>
        <w:t xml:space="preserve">“</w:t>
      </w:r>
      <w:r>
        <w:t xml:space="preserve">proudly domestic content,</w:t>
      </w:r>
      <w:r>
        <w:t xml:space="preserve">”</w:t>
      </w:r>
      <w:r>
        <w:t xml:space="preserve"> </w:t>
      </w:r>
      <w:r>
        <w:t xml:space="preserve">meaning the company’s products qualify as non-FEOC and can secure the ITC and domestic content incentives for third-party owners.</w:t>
      </w:r>
      <w:r>
        <w:t xml:space="preserve"> </w:t>
      </w:r>
      <w:r>
        <w:t xml:space="preserve">This supply chain positioning is directly aligned with what the Trump administration has said it values in LPO applicants.</w:t>
      </w:r>
    </w:p>
    <w:p>
      <w:pPr>
        <w:pStyle w:val="BodyText"/>
      </w:pPr>
      <w:r>
        <w:rPr>
          <w:b/>
        </w:rPr>
        <w:t xml:space="preserve">C. LPO historically covered battery storage supply chain components from pack assembly down</w:t>
      </w:r>
    </w:p>
    <w:p>
      <w:pPr>
        <w:pStyle w:val="BodyText"/>
      </w:pPr>
      <w:r>
        <w:t xml:space="preserve">DOE’s LPO can potentially provide access to debt capital for commercial projects along the battery supply chain through the ATVM loan program or the Innovative Energy Loan Guarantee Program. Projects along the value chain from refining and processing to cell production and battery pack assembly may be eligible under either program.</w:t>
      </w:r>
    </w:p>
    <w:p>
      <w:pPr>
        <w:pStyle w:val="BodyText"/>
      </w:pPr>
      <w:r>
        <w:t xml:space="preserve">Through the ATVM program, LPO could support manufacturing of qualifying components for eligible vehicles. These projects can be along the automotive value chain after a material has been mined, such as manufacturing of battery cell components, battery cells, battery modules, and battery packs for EVs, or manufacturing of EV charging infrastructure components.</w:t>
      </w:r>
    </w:p>
    <w:p>
      <w:pPr>
        <w:pStyle w:val="BodyText"/>
      </w:pPr>
      <w:r>
        <w:rPr>
          <w:b/>
        </w:rPr>
        <w:t xml:space="preserve">D. Energy storage has explicit survivability under the OBBBA’s new ITC provisions</w:t>
      </w:r>
    </w:p>
    <w:p>
      <w:pPr>
        <w:pStyle w:val="BodyText"/>
      </w:pPr>
      <w:r>
        <w:t xml:space="preserve">Energy storage technology receives favorable treatment under Section 70513(a)(2)(C) of the OBBBA, which specifies that Section 48E termination provisions</w:t>
      </w:r>
      <w:r>
        <w:t xml:space="preserve"> </w:t>
      </w:r>
      <w:r>
        <w:t xml:space="preserve">“</w:t>
      </w:r>
      <w:r>
        <w:t xml:space="preserve">shall not apply with respect to any energy storage technology which is placed in service at any applicable facility.</w:t>
      </w:r>
      <w:r>
        <w:t xml:space="preserve">”</w:t>
      </w:r>
      <w:r>
        <w:t xml:space="preserve"> </w:t>
      </w:r>
      <w:r>
        <w:t xml:space="preserve">This preserves energy storage investment tax credits through 2033 regardless of pairing with other renewable technologies.</w:t>
      </w:r>
      <w:r>
        <w:t xml:space="preserve"> </w:t>
      </w:r>
      <w:r>
        <w:t xml:space="preserve">Lunar’s ability to offer customers ITC-eligible systems remains intact — a potential argument in any loan application that the off-take market is durable.</w:t>
      </w:r>
    </w:p>
    <w:p>
      <w:pPr>
        <w:pStyle w:val="BodyText"/>
      </w:pPr>
      <w:r>
        <w:rPr>
          <w:b/>
        </w:rPr>
        <w:t xml:space="preserve">E. The new Energy Dominance Financing Program (EDFP) still funds grid reliability projects</w:t>
      </w:r>
    </w:p>
    <w:p>
      <w:pPr>
        <w:pStyle w:val="BodyText"/>
      </w:pPr>
      <w:r>
        <w:t xml:space="preserve">The new Energy Dominance Financing effort modifies the existing 1706 authorization and aims to bolster projects that</w:t>
      </w:r>
      <w:r>
        <w:t xml:space="preserve"> </w:t>
      </w:r>
      <w:r>
        <w:t xml:space="preserve">“</w:t>
      </w:r>
      <w:r>
        <w:t xml:space="preserve">increase capacity or output</w:t>
      </w:r>
      <w:r>
        <w:t xml:space="preserve">”</w:t>
      </w:r>
      <w:r>
        <w:t xml:space="preserve"> </w:t>
      </w:r>
      <w:r>
        <w:t xml:space="preserve">or</w:t>
      </w:r>
      <w:r>
        <w:t xml:space="preserve"> </w:t>
      </w:r>
      <w:r>
        <w:t xml:space="preserve">“</w:t>
      </w:r>
      <w:r>
        <w:t xml:space="preserve">support or enable the provision of known or forecastable electric supply at time of intervals necessary to maintain or enhance grid reliability or other system adequacy needs.</w:t>
      </w:r>
      <w:r>
        <w:t xml:space="preserve">”</w:t>
      </w:r>
      <w:r>
        <w:t xml:space="preserve"> </w:t>
      </w:r>
      <w:r>
        <w:t xml:space="preserve">Eligible projects include</w:t>
      </w:r>
      <w:r>
        <w:t xml:space="preserve"> </w:t>
      </w:r>
      <w:r>
        <w:t xml:space="preserve">“</w:t>
      </w:r>
      <w:r>
        <w:t xml:space="preserve">enabling identification, leasing, development, production, processing, transportation, transmission, refining, and generation needed for energy and critical minerals,</w:t>
      </w:r>
      <w:r>
        <w:t xml:space="preserve">”</w:t>
      </w:r>
      <w:r>
        <w:t xml:space="preserve"> </w:t>
      </w:r>
      <w:r>
        <w:t xml:space="preserve">indicating broad funding with no requirement for decarbonization or technical innovation.</w:t>
      </w:r>
    </w:p>
    <w:p>
      <w:pPr>
        <w:pStyle w:val="BodyText"/>
      </w:pPr>
      <w:r>
        <w:t xml:space="preserve">Lunar’s VPP/grid-reliability framing — aggregating hundreds of thousands of home batteries to provide grid services —</w:t>
      </w:r>
      <w:r>
        <w:t xml:space="preserve"> </w:t>
      </w:r>
      <w:r>
        <w:rPr>
          <w:i/>
        </w:rPr>
        <w:t xml:space="preserve">could</w:t>
      </w:r>
      <w:r>
        <w:t xml:space="preserve"> </w:t>
      </w:r>
      <w:r>
        <w:t xml:space="preserve">be argued under the</w:t>
      </w:r>
      <w:r>
        <w:t xml:space="preserve"> </w:t>
      </w:r>
      <w:r>
        <w:t xml:space="preserve">“</w:t>
      </w:r>
      <w:r>
        <w:t xml:space="preserve">maintain or enhance grid reliability</w:t>
      </w:r>
      <w:r>
        <w:t xml:space="preserve">”</w:t>
      </w:r>
      <w:r>
        <w:t xml:space="preserve"> </w:t>
      </w:r>
      <w:r>
        <w:t xml:space="preserve">language, especially if Lunar frames itself as a domestic energy manufacturing and grid reliability infrastructure play.</w:t>
      </w:r>
    </w:p>
    <w:p>
      <w:r>
        <w:pict>
          <v:rect style="width:0;height:1.5pt" o:hralign="center" o:hrstd="t" o:hr="t"/>
        </w:pict>
      </w:r>
    </w:p>
    <w:p>
      <w:pPr>
        <w:pStyle w:val="Heading2"/>
      </w:pPr>
      <w:bookmarkStart w:id="23" w:name="evidence-against-the-hypothesis"/>
      <w:r>
        <w:t xml:space="preserve">2. EVIDENCE AGAINST THE HYPOTHESIS</w:t>
      </w:r>
      <w:bookmarkEnd w:id="23"/>
    </w:p>
    <w:p>
      <w:pPr>
        <w:pStyle w:val="FirstParagraph"/>
      </w:pPr>
      <w:r>
        <w:rPr>
          <w:b/>
        </w:rPr>
        <w:t xml:space="preserve">A. ATVM — the most natural program for a battery assembler — is gone</w:t>
      </w:r>
    </w:p>
    <w:p>
      <w:pPr>
        <w:pStyle w:val="BodyText"/>
      </w:pPr>
      <w:r>
        <w:t xml:space="preserve">This is the single most important fact in this analysis.</w:t>
      </w:r>
      <w:r>
        <w:t xml:space="preserve"> </w:t>
      </w:r>
      <w:r>
        <w:t xml:space="preserve">Key programs that once bridged critical financing gaps — such as the Advanced Technologies Vehicle Manufacturing Program — are now near defunct due to funding rescissions.</w:t>
      </w:r>
    </w:p>
    <w:p>
      <w:pPr>
        <w:pStyle w:val="BodyText"/>
      </w:pPr>
      <w:r>
        <w:t xml:space="preserve">The One Big Beautiful Bill repeals the Inflation Reduction Act’s loan authority for LPO programs. Already-committed loans are safe. LPO will honor conditional commitments and closed deals made prior to repeal.</w:t>
      </w:r>
      <w:r>
        <w:t xml:space="preserve"> </w:t>
      </w:r>
      <w:r>
        <w:t xml:space="preserve">But new applications under ATVM are impossible.</w:t>
      </w:r>
    </w:p>
    <w:p>
      <w:pPr>
        <w:pStyle w:val="BodyText"/>
      </w:pPr>
      <w:r>
        <w:rPr>
          <w:b/>
        </w:rPr>
        <w:t xml:space="preserve">B. Title XVII Innovative Clean Energy (1703) has been gutted of credit subsidy</w:t>
      </w:r>
    </w:p>
    <w:p>
      <w:pPr>
        <w:pStyle w:val="BodyText"/>
      </w:pPr>
      <w:r>
        <w:t xml:space="preserve">The 2025 OBBBA repealed over $8 billion in IRA appropriations for credit subsidies across DOE loan programs, increasing upfront costs for applicants.</w:t>
      </w:r>
    </w:p>
    <w:p>
      <w:pPr>
        <w:pStyle w:val="BodyText"/>
      </w:pPr>
      <w:r>
        <w:t xml:space="preserve">The 1703 program — vital for driving supply chain innovation and keeping US industries competitive — has significantly reduced subsidy to catalyze new deals and faces a ticking clock on $40B in loan authority received in the IRA.</w:t>
      </w:r>
      <w:r>
        <w:t xml:space="preserve"> </w:t>
      </w:r>
      <w:r>
        <w:t xml:space="preserve">Without credit subsidy, borrowers must either pay the full credit subsidy cost upfront (a significant cash cost on a $200M loan) or the program simply cannot proceed.</w:t>
      </w:r>
    </w:p>
    <w:p>
      <w:pPr>
        <w:pStyle w:val="BodyText"/>
      </w:pPr>
      <w:r>
        <w:rPr>
          <w:b/>
        </w:rPr>
        <w:t xml:space="preserve">C. The new EDFP is oriented toward fossil fuels, nuclear, and critical minerals — not residential battery assemblers</w:t>
      </w:r>
    </w:p>
    <w:p>
      <w:pPr>
        <w:pStyle w:val="BodyText"/>
      </w:pPr>
      <w:r>
        <w:t xml:space="preserve">The Energy Dominance Financing Program fundamentally realigns LPO’s mission from decarbonization to energy security and resource independence. The program explicitly removes greenhouse gas reduction requirements while shifting priorities to include fossil fuel projects and nuclear energy, while placing greater emphasis on critical minerals.</w:t>
      </w:r>
    </w:p>
    <w:p>
      <w:pPr>
        <w:pStyle w:val="BodyText"/>
      </w:pPr>
      <w:r>
        <w:t xml:space="preserve">A residential battery assembler making lithium-ion packs for homes — with cells sourced from Korea (per Lunar’s supply chain) — does not map cleanly onto this new mandate. The program is not designed for Lunar’s profile.</w:t>
      </w:r>
    </w:p>
    <w:p>
      <w:pPr>
        <w:pStyle w:val="BodyText"/>
      </w:pPr>
      <w:r>
        <w:rPr>
          <w:b/>
        </w:rPr>
        <w:t xml:space="preserve">D. The new EDFP is capitalized at only $1 billion in credit subsidy, supporting an estimated $15 billion in total project loans</w:t>
      </w:r>
    </w:p>
    <w:p>
      <w:pPr>
        <w:pStyle w:val="BodyText"/>
      </w:pPr>
      <w:r>
        <w:t xml:space="preserve">The OBBBA includes a $1 billion credit subsidy appropriation for the new program, available through September 30, 2028. Based on typical LPO credit subsidy rates, this level of funding could back approximately $15 billion in projects.</w:t>
      </w:r>
      <w:r>
        <w:t xml:space="preserve"> </w:t>
      </w:r>
      <w:r>
        <w:t xml:space="preserve">Even if Lunar qualified, the total envelope is sharply constrained, and will likely be prioritized for nuclear and fossil fuel infrastructure — not residential battery manufacturing.</w:t>
      </w:r>
    </w:p>
    <w:p>
      <w:pPr>
        <w:pStyle w:val="BodyText"/>
      </w:pPr>
      <w:r>
        <w:rPr>
          <w:b/>
        </w:rPr>
        <w:t xml:space="preserve">E. No evidence of any Lunar Energy LPO application or pre-application engagement</w:t>
      </w:r>
    </w:p>
    <w:p>
      <w:pPr>
        <w:pStyle w:val="BodyText"/>
      </w:pPr>
      <w:r>
        <w:t xml:space="preserve">An exhaustive search of DOE LPO’s EDF portfolio tracker, conditional commitment announcements, and press coverage of Lunar Energy’s CEO Kunal Girotra reveals</w:t>
      </w:r>
      <w:r>
        <w:t xml:space="preserve"> </w:t>
      </w:r>
      <w:r>
        <w:rPr>
          <w:b/>
        </w:rPr>
        <w:t xml:space="preserve">zero public evidence</w:t>
      </w:r>
      <w:r>
        <w:t xml:space="preserve"> </w:t>
      </w:r>
      <w:r>
        <w:t xml:space="preserve">of any LPO application, pre-application consultation, or government financing discussions by Lunar management. The company’s February 2026 Series D press release and CEO letter contain no reference to federal loan programs.</w:t>
      </w:r>
      <w:r>
        <w:t xml:space="preserve"> </w:t>
      </w:r>
      <w:r>
        <w:t xml:space="preserve">Girotra stated the extra funding will allow the company to aggressively scale its U.S. manufacturing base, expand into new states, and innovate on new products</w:t>
      </w:r>
      <w:r>
        <w:t xml:space="preserve"> </w:t>
      </w:r>
      <w:r>
        <w:t xml:space="preserve">— but made no reference to government debt financing as part of the capital plan.</w:t>
      </w:r>
    </w:p>
    <w:p>
      <w:pPr>
        <w:pStyle w:val="BodyText"/>
      </w:pPr>
      <w:r>
        <w:rPr>
          <w:b/>
        </w:rPr>
        <w:t xml:space="preserve">F. Freeze on new clean energy lending was comprehensive through most of 2025</w:t>
      </w:r>
    </w:p>
    <w:p>
      <w:pPr>
        <w:pStyle w:val="BodyText"/>
      </w:pPr>
      <w:r>
        <w:t xml:space="preserve">Analysts interpreted the net effect of Trump administration executive actions as maintaining the freeze on federal grants and loans related to IRA-authorized</w:t>
      </w:r>
      <w:r>
        <w:t xml:space="preserve"> </w:t>
      </w:r>
      <w:r>
        <w:t xml:space="preserve">“</w:t>
      </w:r>
      <w:r>
        <w:t xml:space="preserve">green new deal</w:t>
      </w:r>
      <w:r>
        <w:t xml:space="preserve">”</w:t>
      </w:r>
      <w:r>
        <w:t xml:space="preserve"> </w:t>
      </w:r>
      <w:r>
        <w:t xml:space="preserve">spending.</w:t>
      </w:r>
      <w:r>
        <w:t xml:space="preserve"> </w:t>
      </w:r>
      <w:r>
        <w:t xml:space="preserve">“</w:t>
      </w:r>
      <w:r>
        <w:t xml:space="preserve">We interpret this to mean that programmatic spending, including conditional commitments from the Department of Energy’s Loan Programs Office, remain paused,</w:t>
      </w:r>
      <w:r>
        <w:t xml:space="preserve">”</w:t>
      </w:r>
      <w:r>
        <w:t xml:space="preserve"> </w:t>
      </w:r>
      <w:r>
        <w:t xml:space="preserve">ClearView Energy Partners said.</w:t>
      </w:r>
    </w:p>
    <w:p>
      <w:pPr>
        <w:pStyle w:val="BodyText"/>
      </w:pPr>
      <w:r>
        <w:t xml:space="preserve">Under the current administration, at least $11 billion, or 32%, of unobligated IRA funding was rescinded through the One Big Beautiful Bill Act, including the IRA credit subsidy appropriations for DOE’s loan programs.</w:t>
      </w:r>
    </w:p>
    <w:p>
      <w:pPr>
        <w:pStyle w:val="BodyText"/>
      </w:pPr>
      <w:r>
        <w:rPr>
          <w:b/>
        </w:rPr>
        <w:t xml:space="preserve">G. Mexico-based module assembly creates a structural eligibility problem</w:t>
      </w:r>
    </w:p>
    <w:p>
      <w:pPr>
        <w:pStyle w:val="BodyText"/>
      </w:pPr>
      <w:r>
        <w:t xml:space="preserve">Under the ATVM statute, loans may be made to borrowers for projects that are automobile manufacturers, ultra-efficient vehicle manufacturers, or component suppliers to pay the costs of reequipping, expanding, or establishing a manufacturing facility in the United States to produce qualifying advanced technology vehicles or qualifying components, and engineering integration performed in the United States.</w:t>
      </w:r>
      <w:r>
        <w:t xml:space="preserve"> </w:t>
      </w:r>
      <w:r>
        <w:t xml:space="preserve">(emphasis added) The ATVM requirement that manufacturing occur in the United States means that Lunar’s Mexico-based battery module assembly is explicitly excluded from eligible project scope. While the Georgia assembly operations could be ring-fenced as the loan-eligible project, the Mexico facility creates a structural complication: LPO would need to be satisfied that the financed U.S. operation is genuinely the manufacturing locus, not merely final assembly of imported sub-assemblies.</w:t>
      </w:r>
    </w:p>
    <w:p>
      <w:pPr>
        <w:pStyle w:val="BodyText"/>
      </w:pPr>
      <w:r>
        <w:rPr>
          <w:b/>
        </w:rPr>
        <w:t xml:space="preserve">H. Clean energy manufacturers are canceling projects, not adding them</w:t>
      </w:r>
    </w:p>
    <w:p>
      <w:pPr>
        <w:pStyle w:val="BodyText"/>
      </w:pPr>
      <w:r>
        <w:t xml:space="preserve">Clean energy manufacturers canceled, closed, or downsized nearly $8 billion in projects in Q1 2025, as the Trump administration’s rollback of support for the sector set in. Cancellations included lithium battery maker Kore Power’s cancellation of its planned $1.2 billion factory in Arizona, as well as Freyr Battery’s cancellation of its $2.6 billion Georgia battery factory.</w:t>
      </w:r>
      <w:r>
        <w:t xml:space="preserve"> </w:t>
      </w:r>
      <w:r>
        <w:t xml:space="preserve">Lunar would be swimming against a powerful macro tide.</w:t>
      </w:r>
    </w:p>
    <w:p>
      <w:pPr>
        <w:pStyle w:val="BodyText"/>
      </w:pPr>
      <w:r>
        <w:rPr>
          <w:b/>
        </w:rPr>
        <w:t xml:space="preserve">I. LPO is actively deprioritizing new applications in favor of portfolio reviews</w:t>
      </w:r>
    </w:p>
    <w:p>
      <w:pPr>
        <w:pStyle w:val="BodyText"/>
      </w:pPr>
      <w:r>
        <w:t xml:space="preserve">Since inauguration day, LPO has lost experienced staff, faced sharp funding cuts, and seen major programs upended. The recently passed One Big Beautiful Bill Act compounded the contraction. Meanwhile, the Office has launched a sweeping series of</w:t>
      </w:r>
      <w:r>
        <w:t xml:space="preserve"> </w:t>
      </w:r>
      <w:r>
        <w:t xml:space="preserve">“</w:t>
      </w:r>
      <w:r>
        <w:t xml:space="preserve">portfolio reviews</w:t>
      </w:r>
      <w:r>
        <w:t xml:space="preserve">”</w:t>
      </w:r>
      <w:r>
        <w:t xml:space="preserve"> </w:t>
      </w:r>
      <w:r>
        <w:t xml:space="preserve">to ensure projects align with the administration’s new policy priorities, leaving LPO’s active pipeline in uncertainty.</w:t>
      </w:r>
    </w:p>
    <w:p>
      <w:r>
        <w:pict>
          <v:rect style="width:0;height:1.5pt" o:hralign="center" o:hrstd="t" o:hr="t"/>
        </w:pict>
      </w:r>
    </w:p>
    <w:p>
      <w:pPr>
        <w:pStyle w:val="Heading2"/>
      </w:pPr>
      <w:bookmarkStart w:id="24" w:name="comparable-examples"/>
      <w:r>
        <w:t xml:space="preserve">3. COMPARABLE EXAMPLES</w:t>
      </w:r>
      <w:bookmarkEnd w:id="24"/>
    </w:p>
    <w:p>
      <w:pPr>
        <w:pStyle w:val="FirstParagraph"/>
      </w:pPr>
      <w:r>
        <w:t xml:space="preserve">The Biden-era LPO provided a series of precedents that are directly relevant for understanding both what Lunar</w:t>
      </w:r>
      <w:r>
        <w:t xml:space="preserve"> </w:t>
      </w:r>
      <w:r>
        <w:rPr>
          <w:i/>
        </w:rPr>
        <w:t xml:space="preserve">could</w:t>
      </w:r>
      <w:r>
        <w:t xml:space="preserve"> </w:t>
      </w:r>
      <w:r>
        <w:t xml:space="preserve">have pursued and what the structural barriers were for assemblers versus cell manufacturers: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Company</w:t>
            </w:r>
          </w:p>
        </w:tc>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Timeline</w:t>
            </w:r>
          </w:p>
        </w:tc>
      </w:tr>
      <w:tr>
        <w:tc>
          <w:p>
            <w:pPr>
              <w:pStyle w:val="Compact"/>
              <w:jc w:val="left"/>
            </w:pPr>
            <w:r>
              <w:rPr>
                <w:b/>
              </w:rPr>
              <w:t xml:space="preserve">Ultium Cells (GM/LG)</w:t>
            </w:r>
          </w:p>
        </w:tc>
        <w:tc>
          <w:p>
            <w:pPr>
              <w:pStyle w:val="Compact"/>
              <w:jc w:val="left"/>
            </w:pPr>
            <w:r>
              <w:t xml:space="preserve">ATVM</w:t>
            </w:r>
          </w:p>
        </w:tc>
        <w:tc>
          <w:p>
            <w:pPr>
              <w:pStyle w:val="Compact"/>
              <w:jc w:val="left"/>
            </w:pPr>
            <w:r>
              <w:t xml:space="preserve">$2.5B</w:t>
            </w:r>
          </w:p>
        </w:tc>
        <w:tc>
          <w:p>
            <w:pPr>
              <w:pStyle w:val="Compact"/>
              <w:jc w:val="left"/>
            </w:pPr>
            <w:r>
              <w:t xml:space="preserve">Battery</w:t>
            </w:r>
            <w:r>
              <w:t xml:space="preserve"> </w:t>
            </w:r>
            <w:r>
              <w:rPr>
                <w:i/>
              </w:rPr>
              <w:t xml:space="preserve">cell</w:t>
            </w:r>
            <w:r>
              <w:t xml:space="preserve"> </w:t>
            </w:r>
            <w:r>
              <w:t xml:space="preserve">manufacturing in OH, TN, MI</w:t>
            </w:r>
          </w:p>
        </w:tc>
        <w:tc>
          <w:p>
            <w:pPr>
              <w:pStyle w:val="Compact"/>
              <w:jc w:val="left"/>
            </w:pPr>
            <w:r>
              <w:t xml:space="preserve">Conditional commitment Dec 2022; closed 2022</w:t>
            </w:r>
          </w:p>
        </w:tc>
      </w:tr>
      <w:tr>
        <w:tc>
          <w:p>
            <w:pPr>
              <w:pStyle w:val="Compact"/>
              <w:jc w:val="left"/>
            </w:pPr>
            <w:r>
              <w:rPr>
                <w:b/>
              </w:rPr>
              <w:t xml:space="preserve">Redwood Materials</w:t>
            </w:r>
          </w:p>
        </w:tc>
        <w:tc>
          <w:p>
            <w:pPr>
              <w:pStyle w:val="Compact"/>
              <w:jc w:val="left"/>
            </w:pPr>
            <w:r>
              <w:t xml:space="preserve">ATVM</w:t>
            </w:r>
          </w:p>
        </w:tc>
        <w:tc>
          <w:p>
            <w:pPr>
              <w:pStyle w:val="Compact"/>
              <w:jc w:val="left"/>
            </w:pPr>
            <w:r>
              <w:t xml:space="preserve">$2B</w:t>
            </w:r>
          </w:p>
        </w:tc>
        <w:tc>
          <w:p>
            <w:pPr>
              <w:pStyle w:val="Compact"/>
              <w:jc w:val="left"/>
            </w:pPr>
            <w:r>
              <w:t xml:space="preserve">Battery</w:t>
            </w:r>
            <w:r>
              <w:t xml:space="preserve"> </w:t>
            </w:r>
            <w:r>
              <w:rPr>
                <w:i/>
              </w:rPr>
              <w:t xml:space="preserve">materials</w:t>
            </w:r>
            <w:r>
              <w:t xml:space="preserve"> </w:t>
            </w:r>
            <w:r>
              <w:t xml:space="preserve">campus (anode + cathode), NV</w:t>
            </w:r>
          </w:p>
        </w:tc>
        <w:tc>
          <w:p>
            <w:pPr>
              <w:pStyle w:val="Compact"/>
              <w:jc w:val="left"/>
            </w:pPr>
            <w:r>
              <w:t xml:space="preserve">Conditional commitment Feb 2023</w:t>
            </w:r>
          </w:p>
        </w:tc>
      </w:tr>
      <w:tr>
        <w:tc>
          <w:p>
            <w:pPr>
              <w:pStyle w:val="Compact"/>
              <w:jc w:val="left"/>
            </w:pPr>
            <w:r>
              <w:rPr>
                <w:b/>
              </w:rPr>
              <w:t xml:space="preserve">Syrah Technologies</w:t>
            </w:r>
          </w:p>
        </w:tc>
        <w:tc>
          <w:p>
            <w:pPr>
              <w:pStyle w:val="Compact"/>
              <w:jc w:val="left"/>
            </w:pPr>
            <w:r>
              <w:t xml:space="preserve">ATVM</w:t>
            </w:r>
          </w:p>
        </w:tc>
        <w:tc>
          <w:p>
            <w:pPr>
              <w:pStyle w:val="Compact"/>
              <w:jc w:val="left"/>
            </w:pPr>
            <w:r>
              <w:t xml:space="preserve">$102M</w:t>
            </w:r>
          </w:p>
        </w:tc>
        <w:tc>
          <w:p>
            <w:pPr>
              <w:pStyle w:val="Compact"/>
              <w:jc w:val="left"/>
            </w:pPr>
            <w:r>
              <w:t xml:space="preserve">Graphite anode material processing, LA</w:t>
            </w:r>
          </w:p>
        </w:tc>
        <w:tc>
          <w:p>
            <w:pPr>
              <w:pStyle w:val="Compact"/>
              <w:jc w:val="left"/>
            </w:pPr>
            <w:r>
              <w:t xml:space="preserve">Closed Jul 2022; first ATVM loan since 2011</w:t>
            </w:r>
          </w:p>
        </w:tc>
      </w:tr>
      <w:tr>
        <w:tc>
          <w:p>
            <w:pPr>
              <w:pStyle w:val="Compact"/>
              <w:jc w:val="left"/>
            </w:pPr>
            <w:r>
              <w:rPr>
                <w:b/>
              </w:rPr>
              <w:t xml:space="preserve">Li-Cycle</w:t>
            </w:r>
          </w:p>
        </w:tc>
        <w:tc>
          <w:p>
            <w:pPr>
              <w:pStyle w:val="Compact"/>
              <w:jc w:val="left"/>
            </w:pPr>
            <w:r>
              <w:t xml:space="preserve">ATVM</w:t>
            </w:r>
          </w:p>
        </w:tc>
        <w:tc>
          <w:p>
            <w:pPr>
              <w:pStyle w:val="Compact"/>
              <w:jc w:val="left"/>
            </w:pPr>
            <w:r>
              <w:t xml:space="preserve">$375M</w:t>
            </w:r>
          </w:p>
        </w:tc>
        <w:tc>
          <w:p>
            <w:pPr>
              <w:pStyle w:val="Compact"/>
              <w:jc w:val="left"/>
            </w:pPr>
            <w:r>
              <w:t xml:space="preserve">Battery recycling facility, NY</w:t>
            </w:r>
          </w:p>
        </w:tc>
        <w:tc>
          <w:p>
            <w:pPr>
              <w:pStyle w:val="Compact"/>
              <w:jc w:val="left"/>
            </w:pPr>
            <w:r>
              <w:t xml:space="preserve">Conditional commitment Feb 2023</w:t>
            </w:r>
          </w:p>
        </w:tc>
      </w:tr>
      <w:tr>
        <w:tc>
          <w:p>
            <w:pPr>
              <w:pStyle w:val="Compact"/>
              <w:jc w:val="left"/>
            </w:pPr>
            <w:r>
              <w:rPr>
                <w:b/>
              </w:rPr>
              <w:t xml:space="preserve">Eos Energy</w:t>
            </w:r>
          </w:p>
        </w:tc>
        <w:tc>
          <w:p>
            <w:pPr>
              <w:pStyle w:val="Compact"/>
              <w:jc w:val="left"/>
            </w:pPr>
            <w:r>
              <w:t xml:space="preserve">Title XVII</w:t>
            </w:r>
          </w:p>
        </w:tc>
        <w:tc>
          <w:p>
            <w:pPr>
              <w:pStyle w:val="Compact"/>
              <w:jc w:val="left"/>
            </w:pPr>
            <w:r>
              <w:t xml:space="preserve">$398.6M</w:t>
            </w:r>
          </w:p>
        </w:tc>
        <w:tc>
          <w:p>
            <w:pPr>
              <w:pStyle w:val="Compact"/>
              <w:jc w:val="left"/>
            </w:pPr>
            <w:r>
              <w:t xml:space="preserve">Zinc-bromine battery</w:t>
            </w:r>
            <w:r>
              <w:t xml:space="preserve"> </w:t>
            </w:r>
            <w:r>
              <w:rPr>
                <w:i/>
              </w:rPr>
              <w:t xml:space="preserve">production</w:t>
            </w:r>
            <w:r>
              <w:t xml:space="preserve"> </w:t>
            </w:r>
            <w:r>
              <w:t xml:space="preserve">(4 lines), PA</w:t>
            </w:r>
          </w:p>
        </w:tc>
        <w:tc>
          <w:p>
            <w:pPr>
              <w:pStyle w:val="Compact"/>
              <w:jc w:val="left"/>
            </w:pPr>
            <w:r>
              <w:t xml:space="preserve">Conditional commitment Aug 2023</w:t>
            </w:r>
          </w:p>
        </w:tc>
      </w:tr>
    </w:tbl>
    <w:p>
      <w:pPr>
        <w:pStyle w:val="BodyText"/>
      </w:pPr>
      <w:r>
        <w:rPr>
          <w:b/>
        </w:rPr>
        <w:t xml:space="preserve">Critical observation:</w:t>
      </w:r>
      <w:r>
        <w:t xml:space="preserve"> </w:t>
      </w:r>
      <w:r>
        <w:t xml:space="preserve">The LPO announced a conditional commitment to Eos Energy Enterprises for an up to $398.6 million loan guarantee for the construction of up to four state-of-the-art production lines to produce the</w:t>
      </w:r>
      <w:r>
        <w:t xml:space="preserve"> </w:t>
      </w:r>
      <w:r>
        <w:t xml:space="preserve">“</w:t>
      </w:r>
      <w:r>
        <w:t xml:space="preserve">Eos Z3™,</w:t>
      </w:r>
      <w:r>
        <w:t xml:space="preserve">”</w:t>
      </w:r>
      <w:r>
        <w:t xml:space="preserve"> </w:t>
      </w:r>
      <w:r>
        <w:t xml:space="preserve">a next-generation utility- and industrial-scale zinc-bromine battery energy storage system in Turtle Creek, Pennsylvania.</w:t>
      </w:r>
      <w:r>
        <w:t xml:space="preserve"> </w:t>
      </w:r>
      <w:r>
        <w:t xml:space="preserve">Eos is the closest analog to Lunar: a battery storage</w:t>
      </w:r>
      <w:r>
        <w:t xml:space="preserve"> </w:t>
      </w:r>
      <w:r>
        <w:rPr>
          <w:i/>
        </w:rPr>
        <w:t xml:space="preserve">manufacturer</w:t>
      </w:r>
      <w:r>
        <w:t xml:space="preserve"> </w:t>
      </w:r>
      <w:r>
        <w:t xml:space="preserve">(not a cell chemist), using an assembly line model. But Eos manufactures its own proprietary chemistry and the full stack — it is not an assembler of third-party cells.</w:t>
      </w:r>
    </w:p>
    <w:p>
      <w:pPr>
        <w:pStyle w:val="BodyText"/>
      </w:pPr>
      <w:r>
        <w:rPr>
          <w:b/>
        </w:rPr>
        <w:t xml:space="preserve">The pattern is clear and damaging for Lunar’s case:</w:t>
      </w:r>
      <w:r>
        <w:t xml:space="preserve"> </w:t>
      </w:r>
      <w:r>
        <w:t xml:space="preserve">Every comparable LPO recipient manufactured cells, materials, or recycled battery components — they were not assemblers of imported modules.</w:t>
      </w:r>
      <w:r>
        <w:t xml:space="preserve"> </w:t>
      </w:r>
      <w:r>
        <w:t xml:space="preserve">Projects that manufacture qualifying components for advanced technology vehicles could be eligible for ATVM loans, even if a portion of the manufactured output will not be used in advanced technology vehicles.</w:t>
      </w:r>
      <w:r>
        <w:t xml:space="preserve"> </w:t>
      </w:r>
      <w:r>
        <w:t xml:space="preserve">But the key word is</w:t>
      </w:r>
      <w:r>
        <w:t xml:space="preserve"> </w:t>
      </w:r>
      <w:r>
        <w:t xml:space="preserve">“</w:t>
      </w:r>
      <w:r>
        <w:t xml:space="preserve">manufacture</w:t>
      </w:r>
      <w:r>
        <w:t xml:space="preserve">”</w:t>
      </w:r>
      <w:r>
        <w:t xml:space="preserve"> </w:t>
      </w:r>
      <w:r>
        <w:t xml:space="preserve">— not</w:t>
      </w:r>
      <w:r>
        <w:t xml:space="preserve"> </w:t>
      </w:r>
      <w:r>
        <w:t xml:space="preserve">“</w:t>
      </w:r>
      <w:r>
        <w:t xml:space="preserve">assemble</w:t>
      </w:r>
      <w:r>
        <w:t xml:space="preserve">”</w:t>
      </w:r>
      <w:r>
        <w:t xml:space="preserve"> </w:t>
      </w:r>
      <w:r>
        <w:t xml:space="preserve">from imported subassemblies. Lunar’s Georgia operations assemble inverters and smart panels; the battery modules arrive from Mexico.</w:t>
      </w:r>
    </w:p>
    <w:p>
      <w:pPr>
        <w:pStyle w:val="BodyText"/>
      </w:pPr>
      <w:r>
        <w:t xml:space="preserve">Note: Finalizing a loan can take anywhere from 8 months to nearly two years, pending the loan type, applicant readiness, and the rigor of analysis performed by LPO to mitigate risk.</w:t>
      </w:r>
    </w:p>
    <w:p>
      <w:pPr>
        <w:pStyle w:val="BodyText"/>
      </w:pPr>
      <w:r>
        <w:rPr>
          <w:b/>
        </w:rPr>
        <w:t xml:space="preserve">Under the Biden-era LPO timeline (now moot for new applicants), the realistic sequence was:</w:t>
      </w:r>
    </w:p>
    <w:p>
      <w:pPr>
        <w:pStyle w:val="BodyText"/>
      </w:pPr>
      <w:r>
        <w:t xml:space="preserve">The application process through conditional commitment commonly takes up to a year. However, it can move faster or slower depending on applicant readiness with required materials.</w:t>
      </w:r>
    </w:p>
    <w:p>
      <w:pPr>
        <w:pStyle w:val="BodyText"/>
      </w:pPr>
      <w:r>
        <w:t xml:space="preserve">The loan process includes pre-application consultations, a two-phase application and review period, due diligence and term sheet negotiations, a conditional commitment and financial closing. The process up until conditional commitment commonly takes up to a year. Conditional commitments may last for up to two years.</w:t>
      </w:r>
    </w:p>
    <w:p>
      <w:pPr>
        <w:pStyle w:val="BodyText"/>
      </w:pPr>
      <w:r>
        <w:t xml:space="preserve">LPO officials noted they had shortened their due diligence processing times in 2024; however, loans that closed after review still took a median of 11.7 months to complete the due diligence review.</w:t>
      </w:r>
    </w:p>
    <w:p>
      <w:pPr>
        <w:pStyle w:val="BodyText"/>
      </w:pPr>
      <w:r>
        <w:rPr>
          <w:b/>
        </w:rPr>
        <w:t xml:space="preserve">Total realistic timeline from pre-application to funded loan: 18–36 months</w:t>
      </w:r>
      <w:r>
        <w:t xml:space="preserve">, even under the most favorable prior-administration conditions. Under the current administration, that timeline is indeterminate.</w:t>
      </w:r>
    </w:p>
    <w:p>
      <w:r>
        <w:pict>
          <v:rect style="width:0;height:1.5pt" o:hralign="center" o:hrstd="t" o:hr="t"/>
        </w:pict>
      </w:r>
    </w:p>
    <w:p>
      <w:pPr>
        <w:pStyle w:val="Heading2"/>
      </w:pPr>
      <w:bookmarkStart w:id="25" w:name="feasibility-assessment"/>
      <w:r>
        <w:t xml:space="preserve">4. FEASIBILITY ASSESSMENT</w:t>
      </w:r>
      <w:bookmarkEnd w:id="25"/>
    </w:p>
    <w:p>
      <w:pPr>
        <w:pStyle w:val="Heading3"/>
      </w:pPr>
      <w:bookmarkStart w:id="26" w:name="X877403f48e677a6f43f811a65220f3f29374a3b"/>
      <w:r>
        <w:t xml:space="preserve">4.1 Program Availability (As of February 28, 2026)</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Lunar Eligible?</w:t>
            </w:r>
          </w:p>
        </w:tc>
        <w:tc>
          <w:tcPr>
            <w:tcBorders>
              <w:bottom w:val="single"/>
            </w:tcBorders>
            <w:vAlign w:val="bottom"/>
          </w:tcPr>
          <w:p>
            <w:pPr>
              <w:pStyle w:val="Compact"/>
              <w:jc w:val="left"/>
            </w:pPr>
            <w:r>
              <w:t xml:space="preserve">Practical Outlook</w:t>
            </w:r>
          </w:p>
        </w:tc>
      </w:tr>
      <w:tr>
        <w:tc>
          <w:p>
            <w:pPr>
              <w:pStyle w:val="Compact"/>
              <w:jc w:val="left"/>
            </w:pPr>
            <w:r>
              <w:rPr>
                <w:b/>
              </w:rPr>
              <w:t xml:space="preserve">ATVM</w:t>
            </w:r>
          </w:p>
        </w:tc>
        <w:tc>
          <w:p>
            <w:pPr>
              <w:pStyle w:val="Compact"/>
              <w:jc w:val="left"/>
            </w:pPr>
            <w:r>
              <w:rPr>
                <w:b/>
              </w:rPr>
              <w:t xml:space="preserve">Repealed</w:t>
            </w:r>
          </w:p>
        </w:tc>
        <w:tc>
          <w:p>
            <w:pPr>
              <w:pStyle w:val="Compact"/>
              <w:jc w:val="left"/>
            </w:pPr>
            <w:r>
              <w:t xml:space="preserve">N/A</w:t>
            </w:r>
          </w:p>
        </w:tc>
        <w:tc>
          <w:p>
            <w:pPr>
              <w:pStyle w:val="Compact"/>
              <w:jc w:val="left"/>
            </w:pPr>
            <w:r>
              <w:t xml:space="preserve">Dead</w:t>
            </w:r>
          </w:p>
        </w:tc>
      </w:tr>
      <w:tr>
        <w:tc>
          <w:p>
            <w:pPr>
              <w:pStyle w:val="Compact"/>
              <w:jc w:val="left"/>
            </w:pPr>
            <w:r>
              <w:rPr>
                <w:b/>
              </w:rPr>
              <w:t xml:space="preserve">Title XVII 1703 (Innovative Clean Energy)</w:t>
            </w:r>
          </w:p>
        </w:tc>
        <w:tc>
          <w:p>
            <w:pPr>
              <w:pStyle w:val="Compact"/>
              <w:jc w:val="left"/>
            </w:pPr>
            <w:r>
              <w:t xml:space="preserve">Technically active; credit subsidy mostly rescinded</w:t>
            </w:r>
          </w:p>
        </w:tc>
        <w:tc>
          <w:p>
            <w:pPr>
              <w:pStyle w:val="Compact"/>
              <w:jc w:val="left"/>
            </w:pPr>
            <w:r>
              <w:t xml:space="preserve">Potentially (grid reliability framing)</w:t>
            </w:r>
          </w:p>
        </w:tc>
        <w:tc>
          <w:p>
            <w:pPr>
              <w:pStyle w:val="Compact"/>
              <w:jc w:val="left"/>
            </w:pPr>
            <w:r>
              <w:t xml:space="preserve">Near-impossible without new subsidy appropriation</w:t>
            </w:r>
          </w:p>
        </w:tc>
      </w:tr>
      <w:tr>
        <w:tc>
          <w:p>
            <w:pPr>
              <w:pStyle w:val="Compact"/>
              <w:jc w:val="left"/>
            </w:pPr>
            <w:r>
              <w:rPr>
                <w:b/>
              </w:rPr>
              <w:t xml:space="preserve">Energy Dominance Financing (EDFP/1706)</w:t>
            </w:r>
          </w:p>
        </w:tc>
        <w:tc>
          <w:p>
            <w:pPr>
              <w:pStyle w:val="Compact"/>
              <w:jc w:val="left"/>
            </w:pPr>
            <w:r>
              <w:t xml:space="preserve">New program, active</w:t>
            </w:r>
          </w:p>
        </w:tc>
        <w:tc>
          <w:p>
            <w:pPr>
              <w:pStyle w:val="Compact"/>
              <w:jc w:val="left"/>
            </w:pPr>
            <w:r>
              <w:t xml:space="preserve">Unlikely; fossil/nuclear/critical minerals focus</w:t>
            </w:r>
          </w:p>
        </w:tc>
        <w:tc>
          <w:p>
            <w:pPr>
              <w:pStyle w:val="Compact"/>
              <w:jc w:val="left"/>
            </w:pPr>
            <w:r>
              <w:t xml:space="preserve">Very low probability</w:t>
            </w:r>
          </w:p>
        </w:tc>
      </w:tr>
      <w:tr>
        <w:tc>
          <w:p>
            <w:pPr>
              <w:pStyle w:val="Compact"/>
              <w:jc w:val="left"/>
            </w:pPr>
            <w:r>
              <w:rPr>
                <w:b/>
              </w:rPr>
              <w:t xml:space="preserve">Energy Infrastructure Reinvestment</w:t>
            </w:r>
          </w:p>
        </w:tc>
        <w:tc>
          <w:p>
            <w:pPr>
              <w:pStyle w:val="Compact"/>
              <w:jc w:val="left"/>
            </w:pPr>
            <w:r>
              <w:t xml:space="preserve">Replaced by EDFP</w:t>
            </w:r>
          </w:p>
        </w:tc>
        <w:tc>
          <w:p>
            <w:pPr>
              <w:pStyle w:val="Compact"/>
              <w:jc w:val="left"/>
            </w:pPr>
            <w:r>
              <w:t xml:space="preserve">N/A</w:t>
            </w:r>
          </w:p>
        </w:tc>
        <w:tc>
          <w:p>
            <w:pPr>
              <w:pStyle w:val="Compact"/>
              <w:jc w:val="left"/>
            </w:pPr>
            <w:r>
              <w:t xml:space="preserve">Gone</w:t>
            </w:r>
          </w:p>
        </w:tc>
      </w:tr>
    </w:tbl>
    <w:p>
      <w:pPr>
        <w:pStyle w:val="Heading3"/>
      </w:pPr>
      <w:bookmarkStart w:id="27" w:name="X2d312f13cff1863f6fe1a1312c4d5d7906b4296"/>
      <w:r>
        <w:t xml:space="preserve">4.2 The</w:t>
      </w:r>
      <w:r>
        <w:t xml:space="preserve"> </w:t>
      </w:r>
      <w:r>
        <w:t xml:space="preserve">“</w:t>
      </w:r>
      <w:r>
        <w:t xml:space="preserve">Energy Dominance</w:t>
      </w:r>
      <w:r>
        <w:t xml:space="preserve">”</w:t>
      </w:r>
      <w:r>
        <w:t xml:space="preserve"> </w:t>
      </w:r>
      <w:r>
        <w:t xml:space="preserve">Reframe — Is There a Path?</w:t>
      </w:r>
      <w:bookmarkEnd w:id="27"/>
    </w:p>
    <w:p>
      <w:pPr>
        <w:pStyle w:val="FirstParagraph"/>
      </w:pPr>
      <w:r>
        <w:t xml:space="preserve">There is a</w:t>
      </w:r>
      <w:r>
        <w:t xml:space="preserve"> </w:t>
      </w:r>
      <w:r>
        <w:rPr>
          <w:i/>
        </w:rPr>
        <w:t xml:space="preserve">narrow theoretical</w:t>
      </w:r>
      <w:r>
        <w:t xml:space="preserve"> </w:t>
      </w:r>
      <w:r>
        <w:t xml:space="preserve">path. Lunar could argue:</w:t>
      </w:r>
    </w:p>
    <w:p>
      <w:pPr>
        <w:numPr>
          <w:ilvl w:val="0"/>
          <w:numId w:val="1001"/>
        </w:numPr>
        <w:pStyle w:val="Compact"/>
      </w:pPr>
      <w:r>
        <w:rPr>
          <w:b/>
        </w:rPr>
        <w:t xml:space="preserve">Grid reliability angle:</w:t>
      </w:r>
      <w:r>
        <w:t xml:space="preserve"> </w:t>
      </w:r>
      <w:r>
        <w:t xml:space="preserve">VPP aggregation of residential batteries provides forecastable dispatchable capacity that maintains grid reliability — squarely within EDFP’s</w:t>
      </w:r>
      <w:r>
        <w:t xml:space="preserve"> </w:t>
      </w:r>
      <w:r>
        <w:t xml:space="preserve">“</w:t>
      </w:r>
      <w:r>
        <w:t xml:space="preserve">maintain or enhance grid reliability</w:t>
      </w:r>
      <w:r>
        <w:t xml:space="preserve">”</w:t>
      </w:r>
      <w:r>
        <w:t xml:space="preserve"> </w:t>
      </w:r>
      <w:r>
        <w:t xml:space="preserve">language.</w:t>
      </w:r>
    </w:p>
    <w:p>
      <w:pPr>
        <w:numPr>
          <w:ilvl w:val="0"/>
          <w:numId w:val="1001"/>
        </w:numPr>
        <w:pStyle w:val="Compact"/>
      </w:pPr>
      <w:r>
        <w:rPr>
          <w:b/>
        </w:rPr>
        <w:t xml:space="preserve">Domestic manufacturing/jobs angle:</w:t>
      </w:r>
      <w:r>
        <w:t xml:space="preserve"> </w:t>
      </w:r>
      <w:r>
        <w:t xml:space="preserve">Scaling Georgia manufacturing creates domestic jobs and reduces reliance on foreign-assembled energy storage.</w:t>
      </w:r>
    </w:p>
    <w:p>
      <w:pPr>
        <w:numPr>
          <w:ilvl w:val="0"/>
          <w:numId w:val="1001"/>
        </w:numPr>
        <w:pStyle w:val="Compact"/>
      </w:pPr>
      <w:r>
        <w:rPr>
          <w:b/>
        </w:rPr>
        <w:t xml:space="preserve">Critical minerals adjacency:</w:t>
      </w:r>
      <w:r>
        <w:t xml:space="preserve"> </w:t>
      </w:r>
      <w:r>
        <w:t xml:space="preserve">If Lunar were to invest in domestically sourced battery chemistry or onshore its module assembly from Mexico to the U.S., it could potentially qualify under</w:t>
      </w:r>
      <w:r>
        <w:t xml:space="preserve"> </w:t>
      </w:r>
      <w:r>
        <w:t xml:space="preserve">“</w:t>
      </w:r>
      <w:r>
        <w:t xml:space="preserve">critical minerals</w:t>
      </w:r>
      <w:r>
        <w:t xml:space="preserve">”</w:t>
      </w:r>
      <w:r>
        <w:t xml:space="preserve"> </w:t>
      </w:r>
      <w:r>
        <w:t xml:space="preserve">supply chain language.</w:t>
      </w:r>
    </w:p>
    <w:p>
      <w:pPr>
        <w:pStyle w:val="FirstParagraph"/>
      </w:pPr>
      <w:r>
        <w:t xml:space="preserve">However,</w:t>
      </w:r>
      <w:r>
        <w:t xml:space="preserve"> </w:t>
      </w:r>
      <w:r>
        <w:t xml:space="preserve">rather than focusing on emissions reductions or repurposing legacy infrastructure, the new 1706 authority prioritizes energy supply, grid reliability, and critical minerals development, and eliminates prior emissions requirements while repealing the former mandate that fossil energy projects use technologies to avoid or reduce greenhouse gas emissions.</w:t>
      </w:r>
      <w:r>
        <w:t xml:space="preserve"> </w:t>
      </w:r>
      <w:r>
        <w:t xml:space="preserve">The program was explicitly designed for a different class of project.</w:t>
      </w:r>
    </w:p>
    <w:p>
      <w:pPr>
        <w:pStyle w:val="BodyText"/>
      </w:pPr>
      <w:r>
        <w:t xml:space="preserve">The Energy Dominance Financing Program is a core pillar of the administration’s strategy to help win the global AI race by increasing the nation’s energy supply through new eligibility for clean coal and oil and gas power-generated projects, securing critical mineral supply chains, and reinvigorating the nuclear industry.</w:t>
      </w:r>
      <w:r>
        <w:t xml:space="preserve"> </w:t>
      </w:r>
      <w:r>
        <w:t xml:space="preserve">Lunar’s product line does not map onto any of these three explicit priorities.</w:t>
      </w:r>
    </w:p>
    <w:p>
      <w:pPr>
        <w:pStyle w:val="Heading3"/>
      </w:pPr>
      <w:bookmarkStart w:id="28" w:name="the-mexico-manufacturing-problem"/>
      <w:r>
        <w:t xml:space="preserve">4.3 The Mexico Manufacturing Problem</w:t>
      </w:r>
      <w:bookmarkEnd w:id="28"/>
    </w:p>
    <w:p>
      <w:pPr>
        <w:pStyle w:val="FirstParagraph"/>
      </w:pPr>
      <w:r>
        <w:t xml:space="preserve">LPO’s statutory language requires manufacturing to occur</w:t>
      </w:r>
      <w:r>
        <w:t xml:space="preserve"> </w:t>
      </w:r>
      <w:r>
        <w:rPr>
          <w:b/>
        </w:rPr>
        <w:t xml:space="preserve">in the United States</w:t>
      </w:r>
      <w:r>
        <w:t xml:space="preserve">.</w:t>
      </w:r>
      <w:r>
        <w:t xml:space="preserve"> </w:t>
      </w:r>
      <w:r>
        <w:t xml:space="preserve">The ATVM program issues loans to automobile and component manufacturers for reequipping, expanding, or establishing manufacturing facilities in the United States to produce advanced technology vehicles or qualified components, and for engineering integration costs.</w:t>
      </w:r>
      <w:r>
        <w:t xml:space="preserve"> </w:t>
      </w:r>
      <w:r>
        <w:t xml:space="preserve">Even if ATVM still existed, Lunar’s Mexico-based module assembly would require explicit ring-fencing. LPO would likely condition any loan on either (a) onshoring module assembly to the U.S. or (b) demonstrating that the Georgia facility performs sufficient value-added manufacturing independently. This is a resolvable but non-trivial obstacle.</w:t>
      </w:r>
    </w:p>
    <w:p>
      <w:pPr>
        <w:pStyle w:val="Heading3"/>
      </w:pPr>
      <w:bookmarkStart w:id="29" w:name="X37d9eb45d54162e2841ef9222d08d85b8b18fd7"/>
      <w:r>
        <w:t xml:space="preserve">4.4 The CEO’s</w:t>
      </w:r>
      <w:r>
        <w:t xml:space="preserve"> </w:t>
      </w:r>
      <w:r>
        <w:t xml:space="preserve">“</w:t>
      </w:r>
      <w:r>
        <w:t xml:space="preserve">Never Raise Again</w:t>
      </w:r>
      <w:r>
        <w:t xml:space="preserve">”</w:t>
      </w:r>
      <w:r>
        <w:t xml:space="preserve"> </w:t>
      </w:r>
      <w:r>
        <w:t xml:space="preserve">Statement vs. LPO Dynamics</w:t>
      </w:r>
      <w:bookmarkEnd w:id="29"/>
    </w:p>
    <w:p>
      <w:pPr>
        <w:pStyle w:val="FirstParagraph"/>
      </w:pPr>
      <w:r>
        <w:t xml:space="preserve">The CEO’s public statement that Lunar will</w:t>
      </w:r>
      <w:r>
        <w:t xml:space="preserve"> </w:t>
      </w:r>
      <w:r>
        <w:t xml:space="preserve">“</w:t>
      </w:r>
      <w:r>
        <w:t xml:space="preserve">never raise again</w:t>
      </w:r>
      <w:r>
        <w:t xml:space="preserve">”</w:t>
      </w:r>
      <w:r>
        <w:t xml:space="preserve"> </w:t>
      </w:r>
      <w:r>
        <w:t xml:space="preserve">creates a subtle strategic problem for an LPO application. LPO requires borrowers to demonstrate</w:t>
      </w:r>
      <w:r>
        <w:t xml:space="preserve"> </w:t>
      </w:r>
      <w:r>
        <w:t xml:space="preserve">readily available equity</w:t>
      </w:r>
      <w:r>
        <w:t xml:space="preserve"> </w:t>
      </w:r>
      <w:r>
        <w:t xml:space="preserve">and to demonstrate financial viability without additional federal funding.</w:t>
      </w:r>
      <w:r>
        <w:t xml:space="preserve"> </w:t>
      </w:r>
      <w:r>
        <w:t xml:space="preserve">Eligible projects must be financially viable without the receipt of additional Federal funding associated with the proposed project.</w:t>
      </w:r>
      <w:r>
        <w:t xml:space="preserve"> </w:t>
      </w:r>
      <w:r>
        <w:t xml:space="preserve">These are not contradictory — LPO debt is not equity — but the CEO’s public framing creates a narrative that could work against demonstrating the project is not simply a lifeline.</w:t>
      </w:r>
    </w:p>
    <w:p>
      <w:pPr>
        <w:pStyle w:val="Heading3"/>
      </w:pPr>
      <w:bookmarkStart w:id="30" w:name="Xfd976273130ad40e0141cde808ec749d66b2890"/>
      <w:r>
        <w:t xml:space="preserve">4.5 The Real Capital Path for Lunar Given Current Conditions</w:t>
      </w:r>
      <w:bookmarkEnd w:id="30"/>
    </w:p>
    <w:p>
      <w:pPr>
        <w:pStyle w:val="FirstParagraph"/>
      </w:pPr>
      <w:r>
        <w:t xml:space="preserve">Given ATVM’s repeal and the new administration’s priorities, Lunar’s realistic government-adjacent financing alternatives in order of feasibility are:</w:t>
      </w:r>
    </w:p>
    <w:p>
      <w:pPr>
        <w:numPr>
          <w:ilvl w:val="0"/>
          <w:numId w:val="1002"/>
        </w:numPr>
        <w:pStyle w:val="Compact"/>
      </w:pPr>
      <w:r>
        <w:rPr>
          <w:b/>
        </w:rPr>
        <w:t xml:space="preserve">DOD Manufacturing Authority (Title III / Defense Production Act):</w:t>
      </w:r>
      <w:r>
        <w:t xml:space="preserve"> </w:t>
      </w:r>
      <w:r>
        <w:t xml:space="preserve">The OBBBA shifted significant manufacturing finance authority to DoD.</w:t>
      </w:r>
      <w:r>
        <w:t xml:space="preserve"> </w:t>
      </w:r>
      <w:r>
        <w:t xml:space="preserve">The bill established new federal grant and loan programs, significantly restructured the flow of federal incentives, shifting focus towards the Department of Defense and away from the Department of Energy.</w:t>
      </w:r>
      <w:r>
        <w:t xml:space="preserve"> </w:t>
      </w:r>
      <w:r>
        <w:t xml:space="preserve">A grid resilience / national security framing — Lunar’s VPPs powering military family housing or critical infrastructure — could access DoD Title III funds.</w:t>
      </w:r>
    </w:p>
    <w:p>
      <w:pPr>
        <w:numPr>
          <w:ilvl w:val="0"/>
          <w:numId w:val="1002"/>
        </w:numPr>
        <w:pStyle w:val="Compact"/>
      </w:pPr>
      <w:r>
        <w:rPr>
          <w:b/>
        </w:rPr>
        <w:t xml:space="preserve">State-level financing:</w:t>
      </w:r>
      <w:r>
        <w:t xml:space="preserve"> </w:t>
      </w:r>
      <w:r>
        <w:t xml:space="preserve">Georgia’s OneGeorgia Authority or the Georgia Energy Technology Fund could provide gap financing for the Suwanee facility expansion.</w:t>
      </w:r>
    </w:p>
    <w:p>
      <w:pPr>
        <w:numPr>
          <w:ilvl w:val="0"/>
          <w:numId w:val="1002"/>
        </w:numPr>
        <w:pStyle w:val="Compact"/>
      </w:pPr>
      <w:r>
        <w:rPr>
          <w:b/>
        </w:rPr>
        <w:t xml:space="preserve">Title XVII 1703 with credit subsidy self-pay:</w:t>
      </w:r>
      <w:r>
        <w:t xml:space="preserve"> </w:t>
      </w:r>
      <w:r>
        <w:t xml:space="preserve">If Lunar is willing to pay the credit subsidy cost upfront (estimated at 2–5% of loan principal, so $4–10M on a $200M loan), the 1703 program technically remains open and the</w:t>
      </w:r>
      <w:r>
        <w:t xml:space="preserve"> </w:t>
      </w:r>
      <w:r>
        <w:t xml:space="preserve">“</w:t>
      </w:r>
      <w:r>
        <w:t xml:space="preserve">grid reliability</w:t>
      </w:r>
      <w:r>
        <w:t xml:space="preserve">”</w:t>
      </w:r>
      <w:r>
        <w:t xml:space="preserve"> </w:t>
      </w:r>
      <w:r>
        <w:t xml:space="preserve">framing is available. This is expensive but structurally possible.</w:t>
      </w:r>
    </w:p>
    <w:p>
      <w:r>
        <w:pict>
          <v:rect style="width:0;height:1.5pt" o:hralign="center" o:hrstd="t" o:hr="t"/>
        </w:pict>
      </w:r>
    </w:p>
    <w:p>
      <w:pPr>
        <w:pStyle w:val="Heading2"/>
      </w:pPr>
      <w:bookmarkStart w:id="31" w:name="magnitude-estimate"/>
      <w:r>
        <w:t xml:space="preserve">5. MAGNITUDE ESTIMATE</w:t>
      </w:r>
      <w:bookmarkEnd w:id="31"/>
    </w:p>
    <w:p>
      <w:pPr>
        <w:pStyle w:val="Heading3"/>
      </w:pPr>
      <w:bookmarkStart w:id="32" w:name="X3f8b6f476d8403ed8d6f72742fac0e2b527da2f"/>
      <w:r>
        <w:t xml:space="preserve">If a loan were obtained (optimistic scenario)</w:t>
      </w:r>
      <w:bookmarkEnd w:id="32"/>
    </w:p>
    <w:p>
      <w:pPr>
        <w:pStyle w:val="FirstParagraph"/>
      </w:pPr>
      <w:r>
        <w:rPr>
          <w:b/>
        </w:rPr>
        <w:t xml:space="preserve">Interest cost savings:</w:t>
      </w:r>
      <w:r>
        <w:t xml:space="preserve"> </w:t>
      </w:r>
      <w:r>
        <w:t xml:space="preserve">At $200M, the spread between LPO rates (Treasury rate, currently ~4.5% for 10-year) and venture debt (9–11%) would be approximately $9–13M/year. The originally cited $12–16M/year figure assumes a pre-2024 rate environment. In the current rate environment with Treasury 10-year around 4.5%, venture debt spreads compress somewhat, so the realistic savings are approximately</w:t>
      </w:r>
      <w:r>
        <w:t xml:space="preserve"> </w:t>
      </w:r>
      <w:r>
        <w:rPr>
          <w:b/>
        </w:rPr>
        <w:t xml:space="preserve">$9–13M/year</w:t>
      </w:r>
      <w:r>
        <w:t xml:space="preserve"> </w:t>
      </w:r>
      <w:r>
        <w:t xml:space="preserve">— still material but not as large as originally estimated.</w:t>
      </w:r>
    </w:p>
    <w:p>
      <w:pPr>
        <w:pStyle w:val="BodyText"/>
      </w:pPr>
      <w:r>
        <w:rPr>
          <w:b/>
        </w:rPr>
        <w:t xml:space="preserve">CapEx gap coverage:</w:t>
      </w:r>
      <w:r>
        <w:t xml:space="preserve"> </w:t>
      </w:r>
      <w:r>
        <w:t xml:space="preserve">With $532M total raised, $8–12M/month burn, and $230–450M in estimated manufacturing CapEx, a $200M LPO loan would cover approximately 44–87% of the CapEx gap. At current burn, the company has roughly 18–27 months of runway from the February 2026 raise — and the manufacturing CapEx timeline likely aligns with the capital need in 2027–2028.</w:t>
      </w:r>
    </w:p>
    <w:p>
      <w:pPr>
        <w:pStyle w:val="BodyText"/>
      </w:pPr>
      <w:r>
        <w:rPr>
          <w:b/>
        </w:rPr>
        <w:t xml:space="preserve">Probability of obtaining a loan under current conditions:</w:t>
      </w:r>
      <w:r>
        <w:t xml:space="preserve"> </w:t>
      </w:r>
      <w:r>
        <w:t xml:space="preserve">- ATVM: 0% (repealed)</w:t>
      </w:r>
      <w:r>
        <w:t xml:space="preserve"> </w:t>
      </w:r>
      <w:r>
        <w:t xml:space="preserve">- Title XVII 1703 (Innovative Clean Energy, residential battery manufacturer framing):</w:t>
      </w:r>
      <w:r>
        <w:t xml:space="preserve"> </w:t>
      </w:r>
      <w:r>
        <w:rPr>
          <w:b/>
        </w:rPr>
        <w:t xml:space="preserve">3–5%</w:t>
      </w:r>
      <w:r>
        <w:t xml:space="preserve"> </w:t>
      </w:r>
      <w:r>
        <w:t xml:space="preserve">- EDFP/1706 (Energy Dominance):</w:t>
      </w:r>
      <w:r>
        <w:t xml:space="preserve"> </w:t>
      </w:r>
      <w:r>
        <w:rPr>
          <w:b/>
        </w:rPr>
        <w:t xml:space="preserve">2–4%</w:t>
      </w:r>
      <w:r>
        <w:t xml:space="preserve"> </w:t>
      </w:r>
      <w:r>
        <w:t xml:space="preserve">- Any government loan via creative reframing (DOD, EDFP):</w:t>
      </w:r>
      <w:r>
        <w:t xml:space="preserve"> </w:t>
      </w:r>
      <w:r>
        <w:rPr>
          <w:b/>
        </w:rPr>
        <w:t xml:space="preserve">5–8%</w:t>
      </w:r>
      <w:r>
        <w:t xml:space="preserve"> </w:t>
      </w:r>
      <w:r>
        <w:t xml:space="preserve">-</w:t>
      </w:r>
      <w:r>
        <w:t xml:space="preserve"> </w:t>
      </w:r>
      <w:r>
        <w:rPr>
          <w:b/>
        </w:rPr>
        <w:t xml:space="preserve">Blended probability of closing any government loan facility by end of 2027: ≤10%</w:t>
      </w:r>
    </w:p>
    <w:p>
      <w:r>
        <w:pict>
          <v:rect style="width:0;height:1.5pt" o:hralign="center" o:hrstd="t" o:hr="t"/>
        </w:pict>
      </w:r>
    </w:p>
    <w:p>
      <w:pPr>
        <w:pStyle w:val="Heading2"/>
      </w:pPr>
      <w:bookmarkStart w:id="33" w:name="confidence-assessment"/>
      <w:r>
        <w:t xml:space="preserve">6. CONFIDENCE ASSESSMENT</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Confidence</w:t>
            </w:r>
          </w:p>
        </w:tc>
      </w:tr>
      <w:tr>
        <w:tc>
          <w:p>
            <w:pPr>
              <w:pStyle w:val="Compact"/>
              <w:jc w:val="left"/>
            </w:pPr>
            <w:r>
              <w:rPr>
                <w:b/>
              </w:rPr>
              <w:t xml:space="preserve">Has Lunar applied to LPO?</w:t>
            </w:r>
          </w:p>
        </w:tc>
        <w:tc>
          <w:p>
            <w:pPr>
              <w:pStyle w:val="Compact"/>
              <w:jc w:val="left"/>
            </w:pPr>
            <w:r>
              <w:t xml:space="preserve">No public evidence of any application or pre-application engagement</w:t>
            </w:r>
          </w:p>
        </w:tc>
        <w:tc>
          <w:p>
            <w:pPr>
              <w:pStyle w:val="Compact"/>
              <w:jc w:val="left"/>
            </w:pPr>
            <w:r>
              <w:rPr>
                <w:b/>
              </w:rPr>
              <w:t xml:space="preserve">High</w:t>
            </w:r>
            <w:r>
              <w:t xml:space="preserve"> </w:t>
            </w:r>
            <w:r>
              <w:t xml:space="preserve">(90%+) — exhaustive search found nothing</w:t>
            </w:r>
          </w:p>
        </w:tc>
      </w:tr>
      <w:tr>
        <w:tc>
          <w:p>
            <w:pPr>
              <w:pStyle w:val="Compact"/>
              <w:jc w:val="left"/>
            </w:pPr>
            <w:r>
              <w:rPr>
                <w:b/>
              </w:rPr>
              <w:t xml:space="preserve">Is residential battery assembly eligible under Title XVII / ATVM?</w:t>
            </w:r>
          </w:p>
        </w:tc>
        <w:tc>
          <w:p>
            <w:pPr>
              <w:pStyle w:val="Compact"/>
              <w:jc w:val="left"/>
            </w:pPr>
            <w:r>
              <w:t xml:space="preserve">Under prior law: yes (ATVM with caveats). Under current law (OBBBA): ATVM repealed; Title XVII subsidy rescinded; pathway severely constrained</w:t>
            </w:r>
          </w:p>
        </w:tc>
        <w:tc>
          <w:p>
            <w:pPr>
              <w:pStyle w:val="Compact"/>
              <w:jc w:val="left"/>
            </w:pPr>
            <w:r>
              <w:rPr>
                <w:b/>
              </w:rPr>
              <w:t xml:space="preserve">High</w:t>
            </w:r>
            <w:r>
              <w:t xml:space="preserve"> </w:t>
            </w:r>
            <w:r>
              <w:t xml:space="preserve">(95%) — statutory text is clear</w:t>
            </w:r>
          </w:p>
        </w:tc>
      </w:tr>
      <w:tr>
        <w:tc>
          <w:p>
            <w:pPr>
              <w:pStyle w:val="Compact"/>
              <w:jc w:val="left"/>
            </w:pPr>
            <w:r>
              <w:rPr>
                <w:b/>
              </w:rPr>
              <w:t xml:space="preserve">Does Mexico assembly disqualify?</w:t>
            </w:r>
          </w:p>
        </w:tc>
        <w:tc>
          <w:p>
            <w:pPr>
              <w:pStyle w:val="Compact"/>
              <w:jc w:val="left"/>
            </w:pPr>
            <w:r>
              <w:t xml:space="preserve">Yes under ATVM (U.S. manufacturing requirement). For any surviving program, would require ring-fencing or onshoring commitment</w:t>
            </w:r>
          </w:p>
        </w:tc>
        <w:tc>
          <w:p>
            <w:pPr>
              <w:pStyle w:val="Compact"/>
              <w:jc w:val="left"/>
            </w:pPr>
            <w:r>
              <w:rPr>
                <w:b/>
              </w:rPr>
              <w:t xml:space="preserve">High</w:t>
            </w:r>
            <w:r>
              <w:t xml:space="preserve"> </w:t>
            </w:r>
            <w:r>
              <w:t xml:space="preserve">(85%)</w:t>
            </w:r>
          </w:p>
        </w:tc>
      </w:tr>
      <w:tr>
        <w:tc>
          <w:p>
            <w:pPr>
              <w:pStyle w:val="Compact"/>
              <w:jc w:val="left"/>
            </w:pPr>
            <w:r>
              <w:rPr>
                <w:b/>
              </w:rPr>
              <w:t xml:space="preserve">Comparable companies who received LPO loans</w:t>
            </w:r>
          </w:p>
        </w:tc>
        <w:tc>
          <w:p>
            <w:pPr>
              <w:pStyle w:val="Compact"/>
              <w:jc w:val="left"/>
            </w:pPr>
            <w:r>
              <w:t xml:space="preserve">All comparables were cell/material manufacturers, not assemblers. No comparable residential battery assembler has received LPO financing</w:t>
            </w:r>
          </w:p>
        </w:tc>
        <w:tc>
          <w:p>
            <w:pPr>
              <w:pStyle w:val="Compact"/>
              <w:jc w:val="left"/>
            </w:pPr>
            <w:r>
              <w:rPr>
                <w:b/>
              </w:rPr>
              <w:t xml:space="preserve">High</w:t>
            </w:r>
            <w:r>
              <w:t xml:space="preserve"> </w:t>
            </w:r>
            <w:r>
              <w:t xml:space="preserve">(95%)</w:t>
            </w:r>
          </w:p>
        </w:tc>
      </w:tr>
      <w:tr>
        <w:tc>
          <w:p>
            <w:pPr>
              <w:pStyle w:val="Compact"/>
              <w:jc w:val="left"/>
            </w:pPr>
            <w:r>
              <w:rPr>
                <w:b/>
              </w:rPr>
              <w:t xml:space="preserve">LPO political status</w:t>
            </w:r>
          </w:p>
        </w:tc>
        <w:tc>
          <w:p>
            <w:pPr>
              <w:pStyle w:val="Compact"/>
              <w:jc w:val="left"/>
            </w:pPr>
            <w:r>
              <w:t xml:space="preserve">ATVM repealed; Title XVII gutted of credit subsidy; new EDFP focused on fossil/nuclear/critical minerals; clean energy new loans effectively frozen since January 2025</w:t>
            </w:r>
          </w:p>
        </w:tc>
        <w:tc>
          <w:p>
            <w:pPr>
              <w:pStyle w:val="Compact"/>
              <w:jc w:val="left"/>
            </w:pPr>
            <w:r>
              <w:rPr>
                <w:b/>
              </w:rPr>
              <w:t xml:space="preserve">Very high</w:t>
            </w:r>
            <w:r>
              <w:t xml:space="preserve"> </w:t>
            </w:r>
            <w:r>
              <w:t xml:space="preserve">(98%) — statutory facts</w:t>
            </w:r>
          </w:p>
        </w:tc>
      </w:tr>
      <w:tr>
        <w:tc>
          <w:p>
            <w:pPr>
              <w:pStyle w:val="Compact"/>
              <w:jc w:val="left"/>
            </w:pPr>
            <w:r>
              <w:rPr>
                <w:b/>
              </w:rPr>
              <w:t xml:space="preserve">Application timeline</w:t>
            </w:r>
          </w:p>
        </w:tc>
        <w:tc>
          <w:p>
            <w:pPr>
              <w:pStyle w:val="Compact"/>
              <w:jc w:val="left"/>
            </w:pPr>
            <w:r>
              <w:t xml:space="preserve">12–36 months from pre-application to funded loan, under favorable conditions</w:t>
            </w:r>
          </w:p>
        </w:tc>
        <w:tc>
          <w:p>
            <w:pPr>
              <w:pStyle w:val="Compact"/>
              <w:jc w:val="left"/>
            </w:pPr>
            <w:r>
              <w:rPr>
                <w:b/>
              </w:rPr>
              <w:t xml:space="preserve">High</w:t>
            </w:r>
            <w:r>
              <w:t xml:space="preserve"> </w:t>
            </w:r>
            <w:r>
              <w:t xml:space="preserve">(90%) — consistent across multiple sources</w:t>
            </w:r>
          </w:p>
        </w:tc>
      </w:tr>
      <w:tr>
        <w:tc>
          <w:p>
            <w:pPr>
              <w:pStyle w:val="Compact"/>
              <w:jc w:val="left"/>
            </w:pPr>
            <w:r>
              <w:rPr>
                <w:b/>
              </w:rPr>
              <w:t xml:space="preserve">Lunar-specific LPO eligibility</w:t>
            </w:r>
          </w:p>
        </w:tc>
        <w:tc>
          <w:p>
            <w:pPr>
              <w:pStyle w:val="Compact"/>
              <w:jc w:val="left"/>
            </w:pPr>
            <w:r>
              <w:t xml:space="preserve">Structurally challenged: wrong program era, wrong manufacturing geography (Mexico modules), wrong administration priorities</w:t>
            </w:r>
          </w:p>
        </w:tc>
        <w:tc>
          <w:p>
            <w:pPr>
              <w:pStyle w:val="Compact"/>
              <w:jc w:val="left"/>
            </w:pPr>
            <w:r>
              <w:rPr>
                <w:b/>
              </w:rPr>
              <w:t xml:space="preserve">High</w:t>
            </w:r>
            <w:r>
              <w:t xml:space="preserve"> </w:t>
            </w:r>
            <w:r>
              <w:t xml:space="preserve">(85%)</w:t>
            </w:r>
          </w:p>
        </w:tc>
      </w:tr>
    </w:tbl>
    <w:p>
      <w:pPr>
        <w:pStyle w:val="Heading3"/>
      </w:pPr>
      <w:bookmarkStart w:id="34" w:name="key-uncertainty"/>
      <w:r>
        <w:t xml:space="preserve">Key Uncertainty</w:t>
      </w:r>
      <w:bookmarkEnd w:id="34"/>
    </w:p>
    <w:p>
      <w:pPr>
        <w:pStyle w:val="FirstParagraph"/>
      </w:pPr>
      <w:r>
        <w:t xml:space="preserve">The one genuine wildcard is whether the Trump administration — which has shown pragmatic interest in domestic manufacturing and energy security — could be persuaded to support a residential battery assembler under an</w:t>
      </w:r>
      <w:r>
        <w:t xml:space="preserve"> </w:t>
      </w:r>
      <w:r>
        <w:t xml:space="preserve">“</w:t>
      </w:r>
      <w:r>
        <w:t xml:space="preserve">energy dominance + grid reliability</w:t>
      </w:r>
      <w:r>
        <w:t xml:space="preserve">”</w:t>
      </w:r>
      <w:r>
        <w:t xml:space="preserve"> </w:t>
      </w:r>
      <w:r>
        <w:t xml:space="preserve">frame.</w:t>
      </w:r>
      <w:r>
        <w:t xml:space="preserve"> </w:t>
      </w:r>
      <w:r>
        <w:t xml:space="preserve">The Trump administration is leveraging LPO as a strategic tool to catalyze private sector investment in energy infrastructure, aiming to enhance U.S. manufacturing competitiveness, strengthen supply chains, and reinforce the nation’s energy dominance.</w:t>
      </w:r>
      <w:r>
        <w:t xml:space="preserve"> </w:t>
      </w:r>
      <w:r>
        <w:t xml:space="preserve">This is not zero probability — but Lunar would need to reframe its entire narrative away from</w:t>
      </w:r>
      <w:r>
        <w:t xml:space="preserve"> </w:t>
      </w:r>
      <w:r>
        <w:t xml:space="preserve">“</w:t>
      </w:r>
      <w:r>
        <w:t xml:space="preserve">clean energy/climate</w:t>
      </w:r>
      <w:r>
        <w:t xml:space="preserve">”</w:t>
      </w:r>
      <w:r>
        <w:t xml:space="preserve"> </w:t>
      </w:r>
      <w:r>
        <w:t xml:space="preserve">and toward</w:t>
      </w:r>
      <w:r>
        <w:t xml:space="preserve"> </w:t>
      </w:r>
      <w:r>
        <w:t xml:space="preserve">“</w:t>
      </w:r>
      <w:r>
        <w:t xml:space="preserve">energy independence/grid reliability/domestic jobs,</w:t>
      </w:r>
      <w:r>
        <w:t xml:space="preserve">”</w:t>
      </w:r>
      <w:r>
        <w:t xml:space="preserve"> </w:t>
      </w:r>
      <w:r>
        <w:t xml:space="preserve">and would need significant political outreach at the Secretary of Energy level.</w:t>
      </w:r>
    </w:p>
    <w:p>
      <w:r>
        <w:pict>
          <v:rect style="width:0;height:1.5pt" o:hralign="center" o:hrstd="t" o:hr="t"/>
        </w:pict>
      </w:r>
    </w:p>
    <w:p>
      <w:pPr>
        <w:pStyle w:val="Heading2"/>
      </w:pPr>
      <w:bookmarkStart w:id="35" w:name="citations"/>
      <w:r>
        <w:t xml:space="preserve">7. CITATIONS</w:t>
      </w:r>
      <w:bookmarkEnd w:id="35"/>
    </w:p>
    <w:p>
      <w:pPr>
        <w:pStyle w:val="FirstParagraph"/>
      </w:pPr>
      <w:r>
        <w:t xml:space="preserve">Key sources underpinning this analysis:</w:t>
      </w:r>
    </w:p>
    <w:p>
      <w:pPr>
        <w:numPr>
          <w:ilvl w:val="0"/>
          <w:numId w:val="1003"/>
        </w:numPr>
      </w:pPr>
      <w:r>
        <w:t xml:space="preserve">The Advanced Technology Vehicles Manufacturing (ATVM) loan program — which had supported EV, battery, and critical minerals initiatives —</w:t>
      </w:r>
      <w:r>
        <w:t xml:space="preserve"> </w:t>
      </w:r>
      <w:r>
        <w:rPr>
          <w:b/>
        </w:rPr>
        <w:t xml:space="preserve">has been repealed entirely</w:t>
      </w:r>
      <w:r>
        <w:t xml:space="preserve"> </w:t>
      </w:r>
      <w:r>
        <w:t xml:space="preserve">(ML Strategies / Mondaq, July 2025).</w:t>
      </w:r>
    </w:p>
    <w:p>
      <w:pPr>
        <w:numPr>
          <w:ilvl w:val="0"/>
          <w:numId w:val="1003"/>
        </w:numPr>
      </w:pPr>
      <w:r>
        <w:t xml:space="preserve">The One Big Beautiful Bill Act brings sweeping changes to LPO, overhauling its authorities. Most notably, the law repeals the IRA’s loan authority for LPO programs and replaces the Section 1706 EIR program with a new Energy Dominance Financing authority</w:t>
      </w:r>
      <w:r>
        <w:t xml:space="preserve"> </w:t>
      </w:r>
      <w:r>
        <w:t xml:space="preserve">(Holland &amp; Knight, August 2025).</w:t>
      </w:r>
    </w:p>
    <w:p>
      <w:pPr>
        <w:numPr>
          <w:ilvl w:val="0"/>
          <w:numId w:val="1003"/>
        </w:numPr>
      </w:pPr>
      <w:r>
        <w:t xml:space="preserve">Under the current administration, at least $11 billion, or 32%, of unobligated IRA funding was rescinded through OBBBA, including the IRA credit subsidy appropriations for DOE’s loan programs</w:t>
      </w:r>
      <w:r>
        <w:t xml:space="preserve"> </w:t>
      </w:r>
      <w:r>
        <w:t xml:space="preserve">(FAS, January 2026).</w:t>
      </w:r>
    </w:p>
    <w:p>
      <w:pPr>
        <w:numPr>
          <w:ilvl w:val="0"/>
          <w:numId w:val="1003"/>
        </w:numPr>
      </w:pPr>
      <w:r>
        <w:t xml:space="preserve">The Lunar System is designed in California and assembled in Georgia and Washington, making it eligible for clean energy investment tax credits</w:t>
      </w:r>
      <w:r>
        <w:t xml:space="preserve"> </w:t>
      </w:r>
      <w:r>
        <w:t xml:space="preserve">(IESNA, February 2026).</w:t>
      </w:r>
    </w:p>
    <w:p>
      <w:pPr>
        <w:numPr>
          <w:ilvl w:val="0"/>
          <w:numId w:val="1003"/>
        </w:numPr>
      </w:pPr>
      <w:r>
        <w:t xml:space="preserve">Lunar is</w:t>
      </w:r>
      <w:r>
        <w:t xml:space="preserve"> </w:t>
      </w:r>
      <w:r>
        <w:t xml:space="preserve">“</w:t>
      </w:r>
      <w:r>
        <w:t xml:space="preserve">proudly domestic content,</w:t>
      </w:r>
      <w:r>
        <w:t xml:space="preserve">”</w:t>
      </w:r>
      <w:r>
        <w:t xml:space="preserve"> </w:t>
      </w:r>
      <w:r>
        <w:t xml:space="preserve">meaning its products qualify as non-FEOC and can secure the ITC and domestic content incentives for third-party owners</w:t>
      </w:r>
      <w:r>
        <w:t xml:space="preserve"> </w:t>
      </w:r>
      <w:r>
        <w:t xml:space="preserve">(PV Magazine USA, February 2026).</w:t>
      </w:r>
    </w:p>
    <w:p>
      <w:pPr>
        <w:numPr>
          <w:ilvl w:val="0"/>
          <w:numId w:val="1003"/>
        </w:numPr>
      </w:pPr>
      <w:r>
        <w:t xml:space="preserve">The application process through conditional commitment commonly takes up to a year. However, it can move faster or slower depending on applicant readiness with required materials</w:t>
      </w:r>
      <w:r>
        <w:t xml:space="preserve"> </w:t>
      </w:r>
      <w:r>
        <w:t xml:space="preserve">(DOE EDF, Application Process page).</w:t>
      </w:r>
    </w:p>
    <w:p>
      <w:pPr>
        <w:numPr>
          <w:ilvl w:val="0"/>
          <w:numId w:val="1003"/>
        </w:numPr>
      </w:pPr>
      <w:r>
        <w:t xml:space="preserve">LPO has been impaired by the OBBBA. Key programs that once bridged critical financing gaps — such as the Advanced Technologies Vehicle Manufacturing Program — are now near defunct due to funding rescissions</w:t>
      </w:r>
      <w:r>
        <w:t xml:space="preserve"> </w:t>
      </w:r>
      <w:r>
        <w:t xml:space="preserve">(Third Way, 2025).</w:t>
      </w:r>
    </w:p>
    <w:p>
      <w:pPr>
        <w:numPr>
          <w:ilvl w:val="0"/>
          <w:numId w:val="1003"/>
        </w:numPr>
      </w:pPr>
      <w:r>
        <w:t xml:space="preserve">Clean energy manufacturers canceled, closed, or downsized nearly $8 billion in projects in Q1 2025. Cancellations included Kore Power’s $1.2 billion factory in Arizona and Freyr Battery’s $2.6 billion Georgia battery factory</w:t>
      </w:r>
      <w:r>
        <w:t xml:space="preserve"> </w:t>
      </w:r>
      <w:r>
        <w:t xml:space="preserve">(Utility Dive, April 2025).</w:t>
      </w:r>
    </w:p>
    <w:p>
      <w:pPr>
        <w:numPr>
          <w:ilvl w:val="0"/>
          <w:numId w:val="1003"/>
        </w:numPr>
      </w:pPr>
      <w:r>
        <w:t xml:space="preserve">The Energy Dominance Financing Program’s core pillars are: increasing energy supply through new eligibility for clean coal and oil and gas projects, securing critical mineral supply chains, and reinvigorating the nuclear industry</w:t>
      </w:r>
      <w:r>
        <w:t xml:space="preserve"> </w:t>
      </w:r>
      <w:r>
        <w:t xml:space="preserve">(DOE/EDF, 2025).</w:t>
      </w:r>
    </w:p>
    <w:p>
      <w:pPr>
        <w:numPr>
          <w:ilvl w:val="0"/>
          <w:numId w:val="1003"/>
        </w:numPr>
      </w:pPr>
      <w:r>
        <w:t xml:space="preserve">Loans that closed after LPO’s review still took a median of 11.7 months to complete the due diligence review</w:t>
      </w:r>
      <w:r>
        <w:t xml:space="preserve"> </w:t>
      </w:r>
      <w:r>
        <w:t xml:space="preserve">(GAO-25-106631, May 2025).</w:t>
      </w:r>
    </w:p>
    <w:p>
      <w:r>
        <w:pict>
          <v:rect style="width:0;height:1.5pt" o:hralign="center" o:hrstd="t" o:hr="t"/>
        </w:pict>
      </w:r>
    </w:p>
    <w:p>
      <w:pPr>
        <w:pStyle w:val="Heading2"/>
      </w:pPr>
      <w:bookmarkStart w:id="36" w:name="bottom-line-judgment"/>
      <w:r>
        <w:t xml:space="preserve">BOTTOM LINE JUDGMENT</w:t>
      </w:r>
      <w:bookmarkEnd w:id="36"/>
    </w:p>
    <w:p>
      <w:pPr>
        <w:pStyle w:val="FirstParagraph"/>
      </w:pPr>
      <w:r>
        <w:rPr>
          <w:b/>
        </w:rPr>
        <w:t xml:space="preserve">The hypothesis, as originally framed, is no longer actionable.</w:t>
      </w:r>
      <w:r>
        <w:t xml:space="preserve"> </w:t>
      </w:r>
      <w:r>
        <w:t xml:space="preserve">The window it contemplated closed in early-to-mid 2025. The specific programs that would have made Lunar eligible — ATVM and Title XVII with IRA credit subsidy — are either repealed or effectively defunded.</w:t>
      </w:r>
    </w:p>
    <w:p>
      <w:pPr>
        <w:pStyle w:val="BodyText"/>
      </w:pPr>
      <w:r>
        <w:rPr>
          <w:b/>
        </w:rPr>
        <w:t xml:space="preserve">What remains true:</w:t>
      </w:r>
      <w:r>
        <w:t xml:space="preserve"> </w:t>
      </w:r>
      <w:r>
        <w:t xml:space="preserve">- The</w:t>
      </w:r>
      <w:r>
        <w:t xml:space="preserve"> </w:t>
      </w:r>
      <w:r>
        <w:rPr>
          <w:i/>
        </w:rPr>
        <w:t xml:space="preserve">financial logic</w:t>
      </w:r>
      <w:r>
        <w:t xml:space="preserve"> </w:t>
      </w:r>
      <w:r>
        <w:t xml:space="preserve">of the hypothesis was always sound: $9–13M/year in interest savings on $200M is real money for a company burning $8–12M/month</w:t>
      </w:r>
      <w:r>
        <w:t xml:space="preserve"> </w:t>
      </w:r>
      <w:r>
        <w:t xml:space="preserve">- Lunar’s Georgia manufacturing footprint and</w:t>
      </w:r>
      <w:r>
        <w:t xml:space="preserve"> </w:t>
      </w:r>
      <w:r>
        <w:t xml:space="preserve">“</w:t>
      </w:r>
      <w:r>
        <w:t xml:space="preserve">proudly domestic content</w:t>
      </w:r>
      <w:r>
        <w:t xml:space="preserve">”</w:t>
      </w:r>
      <w:r>
        <w:t xml:space="preserve"> </w:t>
      </w:r>
      <w:r>
        <w:t xml:space="preserve">positioning are genuine assets</w:t>
      </w:r>
      <w:r>
        <w:t xml:space="preserve"> </w:t>
      </w:r>
      <w:r>
        <w:t xml:space="preserve">- The company has no public evidence of ever having engaged with LPO — suggesting this was simply never prioritized</w:t>
      </w:r>
    </w:p>
    <w:p>
      <w:pPr>
        <w:pStyle w:val="BodyText"/>
      </w:pPr>
      <w:r>
        <w:rPr>
          <w:b/>
        </w:rPr>
        <w:t xml:space="preserve">What has changed irrevocably:</w:t>
      </w:r>
      <w:r>
        <w:t xml:space="preserve"> </w:t>
      </w:r>
      <w:r>
        <w:t xml:space="preserve">- ATVM is repealed; there is no battery assembly/pack manufacturing loan program</w:t>
      </w:r>
      <w:r>
        <w:t xml:space="preserve"> </w:t>
      </w:r>
      <w:r>
        <w:t xml:space="preserve">- The IRA credit subsidy that made low-cost loans possible for clean energy manufacturers is gone</w:t>
      </w:r>
      <w:r>
        <w:t xml:space="preserve"> </w:t>
      </w:r>
      <w:r>
        <w:t xml:space="preserve">- The administration’s LPO priorities are fossil fuel, nuclear, and critical minerals — not residential battery assembly</w:t>
      </w:r>
      <w:r>
        <w:t xml:space="preserve"> </w:t>
      </w:r>
      <w:r>
        <w:t xml:space="preserve">- Mexico-based module manufacturing would have been a structural complication under any program</w:t>
      </w:r>
    </w:p>
    <w:p>
      <w:pPr>
        <w:pStyle w:val="BodyText"/>
      </w:pPr>
      <w:r>
        <w:rPr>
          <w:b/>
        </w:rPr>
        <w:t xml:space="preserve">The single highest-priority government financing action available to Lunar today is not an LPO application — it is an assessment of whether DoD manufacturing finance programs (Title III, Defense Production Act), Georgia state incentive programs, or a creative reframing under the narrow surviving EDFP</w:t>
      </w:r>
      <w:r>
        <w:rPr>
          <w:b/>
        </w:rPr>
        <w:t xml:space="preserve"> </w:t>
      </w:r>
      <w:r>
        <w:rPr>
          <w:b/>
        </w:rPr>
        <w:t xml:space="preserve">“</w:t>
      </w:r>
      <w:r>
        <w:rPr>
          <w:b/>
        </w:rPr>
        <w:t xml:space="preserve">grid reliability</w:t>
      </w:r>
      <w:r>
        <w:rPr>
          <w:b/>
        </w:rPr>
        <w:t xml:space="preserve">”</w:t>
      </w:r>
      <w:r>
        <w:rPr>
          <w:b/>
        </w:rPr>
        <w:t xml:space="preserve"> </w:t>
      </w:r>
      <w:r>
        <w:rPr>
          <w:b/>
        </w:rPr>
        <w:t xml:space="preserve">provision could substitute.</w:t>
      </w:r>
      <w:r>
        <w:t xml:space="preserve"> </w:t>
      </w:r>
      <w:r>
        <w:t xml:space="preserve">If Lunar’s leadership believes government financing matters to the capital structure, those alternative paths deserve immediate internal analysis. An LPO pre-application consultation (free and non-binding) is still worth requesting to get a current eligibility read directly from EDF staff — but expectations should be calibrated accordingly.</w:t>
      </w:r>
    </w:p>
    <w:p>
      <w:pPr>
        <w:pStyle w:val="BodyText"/>
      </w:pPr>
      <w:r>
        <w:rPr>
          <w:b/>
        </w:rPr>
        <w:t xml:space="preserve">Probability that an LPO application filed today results in a funded loan by end of 2027: ≤10%.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2026-02-28T04:44:29Z</dcterms:created>
  <dcterms:modified xsi:type="dcterms:W3CDTF">2026-02-28T04:44:29Z</dcterms:modified>
</cp:coreProperties>
</file>

<file path=docProps/custom.xml><?xml version="1.0" encoding="utf-8"?>
<Properties xmlns="http://schemas.openxmlformats.org/officeDocument/2006/custom-properties" xmlns:vt="http://schemas.openxmlformats.org/officeDocument/2006/docPropsVTypes"/>
</file>