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a comprehensive research base. Let me now synthesize all findings into the structured analytical report requested.</w:t>
      </w:r>
    </w:p>
    <w:p>
      <w:r>
        <w:pict>
          <v:rect style="width:0;height:1.5pt" o:hralign="center" o:hrstd="t" o:hr="t"/>
        </w:pict>
      </w:r>
    </w:p>
    <w:p>
      <w:pPr>
        <w:pStyle w:val="Heading1"/>
      </w:pPr>
      <w:bookmarkStart w:id="20" w:name="X637baa6e8e21f2fcb85365cea4953a56f50a472"/>
      <w:r>
        <w:t xml:space="preserve">ANALYTICAL REPORT: LUNAR ENERGY’S $464/YEAR VPP EARNINGS CLAIM — POST-DSGS VALIDITY ASSESSMENT</w:t>
      </w:r>
      <w:bookmarkEnd w:id="20"/>
    </w:p>
    <w:p>
      <w:pPr>
        <w:pStyle w:val="FirstParagraph"/>
      </w:pPr>
      <w:r>
        <w:rPr>
          <w:b/>
        </w:rPr>
        <w:t xml:space="preserve">Prepared:</w:t>
      </w:r>
      <w:r>
        <w:t xml:space="preserve"> </w:t>
      </w:r>
      <w:r>
        <w:t xml:space="preserve">February 28, 2026</w:t>
      </w:r>
      <w:r>
        <w:t xml:space="preserve"> </w:t>
      </w:r>
      <w:r>
        <w:rPr>
          <w:b/>
        </w:rPr>
        <w:t xml:space="preserve">Classification:</w:t>
      </w:r>
      <w:r>
        <w:t xml:space="preserve"> </w:t>
      </w:r>
      <w:r>
        <w:t xml:space="preserve">Regulatory / Commercial Risk Analysis</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The hypothesis is</w:t>
      </w:r>
      <w:r>
        <w:t xml:space="preserve"> </w:t>
      </w:r>
      <w:r>
        <w:rPr>
          <w:b/>
        </w:rPr>
        <w:t xml:space="preserve">well-supported and highly credible</w:t>
      </w:r>
      <w:r>
        <w:t xml:space="preserve">. Lunar Energy’s $464/year VPP earnings figure was a legitimate 2025 historical average — but it was generated largely under a program (DSGS) that California has effectively defunded for 2026. The replacement programs available to California residential battery owners collectively offer materially lower compensation, likely in the range of</w:t>
      </w:r>
      <w:r>
        <w:t xml:space="preserve"> </w:t>
      </w:r>
      <w:r>
        <w:rPr>
          <w:b/>
        </w:rPr>
        <w:t xml:space="preserve">$100–$250/year per device</w:t>
      </w:r>
      <w:r>
        <w:t xml:space="preserve"> </w:t>
      </w:r>
      <w:r>
        <w:t xml:space="preserve">under utility ELRP alone, potentially rising to</w:t>
      </w:r>
      <w:r>
        <w:t xml:space="preserve"> </w:t>
      </w:r>
      <w:r>
        <w:rPr>
          <w:b/>
        </w:rPr>
        <w:t xml:space="preserve">$150–$350</w:t>
      </w:r>
      <w:r>
        <w:t xml:space="preserve"> </w:t>
      </w:r>
      <w:r>
        <w:t xml:space="preserve">for customers who can access CCA programs or a truncated DSGS with severely constrained enrollment. The gap between the marketed figure and 2026 forward-looking reality is material, likely</w:t>
      </w:r>
      <w:r>
        <w:t xml:space="preserve"> </w:t>
      </w:r>
      <w:r>
        <w:rPr>
          <w:b/>
        </w:rPr>
        <w:t xml:space="preserve">40–65%</w:t>
      </w:r>
      <w:r>
        <w:t xml:space="preserve">, and Lunar’s use of this figure in its February 2026 Series D announcement — without DSGS defunding disclosure — raises serious regulatory, legal, and channel trust concerns.</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72f97bb05f3f1cd32040cb5a379598354ea8582"/>
      <w:r>
        <w:t xml:space="preserve">1A. DSGS Is Effectively Terminated for 2026</w:t>
      </w:r>
      <w:bookmarkEnd w:id="23"/>
    </w:p>
    <w:p>
      <w:pPr>
        <w:pStyle w:val="FirstParagraph"/>
      </w:pPr>
      <w:r>
        <w:t xml:space="preserve">California lawmakers stripped all funding from the state’s Demand Side Grid Support (DSGS) program. Instead of expanding it, legislators cut its budget and deferred key decisions on future funding. The program will likely be unfunded in 2026, and battery resources will be</w:t>
      </w:r>
      <w:r>
        <w:t xml:space="preserve"> </w:t>
      </w:r>
      <w:r>
        <w:t xml:space="preserve">“</w:t>
      </w:r>
      <w:r>
        <w:t xml:space="preserve">mothballed.</w:t>
      </w:r>
      <w:r>
        <w:t xml:space="preserve">”</w:t>
      </w:r>
    </w:p>
    <w:p>
      <w:pPr>
        <w:pStyle w:val="BodyText"/>
      </w:pPr>
      <w:r>
        <w:t xml:space="preserve">The 2025 California legislative session ended in disappointment for VPP proponents, as Governor Gavin Newsom vetoed several VPP-related bills and lawmakers didn’t approve new funding for the existing program.</w:t>
      </w:r>
    </w:p>
    <w:p>
      <w:pPr>
        <w:pStyle w:val="BodyText"/>
      </w:pPr>
      <w:r>
        <w:t xml:space="preserve">This leaves DSGS with a dwindling pool of previously committed funding that is very likely to be depleted this year. The remaining budget stands at about $64 million. DSGS would need at least $75 million more to continue operating in 2026.</w:t>
      </w:r>
    </w:p>
    <w:p>
      <w:pPr>
        <w:pStyle w:val="BodyText"/>
      </w:pPr>
      <w:r>
        <w:t xml:space="preserve">Critically, the CEC program administrator signaled a survival strategy but not restoration:</w:t>
      </w:r>
      <w:r>
        <w:t xml:space="preserve"> </w:t>
      </w:r>
      <w:r>
        <w:t xml:space="preserve">Program staff anticipates having sufficient funding for the 2025 program season incentive payout. Staff expects to propose continuation of the DSGS Program for the 2026 program season with modifications to align with the funding level projected to be available after the 2025 incentive payout. A workshop will be announced at a later date to present potential changes to the DSGS Program.</w:t>
      </w:r>
      <w:r>
        <w:t xml:space="preserve"> </w:t>
      </w:r>
      <w:r>
        <w:t xml:space="preserve">This suggests a drastically scaled-down, not fully funded, 2026 iteration — if any.</w:t>
      </w:r>
    </w:p>
    <w:p>
      <w:pPr>
        <w:pStyle w:val="Heading3"/>
      </w:pPr>
      <w:bookmarkStart w:id="24" w:name="X81f666a6412a69b7b2c8c9d1c2062f962f00522"/>
      <w:r>
        <w:t xml:space="preserve">1B. The $464 Figure Is a 2025 Historical Average, Not a 2026 Forecast</w:t>
      </w:r>
      <w:bookmarkEnd w:id="24"/>
    </w:p>
    <w:p>
      <w:pPr>
        <w:pStyle w:val="FirstParagraph"/>
      </w:pPr>
      <w:r>
        <w:t xml:space="preserve">Last year, Lunar’s AI-driven software earned customers an average of $464 by participating in a VPP program, and saved customers an additional $338 compared to a standard home battery operating mode.</w:t>
      </w:r>
    </w:p>
    <w:p>
      <w:pPr>
        <w:pStyle w:val="BodyText"/>
      </w:pPr>
      <w:r>
        <w:t xml:space="preserve">Customers earned US$464, on average, by participating in VPP programmes in 2025.</w:t>
      </w:r>
    </w:p>
    <w:p>
      <w:pPr>
        <w:pStyle w:val="BodyText"/>
      </w:pPr>
      <w:r>
        <w:t xml:space="preserve">The figure is unambiguously backward-looking — a 2025 performance metric that Lunar is projecting forward as a value proposition for 2026 enrollees, in a fundamentally changed policy environment.</w:t>
      </w:r>
    </w:p>
    <w:p>
      <w:pPr>
        <w:pStyle w:val="BodyText"/>
      </w:pPr>
      <w:r>
        <w:t xml:space="preserve">Lunar’s systems are primarily deployed through residential leases, meaning homeowners pay no upfront cost. The company’s claim that customers earned an average of $464 last year from VPP participation is a crucial metric — it demonstrates the value proposition that makes this leasing model work.</w:t>
      </w:r>
      <w:r>
        <w:t xml:space="preserve"> </w:t>
      </w:r>
      <w:r>
        <w:t xml:space="preserve">This makes the integrity of the figure doubly important: it is load-bearing for the financial architecture of Lunar’s business model, not merely marketing copy.</w:t>
      </w:r>
    </w:p>
    <w:p>
      <w:pPr>
        <w:pStyle w:val="Heading3"/>
      </w:pPr>
      <w:bookmarkStart w:id="25" w:name="Xe38b982379b90f7a76774460dd9365a840c26b5"/>
      <w:r>
        <w:t xml:space="preserve">1C. DSGS Was the Dominant Revenue Source Behind the $464 Figure</w:t>
      </w:r>
      <w:bookmarkEnd w:id="25"/>
    </w:p>
    <w:p>
      <w:pPr>
        <w:pStyle w:val="FirstParagraph"/>
      </w:pPr>
      <w:r>
        <w:t xml:space="preserve">During the July 2025 mass VPP test, more than 88% of the megawatts came from home batteries formally enrolled in the DSGS program. Under DSGS, residential battery owners in California can be compensated for providing grid services — in the form of either demand reduction or output from onsite generation — during extreme events, to reduce the risk of rotating power outages.</w:t>
      </w:r>
    </w:p>
    <w:p>
      <w:pPr>
        <w:pStyle w:val="BodyText"/>
      </w:pPr>
      <w:r>
        <w:t xml:space="preserve">One of DSGS’s signature success stories is its program option for behind-the-meter batteries participating in VPP fleets. Launched just over two years ago in August 2023, the DSGS battery VPP already has over 720 megawatts of customer battery capacity enrolled.</w:t>
      </w:r>
    </w:p>
    <w:p>
      <w:pPr>
        <w:pStyle w:val="BodyText"/>
      </w:pPr>
      <w:r>
        <w:t xml:space="preserve">This enrollment dominance by DSGS — at over 720 MW — dwarfs replacement programs, which are far smaller in scale and lower in payment rates.</w:t>
      </w:r>
    </w:p>
    <w:p>
      <w:pPr>
        <w:pStyle w:val="Heading3"/>
      </w:pPr>
      <w:bookmarkStart w:id="26" w:name="Xb1ae1c9e972841c8c93a8d80f000172be28e1e1"/>
      <w:r>
        <w:t xml:space="preserve">1D. Replacement Programs Pay Materially Less</w:t>
      </w:r>
      <w:bookmarkEnd w:id="26"/>
    </w:p>
    <w:p>
      <w:pPr>
        <w:pStyle w:val="FirstParagraph"/>
      </w:pPr>
      <w:r>
        <w:rPr>
          <w:b/>
        </w:rPr>
        <w:t xml:space="preserve">PG&amp;E Emergency Load Reduction Program (ELRP):</w:t>
      </w:r>
    </w:p>
    <w:p>
      <w:pPr>
        <w:pStyle w:val="BodyText"/>
      </w:pPr>
      <w:r>
        <w:t xml:space="preserve">ELRP participants earn $2 per kilowatt-hour for credited load reduction. For example, a homeowner with two IQ Battery 10s who selects a 20% Backup Reserve can contribute up to 16 kWh during an ELRP event.</w:t>
      </w:r>
    </w:p>
    <w:p>
      <w:pPr>
        <w:pStyle w:val="BodyText"/>
      </w:pPr>
      <w:r>
        <w:t xml:space="preserve">But event frequency is the critical constraint:</w:t>
      </w:r>
      <w:r>
        <w:t xml:space="preserve"> </w:t>
      </w:r>
      <w:r>
        <w:t xml:space="preserve">ELRP events last from one to three hours, and will be scheduled between 4 p.m. and 9 p.m. on days they occur. Between 20 and 60 event hours will be scheduled during each ELRP season.</w:t>
      </w:r>
    </w:p>
    <w:p>
      <w:pPr>
        <w:pStyle w:val="BodyText"/>
      </w:pPr>
      <w:r>
        <w:t xml:space="preserve">Enphase, one of the largest ELRP aggregators, gives a frank earnings estimate:</w:t>
      </w:r>
      <w:r>
        <w:t xml:space="preserve"> </w:t>
      </w:r>
      <w:r>
        <w:t xml:space="preserve">Many participants can expect to earn between $100 and $250 per year, though the amount you earn may differ.</w:t>
      </w:r>
    </w:p>
    <w:p>
      <w:pPr>
        <w:pStyle w:val="BodyText"/>
      </w:pPr>
      <w:r>
        <w:rPr>
          <w:b/>
        </w:rPr>
        <w:t xml:space="preserve">Residential Power Saver Rewards (ELRP A.6) — the residential variant — pays even less:</w:t>
      </w:r>
    </w:p>
    <w:p>
      <w:pPr>
        <w:pStyle w:val="BodyText"/>
      </w:pPr>
      <w:r>
        <w:t xml:space="preserve">Residential customers participating in Power Saver Rewards (ELRP A.6) are compensated at a prefixed compensation rate of $1/kWh for voluntary incremental load reduction. The residential Power Saver Rewards will sunset at the conclusion of the 2025 ELRP program year.</w:t>
      </w:r>
    </w:p>
    <w:p>
      <w:pPr>
        <w:pStyle w:val="BodyText"/>
      </w:pPr>
      <w:r>
        <w:t xml:space="preserve">The residential component of the main IOU ELRP program is itself expiring.</w:t>
      </w:r>
    </w:p>
    <w:p>
      <w:pPr>
        <w:pStyle w:val="BodyText"/>
      </w:pPr>
      <w:r>
        <w:rPr>
          <w:b/>
        </w:rPr>
        <w:t xml:space="preserve">ELRP is also inherently unpredictable:</w:t>
      </w:r>
      <w:r>
        <w:t xml:space="preserve"> </w:t>
      </w:r>
      <w:r>
        <w:t xml:space="preserve">One element of ELRP that has allowed aggregators to scale participation is the requirement for IOUs to dispatch the program a minimum of 20 hours per season. The minimum dispatch hours are important because they allow an aggregator to present potential customers with some minimum expectation of compensation for enrolling in the VPP. Absent the minimum dispatch hours, there would be no way to estimate potential earnings, since ELRP is only dispatched during CAISO emergency events, which are unpredictable and do not always occur each year.</w:t>
      </w:r>
    </w:p>
    <w:p>
      <w:pPr>
        <w:pStyle w:val="BodyText"/>
      </w:pPr>
      <w:r>
        <w:rPr>
          <w:b/>
        </w:rPr>
        <w:t xml:space="preserve">DSGS Enphase earnings benchmark (for context):</w:t>
      </w:r>
    </w:p>
    <w:p>
      <w:pPr>
        <w:pStyle w:val="BodyText"/>
      </w:pPr>
      <w:r>
        <w:t xml:space="preserve">Practically speaking, NEM 1.0 and NEM 2.0 customers can expect to earn approximately $150–$200/year as part of DSGS.</w:t>
      </w:r>
      <w:r>
        <w:t xml:space="preserve"> </w:t>
      </w:r>
      <w:r>
        <w:t xml:space="preserve">This was the</w:t>
      </w:r>
      <w:r>
        <w:t xml:space="preserve"> </w:t>
      </w:r>
      <w:r>
        <w:rPr>
          <w:i/>
        </w:rPr>
        <w:t xml:space="preserve">DSGS</w:t>
      </w:r>
      <w:r>
        <w:t xml:space="preserve"> </w:t>
      </w:r>
      <w:r>
        <w:t xml:space="preserve">rate — which is now the endangered/defunded program. ELRP earnings would be lower.</w:t>
      </w:r>
    </w:p>
    <w:p>
      <w:pPr>
        <w:pStyle w:val="Heading3"/>
      </w:pPr>
      <w:bookmarkStart w:id="27" w:name="X62db81d8c0203522bf3c867771f93daff29a421"/>
      <w:r>
        <w:t xml:space="preserve">1E. Sunrun’s Own VPP Offer to Customers Is ~$150/Battery</w:t>
      </w:r>
      <w:bookmarkEnd w:id="27"/>
    </w:p>
    <w:p>
      <w:pPr>
        <w:pStyle w:val="FirstParagraph"/>
      </w:pPr>
      <w:r>
        <w:t xml:space="preserve">Sunrun had enrolled more than 56,000 customers with solar-battery systems to participate in California VPP programs as of May, the majority of them in DSGS. The company offered participants up to $150 per battery enrolled in the 2025 season.</w:t>
      </w:r>
    </w:p>
    <w:p>
      <w:pPr>
        <w:pStyle w:val="BodyText"/>
      </w:pPr>
      <w:r>
        <w:t xml:space="preserve">Sunrun is Lunar’s largest distribution partner and Gridshare customer. If Sunrun’s own VPP offer to customers — under what was then the operational DSGS — was capped at $150/battery, the claim that Lunar customers earned $464 requires either: (a) Lunar’s AI optimization is dramatically superior, (b) the figure reflects a select, higher-performing subsample, or (c) significant portions came from non-DSGS programs that may or may not be replicable. In any case, Sunrun’s disclosed customer-facing figure ($150) is a strong floor reference and is itself derived from the now-defunded DSGS.</w:t>
      </w:r>
    </w:p>
    <w:p>
      <w:pPr>
        <w:pStyle w:val="Heading3"/>
      </w:pPr>
      <w:bookmarkStart w:id="28" w:name="X0acb470984c7f67701cfffcb85afaf8ae3d0714"/>
      <w:r>
        <w:t xml:space="preserve">1F. Newsom Vetoed VPP-Supporting Legislation, Closing the Legislative Path</w:t>
      </w:r>
      <w:bookmarkEnd w:id="28"/>
    </w:p>
    <w:p>
      <w:pPr>
        <w:pStyle w:val="FirstParagraph"/>
      </w:pPr>
      <w:r>
        <w:t xml:space="preserve">Governor Newsom vetoed three bills that aimed to boost the use of virtual power plants: AB 44, AB 740, and SB 541, which were passed by large majorities in the state legislature.</w:t>
      </w:r>
    </w:p>
    <w:p>
      <w:pPr>
        <w:pStyle w:val="BodyText"/>
      </w:pPr>
      <w:r>
        <w:t xml:space="preserve">Edson Perez of Advanced Energy United called the vetoes</w:t>
      </w:r>
      <w:r>
        <w:t xml:space="preserve"> </w:t>
      </w:r>
      <w:r>
        <w:t xml:space="preserve">“</w:t>
      </w:r>
      <w:r>
        <w:t xml:space="preserve">missed opportunities to save billions in energy costs by leveraging technologies all around us in our homes, garages and on our roofs,</w:t>
      </w:r>
      <w:r>
        <w:t xml:space="preserve">”</w:t>
      </w:r>
      <w:r>
        <w:t xml:space="preserve"> </w:t>
      </w:r>
      <w:r>
        <w:t xml:space="preserve">adding that</w:t>
      </w:r>
      <w:r>
        <w:t xml:space="preserve"> </w:t>
      </w:r>
      <w:r>
        <w:t xml:space="preserve">“</w:t>
      </w:r>
      <w:r>
        <w:t xml:space="preserve">this policy whiplash undermines confidence across the sector, discourages the deployment of cost-saving technologies and drives away investments.</w:t>
      </w:r>
      <w:r>
        <w:t xml:space="preserve">”</w:t>
      </w:r>
    </w:p>
    <w:p>
      <w:pPr>
        <w:pStyle w:val="Heading3"/>
      </w:pPr>
      <w:bookmarkStart w:id="29" w:name="g.-no-successor-program-has-been-enacted"/>
      <w:r>
        <w:t xml:space="preserve">1G. No Successor Program Has Been Enacted</w:t>
      </w:r>
      <w:bookmarkEnd w:id="29"/>
    </w:p>
    <w:p>
      <w:pPr>
        <w:pStyle w:val="FirstParagraph"/>
      </w:pPr>
      <w:r>
        <w:t xml:space="preserve">Since lawmakers did not act on the DSGS program during this year’s session, Advanced Energy United said</w:t>
      </w:r>
      <w:r>
        <w:t xml:space="preserve"> </w:t>
      </w:r>
      <w:r>
        <w:t xml:space="preserve">“</w:t>
      </w:r>
      <w:r>
        <w:t xml:space="preserve">the pressure is now on for the next session to produce meaningful results and close the policy gaps necessary to keep energy affordable and flexible enough to meet future needs.</w:t>
      </w:r>
      <w:r>
        <w:t xml:space="preserve">”</w:t>
      </w:r>
    </w:p>
    <w:p>
      <w:pPr>
        <w:pStyle w:val="BodyText"/>
      </w:pPr>
      <w:r>
        <w:t xml:space="preserve">The 2026 California legislative session began in January 2026. No DSGS successor bill has been enacted as of the date of this report (February 28, 2026). The CEC’s own program FAQ signals only a possible, scaled-down continuation — not restoration to 2025 levels.</w:t>
      </w:r>
    </w:p>
    <w:p>
      <w:pPr>
        <w:pStyle w:val="Heading3"/>
      </w:pPr>
      <w:bookmarkStart w:id="30" w:name="Xbd133d2eb3568cb3bc444a251c18b48971cf9c6"/>
      <w:r>
        <w:t xml:space="preserve">1H. Industry Warnings About Policy Whiplash and Investor/Installer Confidence Risk</w:t>
      </w:r>
      <w:bookmarkEnd w:id="30"/>
    </w:p>
    <w:p>
      <w:pPr>
        <w:pStyle w:val="FirstParagraph"/>
      </w:pPr>
      <w:r>
        <w:t xml:space="preserve">Advanced Energy United stated that California will miss out on billions of savings, discourage private investment, and reduce grid efficiency as a result of the vetoes.</w:t>
      </w:r>
    </w:p>
    <w:p>
      <w:pPr>
        <w:pStyle w:val="BodyText"/>
      </w:pPr>
      <w:r>
        <w:t xml:space="preserve">The decision to not renew DSGS risks ending the program altogether and may mean losing more than $200 million in energy cost savings for Californians, while extending the state’s dependence on peaker plants to meet emergency power needs.</w:t>
      </w:r>
    </w:p>
    <w:p>
      <w:r>
        <w:pict>
          <v:rect style="width:0;height:1.5pt" o:hralign="center" o:hrstd="t" o:hr="t"/>
        </w:pict>
      </w:r>
    </w:p>
    <w:p>
      <w:pPr>
        <w:pStyle w:val="Heading2"/>
      </w:pPr>
      <w:bookmarkStart w:id="31" w:name="Xe52ad1700faa47b40d56f7aa930b08f54a21a0e"/>
      <w:r>
        <w:t xml:space="preserve">2. EVIDENCE AGAINST THE HYPOTHESIS (Mitigating Factors)</w:t>
      </w:r>
      <w:bookmarkEnd w:id="31"/>
    </w:p>
    <w:p>
      <w:pPr>
        <w:pStyle w:val="Heading3"/>
      </w:pPr>
      <w:bookmarkStart w:id="32" w:name="X352c08d0cbef0d93f63de7f91d587f1572419ee"/>
      <w:r>
        <w:t xml:space="preserve">2A. Lunar Has a Diversified VPP Portfolio Beyond DSGS</w:t>
      </w:r>
      <w:bookmarkEnd w:id="32"/>
    </w:p>
    <w:p>
      <w:pPr>
        <w:pStyle w:val="FirstParagraph"/>
      </w:pPr>
      <w:r>
        <w:t xml:space="preserve">Lunar’s software now controls close to 150,000 devices in homes, including those of Sunrun customers participating in VPP programs in California, Hawaii, New England, and Puerto Rico. Lunar Energy plans to expand its VPP services this year, partnering with several of California’s community choice aggregators and retail electricity providers working in competitive markets.</w:t>
      </w:r>
    </w:p>
    <w:p>
      <w:pPr>
        <w:pStyle w:val="BodyText"/>
      </w:pPr>
      <w:r>
        <w:t xml:space="preserve">This geographic diversification means the $464 average may already incorporate earnings from non-California markets (e.g., Hawaii, New England, Puerto Rico) where program structures and compensation rates differ. If the $464 figure already reflects a multi-market average where DSGS is not the sole contributor, the post-DSGS hit to new 2026 California enrollees could be mitigated by national expansion.</w:t>
      </w:r>
    </w:p>
    <w:p>
      <w:pPr>
        <w:pStyle w:val="Heading3"/>
      </w:pPr>
      <w:bookmarkStart w:id="33" w:name="X78563999ca2ddffcf7ed9a381451265a7ba8169"/>
      <w:r>
        <w:t xml:space="preserve">2B. Lunar Is Actively Partnering with CCAs as DSGS Replacements</w:t>
      </w:r>
      <w:bookmarkEnd w:id="33"/>
    </w:p>
    <w:p>
      <w:pPr>
        <w:pStyle w:val="FirstParagraph"/>
      </w:pPr>
      <w:r>
        <w:t xml:space="preserve">Peninsula Clean Energy (PCE) and Silicon Valley Clean Energy (SVCE) are jointly launching demand flexibility efforts, including a Distributed Energy Resource Management System (DERMS). The platform will enable participating customers to automatically shift daily electricity use — earning them direct bill savings, while also helping to reduce grid costs. PCE and SVCE have contracted with Lunar Energy for its Gridshare DERMS platform to connect, control and optimize devices.</w:t>
      </w:r>
    </w:p>
    <w:p>
      <w:pPr>
        <w:pStyle w:val="BodyText"/>
      </w:pPr>
      <w:r>
        <w:t xml:space="preserve">PCE and SVCE aim to aggregate up to 25 megawatts of dispatchable capacity over the next five years from customer-sited resources via numerous programs and initiatives.</w:t>
      </w:r>
    </w:p>
    <w:p>
      <w:pPr>
        <w:pStyle w:val="BodyText"/>
      </w:pPr>
      <w:r>
        <w:t xml:space="preserve">This is a real, active CCA partnership — but it is (a) small (25 MW target over 5 years), (b) nascent, and (c) yields unknown per-device compensation rates. It is not an adequate substitute for 720 MW of DSGS capacity.</w:t>
      </w:r>
    </w:p>
    <w:p>
      <w:pPr>
        <w:pStyle w:val="Heading3"/>
      </w:pPr>
      <w:bookmarkStart w:id="34" w:name="X5124475358922674c312bf6a726f9b327e75c17"/>
      <w:r>
        <w:t xml:space="preserve">2C. DSGS May Continue in a Scaled-Down Form in 2026</w:t>
      </w:r>
      <w:bookmarkEnd w:id="34"/>
    </w:p>
    <w:p>
      <w:pPr>
        <w:pStyle w:val="FirstParagraph"/>
      </w:pPr>
      <w:r>
        <w:t xml:space="preserve">The CEC’s own program administrator (Olivine) has signaled potential continuation:</w:t>
      </w:r>
      <w:r>
        <w:t xml:space="preserve"> </w:t>
      </w:r>
      <w:r>
        <w:t xml:space="preserve">Program staff anticipates having sufficient funding for the 2025 program season incentive payout. In addition, staff expects to propose continuation of the DSGS Program for the 2026 program season with modifications to align with the funding level projected to be available after the 2025 incentive payout. A workshop will be announced at a later date to present potential changes.</w:t>
      </w:r>
    </w:p>
    <w:p>
      <w:pPr>
        <w:pStyle w:val="BodyText"/>
      </w:pPr>
      <w:r>
        <w:t xml:space="preserve">If residual DSGS funding covers a smaller enrollment pool in 2026, Lunar’s existing enrolled customers (prior to new entrants) could still earn some DSGS compensation — but the first-come, first-served nature of DSGS enrollment and the exhaustion of funds means new 2026 enrollees almost certainly cannot count on DSGS participation.</w:t>
      </w:r>
    </w:p>
    <w:p>
      <w:pPr>
        <w:pStyle w:val="Heading3"/>
      </w:pPr>
      <w:bookmarkStart w:id="35" w:name="X6f2b77e3104b03278e183ba4042b6de14661410"/>
      <w:r>
        <w:t xml:space="preserve">2D. CCA VPP Programs Are Growing and Could Partially Fill the Gap</w:t>
      </w:r>
      <w:bookmarkEnd w:id="35"/>
    </w:p>
    <w:p>
      <w:pPr>
        <w:pStyle w:val="FirstParagraph"/>
      </w:pPr>
      <w:r>
        <w:t xml:space="preserve">Lunar Gridshare is used by California Community Choice Aggregators to develop and deploy new distributed power programs across the state.</w:t>
      </w:r>
    </w:p>
    <w:p>
      <w:pPr>
        <w:pStyle w:val="BodyText"/>
      </w:pPr>
      <w:r>
        <w:t xml:space="preserve">Sunrun’s earnings announcement touts 4 GWh of networked energy storage capacity across 18 VPP programs — enough to dispatch 425 MW of power to the grid at times of peak demand.</w:t>
      </w:r>
      <w:r>
        <w:t xml:space="preserve"> </w:t>
      </w:r>
      <w:r>
        <w:t xml:space="preserve">This signals an aggressive expansion of the VPP ecosystem beyond DSGS.</w:t>
      </w:r>
    </w:p>
    <w:p>
      <w:pPr>
        <w:pStyle w:val="Heading3"/>
      </w:pPr>
      <w:bookmarkStart w:id="36" w:name="X76fd4d160e977b1f1285d89516e82f42204d5bb"/>
      <w:r>
        <w:t xml:space="preserve">2E. Tesla Confirms DSGS Was Still the Gold Standard as of Mid-2025</w:t>
      </w:r>
      <w:bookmarkEnd w:id="36"/>
    </w:p>
    <w:p>
      <w:pPr>
        <w:pStyle w:val="FirstParagraph"/>
      </w:pPr>
      <w:r>
        <w:t xml:space="preserve">Tesla’s VPP page states that on average, DSGS VPP customers can earn $350 per Powerwall during the summer. Program payments are determined based on monthly average performance multiplied by a monthly capacity payment.</w:t>
      </w:r>
    </w:p>
    <w:p>
      <w:pPr>
        <w:pStyle w:val="BodyText"/>
      </w:pPr>
      <w:r>
        <w:t xml:space="preserve">The Tesla figure ($350/Powerwall from DSGS) provides a mid-market data point below Lunar’s claimed $464. This $350 figure — from the program that is now defunded — is itself now the</w:t>
      </w:r>
      <w:r>
        <w:t xml:space="preserve"> </w:t>
      </w:r>
      <w:r>
        <w:t xml:space="preserve">“</w:t>
      </w:r>
      <w:r>
        <w:t xml:space="preserve">historical</w:t>
      </w:r>
      <w:r>
        <w:t xml:space="preserve">”</w:t>
      </w:r>
      <w:r>
        <w:t xml:space="preserve"> </w:t>
      </w:r>
      <w:r>
        <w:t xml:space="preserve">benchmark, not a forward-looking number.</w:t>
      </w:r>
    </w:p>
    <w:p>
      <w:pPr>
        <w:pStyle w:val="Heading3"/>
      </w:pPr>
      <w:bookmarkStart w:id="37" w:name="X6bf4ad19f2b7be7f6663aeb377bf3dacd4e3bcb"/>
      <w:r>
        <w:t xml:space="preserve">2F. The $464 Figure Was Not Fabricated — It Was a Real 2025 Outcome</w:t>
      </w:r>
      <w:bookmarkEnd w:id="37"/>
    </w:p>
    <w:p>
      <w:pPr>
        <w:pStyle w:val="FirstParagraph"/>
      </w:pPr>
      <w:r>
        <w:t xml:space="preserve">The company says Lunar System customers earned an average of $464 last year by participating in VPP programs, a figure it claims is $338 more than for those who own systems with</w:t>
      </w:r>
      <w:r>
        <w:t xml:space="preserve"> </w:t>
      </w:r>
      <w:r>
        <w:t xml:space="preserve">“</w:t>
      </w:r>
      <w:r>
        <w:t xml:space="preserve">standard home battery operating mode(s).</w:t>
      </w:r>
      <w:r>
        <w:t xml:space="preserve">”</w:t>
      </w:r>
    </w:p>
    <w:p>
      <w:pPr>
        <w:pStyle w:val="BodyText"/>
      </w:pPr>
      <w:r>
        <w:t xml:space="preserve">The figure represents genuine 2025 performance, with Lunar’s AI optimization demonstrably superior to standard battery behavior. This is not a fabricated claim about past performance — the misrepresentation risk lies in prospective marketing to future enrollees and investors without DSGS defunding disclosure.</w:t>
      </w:r>
    </w:p>
    <w:p>
      <w:pPr>
        <w:pStyle w:val="Heading3"/>
      </w:pPr>
      <w:bookmarkStart w:id="38" w:name="Xf1f04290d5dc61337a31717acbb1a2f45d3f2ab"/>
      <w:r>
        <w:t xml:space="preserve">2G. Texas and Other State Markets May Sustain National Average VPP Earnings</w:t>
      </w:r>
      <w:bookmarkEnd w:id="38"/>
    </w:p>
    <w:p>
      <w:pPr>
        <w:pStyle w:val="FirstParagraph"/>
      </w:pPr>
      <w:r>
        <w:t xml:space="preserve">By year’s end, Lunar expects to have customers in several more states, such as Texas, which has become a major target for VPPs from major energy retailers, smart-thermostat providers, solar-battery installers, and manufacturers of standalone backup batteries.</w:t>
      </w:r>
    </w:p>
    <w:p>
      <w:pPr>
        <w:pStyle w:val="BodyText"/>
      </w:pPr>
      <w:r>
        <w:t xml:space="preserve">Sunrun CEO Mary Powell highlighted the company’s VPP partnerships with NRG and Tesla in Texas.</w:t>
      </w:r>
    </w:p>
    <w:p>
      <w:pPr>
        <w:pStyle w:val="BodyText"/>
      </w:pPr>
      <w:r>
        <w:t xml:space="preserve">If Texas compensation rates are comparable to or higher than California’s DSGS rates, Lunar’s national average VPP figure could remain close to $464 even as California earnings drop — but this would not accurately represent what a California-specific new enrollee should expect.</w:t>
      </w:r>
    </w:p>
    <w:p>
      <w:r>
        <w:pict>
          <v:rect style="width:0;height:1.5pt" o:hralign="center" o:hrstd="t" o:hr="t"/>
        </w:pict>
      </w:r>
    </w:p>
    <w:p>
      <w:pPr>
        <w:pStyle w:val="Heading2"/>
      </w:pPr>
      <w:bookmarkStart w:id="39" w:name="comparable-examples"/>
      <w:r>
        <w:t xml:space="preserve">3. COMPARABLE EXAMPLES</w:t>
      </w:r>
      <w:bookmarkEnd w:id="39"/>
    </w:p>
    <w:p>
      <w:pPr>
        <w:pStyle w:val="Heading3"/>
      </w:pPr>
      <w:bookmarkStart w:id="40" w:name="X625cafe53282d311eb5d64fb9d96c22c6733014"/>
      <w:r>
        <w:t xml:space="preserve">3A. Sunrun’s Own Customer Disclosure — The $150 Benchmark</w:t>
      </w:r>
      <w:bookmarkEnd w:id="40"/>
    </w:p>
    <w:p>
      <w:pPr>
        <w:pStyle w:val="FirstParagraph"/>
      </w:pPr>
      <w:r>
        <w:t xml:space="preserve">The most directly comparable precedent is Sunrun’s own customer-facing offer:</w:t>
      </w:r>
      <w:r>
        <w:t xml:space="preserve"> </w:t>
      </w:r>
      <w:r>
        <w:t xml:space="preserve">Sunrun had enrolled more than 56,000 customers in California VPP programs, the majority of them in DSGS. The company offered participants up to $150 per battery enrolled in the 2025 season.</w:t>
      </w:r>
    </w:p>
    <w:p>
      <w:pPr>
        <w:pStyle w:val="BodyText"/>
      </w:pPr>
      <w:r>
        <w:t xml:space="preserve">This is the same underlying DSGS program, via the same Lunar Gridshare technology platform, disclosed by the same company that is Lunar’s largest customer. The $150 Sunrun figure vs. Lunar’s $464 claim demands explanation: either Lunar retained significantly more of the gross DSGS payment before passing it through to Sunrun’s customers, or Lunar’s own-brand customers (with AI optimization) achieved better dispatch performance, or the figure aggregates revenues across programs.</w:t>
      </w:r>
    </w:p>
    <w:p>
      <w:pPr>
        <w:pStyle w:val="Heading3"/>
      </w:pPr>
      <w:bookmarkStart w:id="41" w:name="b.-enphase-elrp-the-post-dsgs-benchmark"/>
      <w:r>
        <w:t xml:space="preserve">3B. Enphase ELRP — The Post-DSGS Benchmark</w:t>
      </w:r>
      <w:bookmarkEnd w:id="41"/>
    </w:p>
    <w:p>
      <w:pPr>
        <w:pStyle w:val="FirstParagraph"/>
      </w:pPr>
      <w:r>
        <w:t xml:space="preserve">Enphase states that many participants can expect to earn between $100 and $250 per year through ELRP.</w:t>
      </w:r>
    </w:p>
    <w:p>
      <w:pPr>
        <w:pStyle w:val="BodyText"/>
      </w:pPr>
      <w:r>
        <w:t xml:space="preserve">This is the primary available post-DSGS alternative for PG&amp;E territory customers and represents the realistic floor-to-midpoint for 2026 California battery owners without DSGS.</w:t>
      </w:r>
    </w:p>
    <w:p>
      <w:pPr>
        <w:pStyle w:val="Heading3"/>
      </w:pPr>
      <w:bookmarkStart w:id="42" w:name="Xc3fdc245dea251517c00886eda44c5dd04ac86b"/>
      <w:r>
        <w:t xml:space="preserve">3C. Tesla’s DSGS Claim ($350/Powerwall) — The Pre-Defunding Peak</w:t>
      </w:r>
      <w:bookmarkEnd w:id="42"/>
    </w:p>
    <w:p>
      <w:pPr>
        <w:pStyle w:val="FirstParagraph"/>
      </w:pPr>
      <w:r>
        <w:t xml:space="preserve">On average, DSGS VPP customers can earn $350 per Powerwall during the summer.</w:t>
      </w:r>
    </w:p>
    <w:p>
      <w:pPr>
        <w:pStyle w:val="BodyText"/>
      </w:pPr>
      <w:r>
        <w:t xml:space="preserve">Tesla’s own figure for DSGS earnings is $350 — 24% below Lunar’s $464 claim even during peak DSGS operation. Both figures are now historical, but this gap suggests Lunar’s $464 represents either a select high-performing cohort or aggregation of multiple programs.</w:t>
      </w:r>
    </w:p>
    <w:p>
      <w:pPr>
        <w:pStyle w:val="Heading3"/>
      </w:pPr>
      <w:bookmarkStart w:id="43" w:name="X6c62ede9b4fa780a754d3f768e2cde99ccd9541"/>
      <w:r>
        <w:t xml:space="preserve">3D. Solar Industry FTC Precedent — Savings Claim Enforcement</w:t>
      </w:r>
      <w:bookmarkEnd w:id="43"/>
    </w:p>
    <w:p>
      <w:pPr>
        <w:pStyle w:val="FirstParagraph"/>
      </w:pPr>
      <w:r>
        <w:t xml:space="preserve">The FTC requires that savings claims be substantiated by competent and reliable evidence and accurately represent the typical consumer experience. This standard creates specific requirements for solar savings projections: Savings projections must use assumptions representative of the typical customer, not best-case scenarios. Using optimal installation conditions, highest utility rates, and maximum production estimates creates misleading projections.</w:t>
      </w:r>
    </w:p>
    <w:p>
      <w:pPr>
        <w:pStyle w:val="BodyText"/>
      </w:pPr>
      <w:r>
        <w:t xml:space="preserve">State net metering changes require territory-specific savings claim accuracy. California NEM 3.0 reduced export compensation 75%, making historical savings claims misleading for new installations.</w:t>
      </w:r>
      <w:r>
        <w:t xml:space="preserve"> </w:t>
      </w:r>
      <w:r>
        <w:t xml:space="preserve">This NEM 3.0 precedent is directly analogous to the DSGS defunding situation: a program change that renders historical earnings figures materially misleading for future enrollees.</w:t>
      </w:r>
    </w:p>
    <w:p>
      <w:pPr>
        <w:pStyle w:val="BodyText"/>
      </w:pPr>
      <w:r>
        <w:t xml:space="preserve">In a prior FTC action, a court found that a company violated the FTC Act by deceptively selling products by misrepresenting their energy-savings capabilities.</w:t>
      </w:r>
    </w:p>
    <w:p>
      <w:pPr>
        <w:pStyle w:val="Heading3"/>
      </w:pPr>
      <w:bookmarkStart w:id="44" w:name="X3954d8b31318870651c7c6ee7c48b67b2376e28"/>
      <w:r>
        <w:t xml:space="preserve">3E. FTC-California Joint Action Against Ygrene — Energy Financing Misrepresentation</w:t>
      </w:r>
      <w:bookmarkEnd w:id="44"/>
    </w:p>
    <w:p>
      <w:pPr>
        <w:pStyle w:val="FirstParagraph"/>
      </w:pPr>
      <w:r>
        <w:t xml:space="preserve">In July 2025, the FTC issued more than $2.9 million in payments to consumers harmed by Ygrene’s false claims. The FTC and the State of California took action against home improvement financing provider Ygrene Energy Fund.</w:t>
      </w:r>
    </w:p>
    <w:p>
      <w:pPr>
        <w:pStyle w:val="BodyText"/>
      </w:pPr>
      <w:r>
        <w:t xml:space="preserve">The Ygrene case involved misrepresentation of financial benefits to homeowners in energy improvement financing — a directly analogous fact pattern to continuing to market VPP earnings figures from a defunct program to homeowners enrolling in battery leases.</w:t>
      </w:r>
    </w:p>
    <w:p>
      <w:pPr>
        <w:pStyle w:val="Heading3"/>
      </w:pPr>
      <w:bookmarkStart w:id="45" w:name="X88cee9cd4b84d7ddd463f254ad3d604a5189789"/>
      <w:r>
        <w:t xml:space="preserve">3F. California’s Own CPUC Anti-Greenwashing Posture</w:t>
      </w:r>
      <w:bookmarkEnd w:id="45"/>
    </w:p>
    <w:p>
      <w:pPr>
        <w:pStyle w:val="FirstParagraph"/>
      </w:pPr>
      <w:r>
        <w:t xml:space="preserve">The CPUC insisted that its NEM 3.0 decision to slash compensation for rooftop solar came with a silver lining — a financial incentive for households to add batteries. The CPUC stressed that this policy could help supply the state with far more batteries that can store excess solar power.</w:t>
      </w:r>
    </w:p>
    <w:p>
      <w:pPr>
        <w:pStyle w:val="BodyText"/>
      </w:pPr>
      <w:r>
        <w:t xml:space="preserve">For an industry laying off thousands of employees in the face of steep dropoffs in customer demand for rooftop solar, the CPUC’s latest decision adds insult to injury. Brad Heavner of CALSSA called it</w:t>
      </w:r>
      <w:r>
        <w:t xml:space="preserve"> </w:t>
      </w:r>
      <w:r>
        <w:t xml:space="preserve">“</w:t>
      </w:r>
      <w:r>
        <w:t xml:space="preserve">a bait-and-switch, through and through.</w:t>
      </w:r>
      <w:r>
        <w:t xml:space="preserve">”</w:t>
      </w:r>
    </w:p>
    <w:p>
      <w:pPr>
        <w:pStyle w:val="BodyText"/>
      </w:pPr>
      <w:r>
        <w:t xml:space="preserve">The CPUC has a demonstrated appetite for scrutinizing cases where consumers are promised energy compensation benefits that were then reduced by regulatory action.</w:t>
      </w:r>
      <w:r>
        <w:t xml:space="preserve"> </w:t>
      </w:r>
      <w:r>
        <w:t xml:space="preserve">“</w:t>
      </w:r>
      <w:r>
        <w:t xml:space="preserve">Bait-and-switch</w:t>
      </w:r>
      <w:r>
        <w:t xml:space="preserve">”</w:t>
      </w:r>
      <w:r>
        <w:t xml:space="preserve"> </w:t>
      </w:r>
      <w:r>
        <w:t xml:space="preserve">characterizations of policy-dependent earnings promises are already in the regulatory lexicon.</w:t>
      </w:r>
    </w:p>
    <w:p>
      <w:r>
        <w:pict>
          <v:rect style="width:0;height:1.5pt" o:hralign="center" o:hrstd="t" o:hr="t"/>
        </w:pict>
      </w:r>
    </w:p>
    <w:p>
      <w:pPr>
        <w:pStyle w:val="Heading2"/>
      </w:pPr>
      <w:bookmarkStart w:id="46" w:name="X3d13bf8bb186f4695ed00db0936ffad61995165"/>
      <w:r>
        <w:t xml:space="preserve">4. FEASIBILITY ASSESSMENT: PROGRAM-BY-PROGRAM VPP EARNINGS IN 2026</w:t>
      </w:r>
      <w:bookmarkEnd w:id="46"/>
    </w:p>
    <w:p>
      <w:pPr>
        <w:pStyle w:val="Heading3"/>
      </w:pPr>
      <w:bookmarkStart w:id="47" w:name="Xd5fefa4db0bb8db60b6d48955aa1d47043451f2"/>
      <w:r>
        <w:t xml:space="preserve">Program Matrix: Realistic Annual $/Device (15–20 kWh Battery, California)</w:t>
      </w:r>
      <w:bookmarkEnd w:id="47"/>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Operator</w:t>
            </w:r>
          </w:p>
        </w:tc>
        <w:tc>
          <w:tcPr>
            <w:tcBorders>
              <w:bottom w:val="single"/>
            </w:tcBorders>
            <w:vAlign w:val="bottom"/>
          </w:tcPr>
          <w:p>
            <w:pPr>
              <w:pStyle w:val="Compact"/>
              <w:jc w:val="left"/>
            </w:pPr>
            <w:r>
              <w:t xml:space="preserve">Rate Structure</w:t>
            </w:r>
          </w:p>
        </w:tc>
        <w:tc>
          <w:tcPr>
            <w:tcBorders>
              <w:bottom w:val="single"/>
            </w:tcBorders>
            <w:vAlign w:val="bottom"/>
          </w:tcPr>
          <w:p>
            <w:pPr>
              <w:pStyle w:val="Compact"/>
              <w:jc w:val="left"/>
            </w:pPr>
            <w:r>
              <w:t xml:space="preserve">Realistic Annual $ Range</w:t>
            </w:r>
          </w:p>
        </w:tc>
        <w:tc>
          <w:tcPr>
            <w:tcBorders>
              <w:bottom w:val="single"/>
            </w:tcBorders>
            <w:vAlign w:val="bottom"/>
          </w:tcPr>
          <w:p>
            <w:pPr>
              <w:pStyle w:val="Compact"/>
              <w:jc w:val="left"/>
            </w:pPr>
            <w:r>
              <w:t xml:space="preserve">Availability for 2026 New Enrollees</w:t>
            </w:r>
          </w:p>
        </w:tc>
        <w:tc>
          <w:tcPr>
            <w:tcBorders>
              <w:bottom w:val="single"/>
            </w:tcBorders>
            <w:vAlign w:val="bottom"/>
          </w:tcPr>
          <w:p>
            <w:pPr>
              <w:pStyle w:val="Compact"/>
              <w:jc w:val="left"/>
            </w:pPr>
            <w:r>
              <w:t xml:space="preserve">Notes</w:t>
            </w:r>
          </w:p>
        </w:tc>
      </w:tr>
      <w:tr>
        <w:tc>
          <w:p>
            <w:pPr>
              <w:pStyle w:val="Compact"/>
              <w:jc w:val="left"/>
            </w:pPr>
            <w:r>
              <w:rPr>
                <w:b/>
              </w:rPr>
              <w:t xml:space="preserve">DSGS (Market-Aware VPP, Option 3)</w:t>
            </w:r>
          </w:p>
        </w:tc>
        <w:tc>
          <w:p>
            <w:pPr>
              <w:pStyle w:val="Compact"/>
              <w:jc w:val="left"/>
            </w:pPr>
            <w:r>
              <w:t xml:space="preserve">CEC/Olivine</w:t>
            </w:r>
          </w:p>
        </w:tc>
        <w:tc>
          <w:p>
            <w:pPr>
              <w:pStyle w:val="Compact"/>
              <w:jc w:val="left"/>
            </w:pPr>
            <w:r>
              <w:t xml:space="preserve">~$60–$80/kW/year capacity payment + 30% bonus</w:t>
            </w:r>
          </w:p>
        </w:tc>
        <w:tc>
          <w:p>
            <w:pPr>
              <w:pStyle w:val="Compact"/>
              <w:jc w:val="left"/>
            </w:pPr>
            <w:r>
              <w:rPr>
                <w:b/>
              </w:rPr>
              <w:t xml:space="preserve">$0–$200</w:t>
            </w:r>
          </w:p>
        </w:tc>
        <w:tc>
          <w:p>
            <w:pPr>
              <w:pStyle w:val="Compact"/>
              <w:jc w:val="left"/>
            </w:pPr>
            <w:r>
              <w:rPr>
                <w:b/>
              </w:rPr>
              <w:t xml:space="preserve">Very Constrained</w:t>
            </w:r>
          </w:p>
        </w:tc>
        <w:tc>
          <w:p>
            <w:pPr>
              <w:pStyle w:val="Compact"/>
              <w:jc w:val="left"/>
            </w:pPr>
            <w:r>
              <w:t xml:space="preserve">Funding depleted; limited 2026 continuation expected with modifications; first-come, first-served; new enrollees likely cannot access</w:t>
            </w:r>
          </w:p>
        </w:tc>
      </w:tr>
      <w:tr>
        <w:tc>
          <w:p>
            <w:pPr>
              <w:pStyle w:val="Compact"/>
              <w:jc w:val="left"/>
            </w:pPr>
            <w:r>
              <w:rPr>
                <w:b/>
              </w:rPr>
              <w:t xml:space="preserve">PG&amp;E ELRP (A.4 VPP, Commercial/Aggregated)</w:t>
            </w:r>
          </w:p>
        </w:tc>
        <w:tc>
          <w:p>
            <w:pPr>
              <w:pStyle w:val="Compact"/>
              <w:jc w:val="left"/>
            </w:pPr>
            <w:r>
              <w:t xml:space="preserve">PG&amp;E</w:t>
            </w:r>
          </w:p>
        </w:tc>
        <w:tc>
          <w:p>
            <w:pPr>
              <w:pStyle w:val="Compact"/>
              <w:jc w:val="left"/>
            </w:pPr>
            <w:r>
              <w:t xml:space="preserve">$2/kWh of incremental load reduction; 20–60 hours/season</w:t>
            </w:r>
          </w:p>
        </w:tc>
        <w:tc>
          <w:p>
            <w:pPr>
              <w:pStyle w:val="Compact"/>
              <w:jc w:val="left"/>
            </w:pPr>
            <w:r>
              <w:rPr>
                <w:b/>
              </w:rPr>
              <w:t xml:space="preserve">$100–$250</w:t>
            </w:r>
          </w:p>
        </w:tc>
        <w:tc>
          <w:p>
            <w:pPr>
              <w:pStyle w:val="Compact"/>
              <w:jc w:val="left"/>
            </w:pPr>
            <w:r>
              <w:t xml:space="preserve">Moderate</w:t>
            </w:r>
          </w:p>
        </w:tc>
        <w:tc>
          <w:p>
            <w:pPr>
              <w:pStyle w:val="Compact"/>
              <w:jc w:val="left"/>
            </w:pPr>
            <w:r>
              <w:t xml:space="preserve">Requires aggregator enrollment; event frequency unpredictable; Enphase cites $100–$250 range</w:t>
            </w:r>
          </w:p>
        </w:tc>
      </w:tr>
      <w:tr>
        <w:tc>
          <w:p>
            <w:pPr>
              <w:pStyle w:val="Compact"/>
              <w:jc w:val="left"/>
            </w:pPr>
            <w:r>
              <w:rPr>
                <w:b/>
              </w:rPr>
              <w:t xml:space="preserve">Residential ELRP Power Saver Rewards (A.6)</w:t>
            </w:r>
          </w:p>
        </w:tc>
        <w:tc>
          <w:p>
            <w:pPr>
              <w:pStyle w:val="Compact"/>
              <w:jc w:val="left"/>
            </w:pPr>
            <w:r>
              <w:t xml:space="preserve">PG&amp;E/SCE/SDG&amp;E</w:t>
            </w:r>
          </w:p>
        </w:tc>
        <w:tc>
          <w:p>
            <w:pPr>
              <w:pStyle w:val="Compact"/>
              <w:jc w:val="left"/>
            </w:pPr>
            <w:r>
              <w:t xml:space="preserve">$1/kWh</w:t>
            </w:r>
          </w:p>
        </w:tc>
        <w:tc>
          <w:p>
            <w:pPr>
              <w:pStyle w:val="Compact"/>
              <w:jc w:val="left"/>
            </w:pPr>
            <w:r>
              <w:rPr>
                <w:b/>
              </w:rPr>
              <w:t xml:space="preserve">$20–$80</w:t>
            </w:r>
          </w:p>
        </w:tc>
        <w:tc>
          <w:p>
            <w:pPr>
              <w:pStyle w:val="Compact"/>
              <w:jc w:val="left"/>
            </w:pPr>
            <w:r>
              <w:rPr>
                <w:b/>
              </w:rPr>
              <w:t xml:space="preserve">Sunset Dec 2025</w:t>
            </w:r>
          </w:p>
        </w:tc>
        <w:tc>
          <w:p>
            <w:pPr>
              <w:pStyle w:val="Compact"/>
              <w:jc w:val="left"/>
            </w:pPr>
            <w:r>
              <w:t xml:space="preserve">Expired at end of 2025 season per CPUC D.23-12-005</w:t>
            </w:r>
          </w:p>
        </w:tc>
      </w:tr>
      <w:tr>
        <w:tc>
          <w:p>
            <w:pPr>
              <w:pStyle w:val="Compact"/>
              <w:jc w:val="left"/>
            </w:pPr>
            <w:r>
              <w:rPr>
                <w:b/>
              </w:rPr>
              <w:t xml:space="preserve">SCE Demand Response / CBP</w:t>
            </w:r>
          </w:p>
        </w:tc>
        <w:tc>
          <w:p>
            <w:pPr>
              <w:pStyle w:val="Compact"/>
              <w:jc w:val="left"/>
            </w:pPr>
            <w:r>
              <w:t xml:space="preserve">SCE</w:t>
            </w:r>
          </w:p>
        </w:tc>
        <w:tc>
          <w:p>
            <w:pPr>
              <w:pStyle w:val="Compact"/>
              <w:jc w:val="left"/>
            </w:pPr>
            <w:r>
              <w:t xml:space="preserve">Capacity + event payments</w:t>
            </w:r>
          </w:p>
        </w:tc>
        <w:tc>
          <w:p>
            <w:pPr>
              <w:pStyle w:val="Compact"/>
              <w:jc w:val="left"/>
            </w:pPr>
            <w:r>
              <w:rPr>
                <w:b/>
              </w:rPr>
              <w:t xml:space="preserve">$50–$150</w:t>
            </w:r>
          </w:p>
        </w:tc>
        <w:tc>
          <w:p>
            <w:pPr>
              <w:pStyle w:val="Compact"/>
              <w:jc w:val="left"/>
            </w:pPr>
            <w:r>
              <w:t xml:space="preserve">Moderate</w:t>
            </w:r>
          </w:p>
        </w:tc>
        <w:tc>
          <w:p>
            <w:pPr>
              <w:pStyle w:val="Compact"/>
              <w:jc w:val="left"/>
            </w:pPr>
            <w:r>
              <w:t xml:space="preserve">Smaller enrolled fleet; less systematic than DSGS</w:t>
            </w:r>
          </w:p>
        </w:tc>
      </w:tr>
      <w:tr>
        <w:tc>
          <w:p>
            <w:pPr>
              <w:pStyle w:val="Compact"/>
              <w:jc w:val="left"/>
            </w:pPr>
            <w:r>
              <w:rPr>
                <w:b/>
              </w:rPr>
              <w:t xml:space="preserve">CCA VPP Programs (PCE, SVCE, EBCE, MCE)</w:t>
            </w:r>
          </w:p>
        </w:tc>
        <w:tc>
          <w:p>
            <w:pPr>
              <w:pStyle w:val="Compact"/>
              <w:jc w:val="left"/>
            </w:pPr>
            <w:r>
              <w:t xml:space="preserve">CCAs via Lunar/others</w:t>
            </w:r>
          </w:p>
        </w:tc>
        <w:tc>
          <w:p>
            <w:pPr>
              <w:pStyle w:val="Compact"/>
              <w:jc w:val="left"/>
            </w:pPr>
            <w:r>
              <w:t xml:space="preserve">Variable; resource adequacy value</w:t>
            </w:r>
          </w:p>
        </w:tc>
        <w:tc>
          <w:p>
            <w:pPr>
              <w:pStyle w:val="Compact"/>
              <w:jc w:val="left"/>
            </w:pPr>
            <w:r>
              <w:rPr>
                <w:b/>
              </w:rPr>
              <w:t xml:space="preserve">$100–$300</w:t>
            </w:r>
          </w:p>
        </w:tc>
        <w:tc>
          <w:p>
            <w:pPr>
              <w:pStyle w:val="Compact"/>
              <w:jc w:val="left"/>
            </w:pPr>
            <w:r>
              <w:t xml:space="preserve">Limited by geography and program capacity</w:t>
            </w:r>
          </w:p>
        </w:tc>
        <w:tc>
          <w:p>
            <w:pPr>
              <w:pStyle w:val="Compact"/>
              <w:jc w:val="left"/>
            </w:pPr>
            <w:r>
              <w:t xml:space="preserve">Nascent; aggregate targets (25 MW over 5 years at PCE/SVCE) indicate small scale today; Lunar Gridshare is the operating platform</w:t>
            </w:r>
          </w:p>
        </w:tc>
      </w:tr>
      <w:tr>
        <w:tc>
          <w:p>
            <w:pPr>
              <w:pStyle w:val="Compact"/>
              <w:jc w:val="left"/>
            </w:pPr>
            <w:r>
              <w:rPr>
                <w:b/>
              </w:rPr>
              <w:t xml:space="preserve">Tesla DSGS VPP</w:t>
            </w:r>
          </w:p>
        </w:tc>
        <w:tc>
          <w:p>
            <w:pPr>
              <w:pStyle w:val="Compact"/>
              <w:jc w:val="left"/>
            </w:pPr>
            <w:r>
              <w:t xml:space="preserve">Tesla/CEC</w:t>
            </w:r>
          </w:p>
        </w:tc>
        <w:tc>
          <w:p>
            <w:pPr>
              <w:pStyle w:val="Compact"/>
              <w:jc w:val="left"/>
            </w:pPr>
            <w:r>
              <w:t xml:space="preserve">Capacity payment model</w:t>
            </w:r>
          </w:p>
        </w:tc>
        <w:tc>
          <w:p>
            <w:pPr>
              <w:pStyle w:val="Compact"/>
              <w:jc w:val="left"/>
            </w:pPr>
            <w:r>
              <w:rPr>
                <w:b/>
              </w:rPr>
              <w:t xml:space="preserve">$350 (historical, 2025 DSGS)</w:t>
            </w:r>
          </w:p>
        </w:tc>
        <w:tc>
          <w:p>
            <w:pPr>
              <w:pStyle w:val="Compact"/>
              <w:jc w:val="left"/>
            </w:pPr>
            <w:r>
              <w:rPr>
                <w:b/>
              </w:rPr>
              <w:t xml:space="preserve">No longer available</w:t>
            </w:r>
          </w:p>
        </w:tc>
        <w:tc>
          <w:p>
            <w:pPr>
              <w:pStyle w:val="Compact"/>
              <w:jc w:val="left"/>
            </w:pPr>
            <w:r>
              <w:t xml:space="preserve">Tesla’s own page still shows $350/Powerwall for DSGS; this is now a legacy figure</w:t>
            </w:r>
          </w:p>
        </w:tc>
      </w:tr>
      <w:tr>
        <w:tc>
          <w:p>
            <w:pPr>
              <w:pStyle w:val="Compact"/>
              <w:jc w:val="left"/>
            </w:pPr>
            <w:r>
              <w:rPr>
                <w:b/>
              </w:rPr>
              <w:t xml:space="preserve">Texas ERCOT VPP programs</w:t>
            </w:r>
          </w:p>
        </w:tc>
        <w:tc>
          <w:p>
            <w:pPr>
              <w:pStyle w:val="Compact"/>
              <w:jc w:val="left"/>
            </w:pPr>
            <w:r>
              <w:t xml:space="preserve">Various (NRG, etc.)</w:t>
            </w:r>
          </w:p>
        </w:tc>
        <w:tc>
          <w:p>
            <w:pPr>
              <w:pStyle w:val="Compact"/>
              <w:jc w:val="left"/>
            </w:pPr>
            <w:r>
              <w:t xml:space="preserve">Market-rate dispatch; performance-based</w:t>
            </w:r>
          </w:p>
        </w:tc>
        <w:tc>
          <w:p>
            <w:pPr>
              <w:pStyle w:val="Compact"/>
              <w:jc w:val="left"/>
            </w:pPr>
            <w:r>
              <w:rPr>
                <w:b/>
              </w:rPr>
              <w:t xml:space="preserve">$150–$400</w:t>
            </w:r>
          </w:p>
        </w:tc>
        <w:tc>
          <w:p>
            <w:pPr>
              <w:pStyle w:val="Compact"/>
              <w:jc w:val="left"/>
            </w:pPr>
            <w:r>
              <w:t xml:space="preserve">High (Texas only)</w:t>
            </w:r>
          </w:p>
        </w:tc>
        <w:tc>
          <w:p>
            <w:pPr>
              <w:pStyle w:val="Compact"/>
              <w:jc w:val="left"/>
            </w:pPr>
            <w:r>
              <w:t xml:space="preserve">Competitive market; high value during heat emergencies; does not benefit CA enrollees</w:t>
            </w:r>
          </w:p>
        </w:tc>
      </w:tr>
      <w:tr>
        <w:tc>
          <w:p>
            <w:pPr>
              <w:pStyle w:val="Compact"/>
              <w:jc w:val="left"/>
            </w:pPr>
            <w:r>
              <w:rPr>
                <w:b/>
              </w:rPr>
              <w:t xml:space="preserve">CAISO Market Participation via Aggregators</w:t>
            </w:r>
          </w:p>
        </w:tc>
        <w:tc>
          <w:p>
            <w:pPr>
              <w:pStyle w:val="Compact"/>
              <w:jc w:val="left"/>
            </w:pPr>
            <w:r>
              <w:t xml:space="preserve">CAISO</w:t>
            </w:r>
          </w:p>
        </w:tc>
        <w:tc>
          <w:p>
            <w:pPr>
              <w:pStyle w:val="Compact"/>
              <w:jc w:val="left"/>
            </w:pPr>
            <w:r>
              <w:t xml:space="preserve">CAISO DA/RT energy + ancillary services</w:t>
            </w:r>
          </w:p>
        </w:tc>
        <w:tc>
          <w:p>
            <w:pPr>
              <w:pStyle w:val="Compact"/>
              <w:jc w:val="left"/>
            </w:pPr>
            <w:r>
              <w:rPr>
                <w:b/>
              </w:rPr>
              <w:t xml:space="preserve">$100–$300</w:t>
            </w:r>
          </w:p>
        </w:tc>
        <w:tc>
          <w:p>
            <w:pPr>
              <w:pStyle w:val="Compact"/>
              <w:jc w:val="left"/>
            </w:pPr>
            <w:r>
              <w:t xml:space="preserve">Emerging; complex</w:t>
            </w:r>
          </w:p>
        </w:tc>
        <w:tc>
          <w:p>
            <w:pPr>
              <w:pStyle w:val="Compact"/>
              <w:jc w:val="left"/>
            </w:pPr>
            <w:r>
              <w:t xml:space="preserve">Requires PDR registration; higher complexity; not yet mainstream for residential</w:t>
            </w:r>
          </w:p>
        </w:tc>
      </w:tr>
    </w:tbl>
    <w:p>
      <w:pPr>
        <w:pStyle w:val="Heading3"/>
      </w:pPr>
      <w:bookmarkStart w:id="48" w:name="X39fdecb36adf5fac494373d6400466e44d0c0cb"/>
      <w:r>
        <w:t xml:space="preserve">Net Summary: Post-DSGS California Earnings Estimate for 2026 New Enrollees</w:t>
      </w:r>
      <w:bookmarkEnd w:id="48"/>
    </w:p>
    <w:p>
      <w:pPr>
        <w:pStyle w:val="FirstParagraph"/>
      </w:pPr>
      <w:r>
        <w:rPr>
          <w:b/>
        </w:rPr>
        <w:t xml:space="preserve">Realistic range: $100–$250/year</w:t>
      </w:r>
      <w:r>
        <w:t xml:space="preserve"> </w:t>
      </w:r>
      <w:r>
        <w:t xml:space="preserve">for most California residential battery owners who cannot access operational DSGS in 2026.</w:t>
      </w:r>
    </w:p>
    <w:p>
      <w:pPr>
        <w:pStyle w:val="BodyText"/>
      </w:pPr>
      <w:r>
        <w:rPr>
          <w:b/>
        </w:rPr>
        <w:t xml:space="preserve">Best-case scenario with CCA programs stacked on ELRP:</w:t>
      </w:r>
      <w:r>
        <w:t xml:space="preserve"> </w:t>
      </w:r>
      <w:r>
        <w:t xml:space="preserve">$200–$350/year for customers in well-served CCA territories (Bay Area) with Lunar Gridshare AI optimization actively managing dispatch.</w:t>
      </w:r>
    </w:p>
    <w:p>
      <w:pPr>
        <w:pStyle w:val="BodyText"/>
      </w:pPr>
      <w:r>
        <w:rPr>
          <w:b/>
        </w:rPr>
        <w:t xml:space="preserve">Moonshot scenario if DSGS achieves even partial 2026 continuation at reduced scale:</w:t>
      </w:r>
      <w:r>
        <w:t xml:space="preserve"> </w:t>
      </w:r>
      <w:r>
        <w:t xml:space="preserve">$250–$400 for a small number of pre-enrolled customers who retain access to residual DSGS funding.</w:t>
      </w:r>
    </w:p>
    <w:p>
      <w:r>
        <w:pict>
          <v:rect style="width:0;height:1.5pt" o:hralign="center" o:hrstd="t" o:hr="t"/>
        </w:pict>
      </w:r>
    </w:p>
    <w:p>
      <w:pPr>
        <w:pStyle w:val="Heading2"/>
      </w:pPr>
      <w:bookmarkStart w:id="49" w:name="magnitude-estimate-the-gap"/>
      <w:r>
        <w:t xml:space="preserve">5. MAGNITUDE ESTIMATE: THE GAP</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Marketed Claim</w:t>
            </w:r>
          </w:p>
        </w:tc>
        <w:tc>
          <w:tcPr>
            <w:tcBorders>
              <w:bottom w:val="single"/>
            </w:tcBorders>
            <w:vAlign w:val="bottom"/>
          </w:tcPr>
          <w:p>
            <w:pPr>
              <w:pStyle w:val="Compact"/>
              <w:jc w:val="left"/>
            </w:pPr>
            <w:r>
              <w:t xml:space="preserve">Realistic 2026 Earning</w:t>
            </w:r>
          </w:p>
        </w:tc>
        <w:tc>
          <w:tcPr>
            <w:tcBorders>
              <w:bottom w:val="single"/>
            </w:tcBorders>
            <w:vAlign w:val="bottom"/>
          </w:tcPr>
          <w:p>
            <w:pPr>
              <w:pStyle w:val="Compact"/>
              <w:jc w:val="left"/>
            </w:pPr>
            <w:r>
              <w:t xml:space="preserve">Gap (Absolute)</w:t>
            </w:r>
          </w:p>
        </w:tc>
        <w:tc>
          <w:tcPr>
            <w:tcBorders>
              <w:bottom w:val="single"/>
            </w:tcBorders>
            <w:vAlign w:val="bottom"/>
          </w:tcPr>
          <w:p>
            <w:pPr>
              <w:pStyle w:val="Compact"/>
              <w:jc w:val="left"/>
            </w:pPr>
            <w:r>
              <w:t xml:space="preserve">Gap (%)</w:t>
            </w:r>
          </w:p>
        </w:tc>
      </w:tr>
      <w:tr>
        <w:tc>
          <w:p>
            <w:pPr>
              <w:pStyle w:val="Compact"/>
              <w:jc w:val="left"/>
            </w:pPr>
            <w:r>
              <w:t xml:space="preserve">Base Case (ELRP only, PG&amp;E territory)</w:t>
            </w:r>
          </w:p>
        </w:tc>
        <w:tc>
          <w:p>
            <w:pPr>
              <w:pStyle w:val="Compact"/>
              <w:jc w:val="left"/>
            </w:pPr>
            <w:r>
              <w:t xml:space="preserve">$464</w:t>
            </w:r>
          </w:p>
        </w:tc>
        <w:tc>
          <w:p>
            <w:pPr>
              <w:pStyle w:val="Compact"/>
              <w:jc w:val="left"/>
            </w:pPr>
            <w:r>
              <w:t xml:space="preserve">~$150</w:t>
            </w:r>
          </w:p>
        </w:tc>
        <w:tc>
          <w:p>
            <w:pPr>
              <w:pStyle w:val="Compact"/>
              <w:jc w:val="left"/>
            </w:pPr>
            <w:r>
              <w:t xml:space="preserve">-$314</w:t>
            </w:r>
          </w:p>
        </w:tc>
        <w:tc>
          <w:p>
            <w:pPr>
              <w:pStyle w:val="Compact"/>
              <w:jc w:val="left"/>
            </w:pPr>
            <w:r>
              <w:t xml:space="preserve">-68%</w:t>
            </w:r>
          </w:p>
        </w:tc>
      </w:tr>
      <w:tr>
        <w:tc>
          <w:p>
            <w:pPr>
              <w:pStyle w:val="Compact"/>
              <w:jc w:val="left"/>
            </w:pPr>
            <w:r>
              <w:t xml:space="preserve">Moderate Case (ELRP + CCA program, Bay Area)</w:t>
            </w:r>
          </w:p>
        </w:tc>
        <w:tc>
          <w:p>
            <w:pPr>
              <w:pStyle w:val="Compact"/>
              <w:jc w:val="left"/>
            </w:pPr>
            <w:r>
              <w:t xml:space="preserve">$464</w:t>
            </w:r>
          </w:p>
        </w:tc>
        <w:tc>
          <w:p>
            <w:pPr>
              <w:pStyle w:val="Compact"/>
              <w:jc w:val="left"/>
            </w:pPr>
            <w:r>
              <w:t xml:space="preserve">~$250</w:t>
            </w:r>
          </w:p>
        </w:tc>
        <w:tc>
          <w:p>
            <w:pPr>
              <w:pStyle w:val="Compact"/>
              <w:jc w:val="left"/>
            </w:pPr>
            <w:r>
              <w:t xml:space="preserve">-$214</w:t>
            </w:r>
          </w:p>
        </w:tc>
        <w:tc>
          <w:p>
            <w:pPr>
              <w:pStyle w:val="Compact"/>
              <w:jc w:val="left"/>
            </w:pPr>
            <w:r>
              <w:t xml:space="preserve">-46%</w:t>
            </w:r>
          </w:p>
        </w:tc>
      </w:tr>
      <w:tr>
        <w:tc>
          <w:p>
            <w:pPr>
              <w:pStyle w:val="Compact"/>
              <w:jc w:val="left"/>
            </w:pPr>
            <w:r>
              <w:t xml:space="preserve">Best Case (residual DSGS + CCA, lucky early enrollee)</w:t>
            </w:r>
          </w:p>
        </w:tc>
        <w:tc>
          <w:p>
            <w:pPr>
              <w:pStyle w:val="Compact"/>
              <w:jc w:val="left"/>
            </w:pPr>
            <w:r>
              <w:t xml:space="preserve">$464</w:t>
            </w:r>
          </w:p>
        </w:tc>
        <w:tc>
          <w:p>
            <w:pPr>
              <w:pStyle w:val="Compact"/>
              <w:jc w:val="left"/>
            </w:pPr>
            <w:r>
              <w:t xml:space="preserve">~$350</w:t>
            </w:r>
          </w:p>
        </w:tc>
        <w:tc>
          <w:p>
            <w:pPr>
              <w:pStyle w:val="Compact"/>
              <w:jc w:val="left"/>
            </w:pPr>
            <w:r>
              <w:t xml:space="preserve">-$114</w:t>
            </w:r>
          </w:p>
        </w:tc>
        <w:tc>
          <w:p>
            <w:pPr>
              <w:pStyle w:val="Compact"/>
              <w:jc w:val="left"/>
            </w:pPr>
            <w:r>
              <w:t xml:space="preserve">-25%</w:t>
            </w:r>
          </w:p>
        </w:tc>
      </w:tr>
      <w:tr>
        <w:tc>
          <w:p>
            <w:pPr>
              <w:pStyle w:val="Compact"/>
              <w:jc w:val="left"/>
            </w:pPr>
            <w:r>
              <w:t xml:space="preserve">Texas expansion (non-CA market)</w:t>
            </w:r>
          </w:p>
        </w:tc>
        <w:tc>
          <w:p>
            <w:pPr>
              <w:pStyle w:val="Compact"/>
              <w:jc w:val="left"/>
            </w:pPr>
            <w:r>
              <w:t xml:space="preserve">$464</w:t>
            </w:r>
          </w:p>
        </w:tc>
        <w:tc>
          <w:p>
            <w:pPr>
              <w:pStyle w:val="Compact"/>
              <w:jc w:val="left"/>
            </w:pPr>
            <w:r>
              <w:t xml:space="preserve">~$300–$400</w:t>
            </w:r>
          </w:p>
        </w:tc>
        <w:tc>
          <w:p>
            <w:pPr>
              <w:pStyle w:val="Compact"/>
              <w:jc w:val="left"/>
            </w:pPr>
            <w:r>
              <w:t xml:space="preserve">-$64 to -$164</w:t>
            </w:r>
          </w:p>
        </w:tc>
        <w:tc>
          <w:p>
            <w:pPr>
              <w:pStyle w:val="Compact"/>
              <w:jc w:val="left"/>
            </w:pPr>
            <w:r>
              <w:t xml:space="preserve">-14–35%</w:t>
            </w:r>
          </w:p>
        </w:tc>
      </w:tr>
    </w:tbl>
    <w:p>
      <w:pPr>
        <w:pStyle w:val="BodyText"/>
      </w:pPr>
      <w:r>
        <w:rPr>
          <w:b/>
        </w:rPr>
        <w:t xml:space="preserve">Central estimate of the gap: ~$214–$314/year per device, or 46–68% below the marketed figure.</w:t>
      </w:r>
    </w:p>
    <w:p>
      <w:pPr>
        <w:pStyle w:val="BodyText"/>
      </w:pPr>
      <w:r>
        <w:t xml:space="preserve">The combined marketed proposition (</w:t>
      </w:r>
      <w:r>
        <w:t xml:space="preserve">“</w:t>
      </w:r>
      <w:r>
        <w:t xml:space="preserve">$464 VPP + $338 savings = $802/year</w:t>
      </w:r>
      <w:r>
        <w:t xml:space="preserve">”</w:t>
      </w:r>
      <w:r>
        <w:t xml:space="preserve">) stands to decline to roughly</w:t>
      </w:r>
      <w:r>
        <w:t xml:space="preserve"> </w:t>
      </w:r>
      <w:r>
        <w:rPr>
          <w:b/>
        </w:rPr>
        <w:t xml:space="preserve">$488–$588/year</w:t>
      </w:r>
      <w:r>
        <w:t xml:space="preserve"> </w:t>
      </w:r>
      <w:r>
        <w:t xml:space="preserve">in the realistic case — a reduction of $214–$314 in the VPP component. The AI-optimized bill savings ($338) component is independently supportable and is not directly at risk from DSGS defunding, though it depends on rate structure and grid conditions.</w:t>
      </w:r>
    </w:p>
    <w:p>
      <w:r>
        <w:pict>
          <v:rect style="width:0;height:1.5pt" o:hralign="center" o:hrstd="t" o:hr="t"/>
        </w:pict>
      </w:r>
    </w:p>
    <w:p>
      <w:pPr>
        <w:pStyle w:val="Heading2"/>
      </w:pPr>
      <w:bookmarkStart w:id="50" w:name="regulatory-and-legal-risk-assessment"/>
      <w:r>
        <w:t xml:space="preserve">6. REGULATORY AND LEGAL RISK ASSESSMENT</w:t>
      </w:r>
      <w:bookmarkEnd w:id="50"/>
    </w:p>
    <w:p>
      <w:pPr>
        <w:pStyle w:val="Heading3"/>
      </w:pPr>
      <w:bookmarkStart w:id="51" w:name="Xabceddea72a1a3eef0f51d4116d1deb307792ed"/>
      <w:r>
        <w:t xml:space="preserve">6A. Federal: FTC Act Section 5 — Unfair or Deceptive Acts or Practices</w:t>
      </w:r>
      <w:bookmarkEnd w:id="51"/>
    </w:p>
    <w:p>
      <w:pPr>
        <w:pStyle w:val="FirstParagraph"/>
      </w:pPr>
      <w:r>
        <w:t xml:space="preserve">The FTC requires that savings claims be substantiated by competent and reliable evidence and accurately represent the typical consumer experience. Savings projections must use assumptions representative of the typical customer, not best-case scenarios.</w:t>
      </w:r>
    </w:p>
    <w:p>
      <w:pPr>
        <w:pStyle w:val="BodyText"/>
      </w:pPr>
      <w:r>
        <w:t xml:space="preserve">Lunar’s $464 figure, presented without temporal or programmatic qualification in February 2026 marketing and the Series D announcement, fails this standard under the following theory:</w:t>
      </w:r>
    </w:p>
    <w:p>
      <w:pPr>
        <w:numPr>
          <w:ilvl w:val="0"/>
          <w:numId w:val="1001"/>
        </w:numPr>
        <w:pStyle w:val="Compact"/>
      </w:pPr>
      <w:r>
        <w:t xml:space="preserve">The figure was derived primarily from DSGS, which is defunded for 2026.</w:t>
      </w:r>
    </w:p>
    <w:p>
      <w:pPr>
        <w:numPr>
          <w:ilvl w:val="0"/>
          <w:numId w:val="1001"/>
        </w:numPr>
        <w:pStyle w:val="Compact"/>
      </w:pPr>
      <w:r>
        <w:t xml:space="preserve">New 2026 enrollees — the intended audience for the marketing — cannot realistically expect to earn $464 from the same program mix.</w:t>
      </w:r>
    </w:p>
    <w:p>
      <w:pPr>
        <w:numPr>
          <w:ilvl w:val="0"/>
          <w:numId w:val="1001"/>
        </w:numPr>
        <w:pStyle w:val="Compact"/>
      </w:pPr>
      <w:r>
        <w:t xml:space="preserve">The figure is presented as a forward value proposition, not a clearly labeled historical metric.</w:t>
      </w:r>
    </w:p>
    <w:p>
      <w:pPr>
        <w:pStyle w:val="Heading3"/>
      </w:pPr>
      <w:bookmarkStart w:id="52" w:name="Xfc44426c856a3c68d3cf5a13d51e271e2bd6bbe"/>
      <w:r>
        <w:t xml:space="preserve">6B. California Consumers Legal Remedies Act (CLRA) / UCL</w:t>
      </w:r>
      <w:bookmarkEnd w:id="52"/>
    </w:p>
    <w:p>
      <w:pPr>
        <w:pStyle w:val="FirstParagraph"/>
      </w:pPr>
      <w:r>
        <w:t xml:space="preserve">The California Unfair Competition Law (UCL, Bus. &amp; Prof. Code §17200) prohibits</w:t>
      </w:r>
      <w:r>
        <w:t xml:space="preserve"> </w:t>
      </w:r>
      <w:r>
        <w:t xml:space="preserve">“</w:t>
      </w:r>
      <w:r>
        <w:t xml:space="preserve">unlawful, unfair, or fraudulent</w:t>
      </w:r>
      <w:r>
        <w:t xml:space="preserve">”</w:t>
      </w:r>
      <w:r>
        <w:t xml:space="preserve"> </w:t>
      </w:r>
      <w:r>
        <w:t xml:space="preserve">business acts. The Consumers Legal Remedies Act (CLRA) prohibits misleading representations about the</w:t>
      </w:r>
      <w:r>
        <w:t xml:space="preserve"> </w:t>
      </w:r>
      <w:r>
        <w:t xml:space="preserve">“</w:t>
      </w:r>
      <w:r>
        <w:t xml:space="preserve">benefits</w:t>
      </w:r>
      <w:r>
        <w:t xml:space="preserve">”</w:t>
      </w:r>
      <w:r>
        <w:t xml:space="preserve"> </w:t>
      </w:r>
      <w:r>
        <w:t xml:space="preserve">of goods or services. Both statutes have been applied to solar industry earnings misrepresentations.</w:t>
      </w:r>
    </w:p>
    <w:p>
      <w:pPr>
        <w:pStyle w:val="BodyText"/>
      </w:pPr>
      <w:r>
        <w:t xml:space="preserve">The specific risk here: Lunar’s battery is sold/leased to homeowners partly on the strength of the $464 VPP earnings promise. If enrollees in 2026 earn $150–$250 instead, and if Lunar has not disclosed the DSGS defunding, this creates a viable CLRA/UCL theory for affected homeowners — especially those in lease arrangements where the VPP earnings were part of the economic justification communicated by installers.</w:t>
      </w:r>
    </w:p>
    <w:p>
      <w:pPr>
        <w:pStyle w:val="Heading3"/>
      </w:pPr>
      <w:bookmarkStart w:id="53" w:name="X327446ee7575a612e97d01ca7c5cc260e363289"/>
      <w:r>
        <w:t xml:space="preserve">6C. Channel/Installer Risk:</w:t>
      </w:r>
      <w:r>
        <w:t xml:space="preserve"> </w:t>
      </w:r>
      <w:r>
        <w:t xml:space="preserve">“</w:t>
      </w:r>
      <w:r>
        <w:t xml:space="preserve">Bait-and-Switch</w:t>
      </w:r>
      <w:r>
        <w:t xml:space="preserve">”</w:t>
      </w:r>
      <w:r>
        <w:t xml:space="preserve"> </w:t>
      </w:r>
      <w:r>
        <w:t xml:space="preserve">Exposure</w:t>
      </w:r>
      <w:bookmarkEnd w:id="53"/>
    </w:p>
    <w:p>
      <w:pPr>
        <w:pStyle w:val="FirstParagraph"/>
      </w:pPr>
      <w:r>
        <w:t xml:space="preserve">Installer trust is Lunar’s most critical near-term commercial vulnerability. Installers pitch the $802/year combined proposition to homeowners during the sales process. If customers who signed up in early 2026 earn $150–$250 in VPP payments rather than $464, installers will face customer complaints and potential fraud liability for misrepresenting the economics. This creates a channel confidence problem at the precise moment Lunar is scaling from ~2,000 installed systems to a 20,000-unit/year target by end of 2026.</w:t>
      </w:r>
    </w:p>
    <w:p>
      <w:pPr>
        <w:pStyle w:val="BodyText"/>
      </w:pPr>
      <w:r>
        <w:t xml:space="preserve">Lunar has installed systems in about 2,000 homes and businesses in California. The firm plans to increase its manufacturing capacity from about 10,000 battery systems per year today to 20,000 per year by the end of 2026 and to 100,000 per year by the end of 2028.</w:t>
      </w:r>
    </w:p>
    <w:p>
      <w:pPr>
        <w:pStyle w:val="BodyText"/>
      </w:pPr>
      <w:r>
        <w:t xml:space="preserve">At this growth rate, tens of thousands of new homeowners will be sold systems in 2026 based on marketing materials that include the $464 figure. The systemic scale of potential misrepresentation grows with every installation.</w:t>
      </w:r>
    </w:p>
    <w:p>
      <w:pPr>
        <w:pStyle w:val="Heading3"/>
      </w:pPr>
      <w:bookmarkStart w:id="54" w:name="d.-investorsecurities-risk"/>
      <w:r>
        <w:t xml:space="preserve">6D. Investor/Securities Risk</w:t>
      </w:r>
      <w:bookmarkEnd w:id="54"/>
    </w:p>
    <w:p>
      <w:pPr>
        <w:pStyle w:val="FirstParagraph"/>
      </w:pPr>
      <w:r>
        <w:t xml:space="preserve">Lunar’s funding consists of $102 million from a Series D round led by B Capital and Prelude Ventures, alongside a previously unannounced $130 million Series C led by Activate Capital.</w:t>
      </w:r>
    </w:p>
    <w:p>
      <w:pPr>
        <w:pStyle w:val="BodyText"/>
      </w:pPr>
      <w:r>
        <w:t xml:space="preserve">The $464 figure appeared prominently in the February 4, 2026 Series D press release. Investors who committed capital based on forward-looking VPP economics embedded in this figure — without adequate disclosure of DSGS defunding — may have securities misrepresentation claims if VPP revenues underperform materially. This risk is amplified if Lunar’s financial model for its lease portfolio relies on VPP revenue to make the unit economics work.</w:t>
      </w:r>
    </w:p>
    <w:p>
      <w:pPr>
        <w:pStyle w:val="BodyText"/>
      </w:pPr>
      <w:r>
        <w:t xml:space="preserve">The financial model adds another layer of complexity. Lunar’s systems are primarily deployed through residential leases, meaning homeowners pay no upfront cost. The claim that customers earned an average of $464 last year from VPP participation is a crucial metric — it demonstrates the value proposition that makes this leasing model work.</w:t>
      </w:r>
    </w:p>
    <w:p>
      <w:r>
        <w:pict>
          <v:rect style="width:0;height:1.5pt" o:hralign="center" o:hrstd="t" o:hr="t"/>
        </w:pict>
      </w:r>
    </w:p>
    <w:p>
      <w:pPr>
        <w:pStyle w:val="Heading2"/>
      </w:pPr>
      <w:bookmarkStart w:id="55" w:name="confidence-assessment"/>
      <w:r>
        <w:t xml:space="preserve">7. CONFIDENCE ASSESSMENT</w:t>
      </w:r>
      <w:bookmarkEnd w:id="5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Claim</w:t>
            </w:r>
          </w:p>
        </w:tc>
        <w:tc>
          <w:tcPr>
            <w:tcBorders>
              <w:bottom w:val="single"/>
            </w:tcBorders>
            <w:vAlign w:val="bottom"/>
          </w:tcPr>
          <w:p>
            <w:pPr>
              <w:pStyle w:val="Compact"/>
              <w:jc w:val="left"/>
            </w:pPr>
            <w:r>
              <w:t xml:space="preserve">Confidence Level</w:t>
            </w:r>
          </w:p>
        </w:tc>
        <w:tc>
          <w:tcPr>
            <w:tcBorders>
              <w:bottom w:val="single"/>
            </w:tcBorders>
            <w:vAlign w:val="bottom"/>
          </w:tcPr>
          <w:p>
            <w:pPr>
              <w:pStyle w:val="Compact"/>
              <w:jc w:val="left"/>
            </w:pPr>
            <w:r>
              <w:t xml:space="preserve">Basis</w:t>
            </w:r>
          </w:p>
        </w:tc>
      </w:tr>
      <w:tr>
        <w:tc>
          <w:p>
            <w:pPr>
              <w:pStyle w:val="Compact"/>
              <w:jc w:val="left"/>
            </w:pPr>
            <w:r>
              <w:t xml:space="preserve">DSGS is effectively defunded for 2026</w:t>
            </w:r>
          </w:p>
        </w:tc>
        <w:tc>
          <w:p>
            <w:pPr>
              <w:pStyle w:val="Compact"/>
              <w:jc w:val="left"/>
            </w:pPr>
            <w:r>
              <w:rPr>
                <w:b/>
              </w:rPr>
              <w:t xml:space="preserve">VERY HIGH (95%)</w:t>
            </w:r>
          </w:p>
        </w:tc>
        <w:tc>
          <w:p>
            <w:pPr>
              <w:pStyle w:val="Compact"/>
              <w:jc w:val="left"/>
            </w:pPr>
            <w:r>
              <w:t xml:space="preserve">Multiple primary sources; CEC, CalSSA, VoteSolar, Advanced Energy United, Canary Media, PV Magazine</w:t>
            </w:r>
          </w:p>
        </w:tc>
      </w:tr>
      <w:tr>
        <w:tc>
          <w:p>
            <w:pPr>
              <w:pStyle w:val="Compact"/>
              <w:jc w:val="left"/>
            </w:pPr>
            <w:r>
              <w:t xml:space="preserve">$464 figure was driven primarily by DSGS</w:t>
            </w:r>
          </w:p>
        </w:tc>
        <w:tc>
          <w:p>
            <w:pPr>
              <w:pStyle w:val="Compact"/>
              <w:jc w:val="left"/>
            </w:pPr>
            <w:r>
              <w:rPr>
                <w:b/>
              </w:rPr>
              <w:t xml:space="preserve">HIGH (85%)</w:t>
            </w:r>
          </w:p>
        </w:tc>
        <w:tc>
          <w:p>
            <w:pPr>
              <w:pStyle w:val="Compact"/>
              <w:jc w:val="left"/>
            </w:pPr>
            <w:r>
              <w:t xml:space="preserve">DSGS accounted for 88%+ of MW in the July 2025 VPP test; program dominance well-documented</w:t>
            </w:r>
          </w:p>
        </w:tc>
      </w:tr>
      <w:tr>
        <w:tc>
          <w:p>
            <w:pPr>
              <w:pStyle w:val="Compact"/>
              <w:jc w:val="left"/>
            </w:pPr>
            <w:r>
              <w:t xml:space="preserve">Post-DSGS California earnings will be $100–$250 under ELRP alone</w:t>
            </w:r>
          </w:p>
        </w:tc>
        <w:tc>
          <w:p>
            <w:pPr>
              <w:pStyle w:val="Compact"/>
              <w:jc w:val="left"/>
            </w:pPr>
            <w:r>
              <w:rPr>
                <w:b/>
              </w:rPr>
              <w:t xml:space="preserve">HIGH (80%)</w:t>
            </w:r>
          </w:p>
        </w:tc>
        <w:tc>
          <w:p>
            <w:pPr>
              <w:pStyle w:val="Compact"/>
              <w:jc w:val="left"/>
            </w:pPr>
            <w:r>
              <w:t xml:space="preserve">Enphase’s own published ELRP guidance ($100–$250); Sunrun’s disclosed $150/battery for DSGS; rate structures confirm</w:t>
            </w:r>
          </w:p>
        </w:tc>
      </w:tr>
      <w:tr>
        <w:tc>
          <w:p>
            <w:pPr>
              <w:pStyle w:val="Compact"/>
              <w:jc w:val="left"/>
            </w:pPr>
            <w:r>
              <w:t xml:space="preserve">No adequate DSGS successor exists in 2026</w:t>
            </w:r>
          </w:p>
        </w:tc>
        <w:tc>
          <w:p>
            <w:pPr>
              <w:pStyle w:val="Compact"/>
              <w:jc w:val="left"/>
            </w:pPr>
            <w:r>
              <w:rPr>
                <w:b/>
              </w:rPr>
              <w:t xml:space="preserve">HIGH (85%)</w:t>
            </w:r>
          </w:p>
        </w:tc>
        <w:tc>
          <w:p>
            <w:pPr>
              <w:pStyle w:val="Compact"/>
              <w:jc w:val="left"/>
            </w:pPr>
            <w:r>
              <w:t xml:space="preserve">No legislation enacted; 2026 session just started; CEC signals reduced continuation only</w:t>
            </w:r>
          </w:p>
        </w:tc>
      </w:tr>
      <w:tr>
        <w:tc>
          <w:p>
            <w:pPr>
              <w:pStyle w:val="Compact"/>
              <w:jc w:val="left"/>
            </w:pPr>
            <w:r>
              <w:t xml:space="preserve">The gap between $464 and 2026 forward earnings is material (&gt;40%)</w:t>
            </w:r>
          </w:p>
        </w:tc>
        <w:tc>
          <w:p>
            <w:pPr>
              <w:pStyle w:val="Compact"/>
              <w:jc w:val="left"/>
            </w:pPr>
            <w:r>
              <w:rPr>
                <w:b/>
              </w:rPr>
              <w:t xml:space="preserve">HIGH (80%)</w:t>
            </w:r>
          </w:p>
        </w:tc>
        <w:tc>
          <w:p>
            <w:pPr>
              <w:pStyle w:val="Compact"/>
              <w:jc w:val="left"/>
            </w:pPr>
            <w:r>
              <w:t xml:space="preserve">Mathematical derivation from program-by-program rate analysis</w:t>
            </w:r>
          </w:p>
        </w:tc>
      </w:tr>
      <w:tr>
        <w:tc>
          <w:p>
            <w:pPr>
              <w:pStyle w:val="Compact"/>
              <w:jc w:val="left"/>
            </w:pPr>
            <w:r>
              <w:t xml:space="preserve">Lunar has not publicly disclosed DSGS defunding in its Series D materials</w:t>
            </w:r>
          </w:p>
        </w:tc>
        <w:tc>
          <w:p>
            <w:pPr>
              <w:pStyle w:val="Compact"/>
              <w:jc w:val="left"/>
            </w:pPr>
            <w:r>
              <w:rPr>
                <w:b/>
              </w:rPr>
              <w:t xml:space="preserve">HIGH (85%)</w:t>
            </w:r>
          </w:p>
        </w:tc>
        <w:tc>
          <w:p>
            <w:pPr>
              <w:pStyle w:val="Compact"/>
              <w:jc w:val="left"/>
            </w:pPr>
            <w:r>
              <w:t xml:space="preserve">Review of February 2026 press release, Canary Media/PV Magazine/GlobeNewswire coverage shows no qualification</w:t>
            </w:r>
          </w:p>
        </w:tc>
      </w:tr>
      <w:tr>
        <w:tc>
          <w:p>
            <w:pPr>
              <w:pStyle w:val="Compact"/>
              <w:jc w:val="left"/>
            </w:pPr>
            <w:r>
              <w:t xml:space="preserve">Continued marketing of $464 creates FTC/CLRA/UCL risk</w:t>
            </w:r>
          </w:p>
        </w:tc>
        <w:tc>
          <w:p>
            <w:pPr>
              <w:pStyle w:val="Compact"/>
              <w:jc w:val="left"/>
            </w:pPr>
            <w:r>
              <w:rPr>
                <w:b/>
              </w:rPr>
              <w:t xml:space="preserve">MODERATE-HIGH (70%)</w:t>
            </w:r>
          </w:p>
        </w:tc>
        <w:tc>
          <w:p>
            <w:pPr>
              <w:pStyle w:val="Compact"/>
              <w:jc w:val="left"/>
            </w:pPr>
            <w:r>
              <w:t xml:space="preserve">FTC standards for savings claims are clear; California enforcement history is strong; but no action has been taken yet, and Lunar may argue the figure is a disclosed historical metric</w:t>
            </w:r>
          </w:p>
        </w:tc>
      </w:tr>
      <w:tr>
        <w:tc>
          <w:p>
            <w:pPr>
              <w:pStyle w:val="Compact"/>
              <w:jc w:val="left"/>
            </w:pPr>
            <w:r>
              <w:t xml:space="preserve">CCA programs could partially close the gap to $250–$350 for some customers</w:t>
            </w:r>
          </w:p>
        </w:tc>
        <w:tc>
          <w:p>
            <w:pPr>
              <w:pStyle w:val="Compact"/>
              <w:jc w:val="left"/>
            </w:pPr>
            <w:r>
              <w:rPr>
                <w:b/>
              </w:rPr>
              <w:t xml:space="preserve">MODERATE (60%)</w:t>
            </w:r>
          </w:p>
        </w:tc>
        <w:tc>
          <w:p>
            <w:pPr>
              <w:pStyle w:val="Compact"/>
              <w:jc w:val="left"/>
            </w:pPr>
            <w:r>
              <w:t xml:space="preserve">Lunar-PCE/SVCE partnership is real but nascent; compensation rates from CCA programs not publicly specified</w:t>
            </w:r>
          </w:p>
        </w:tc>
      </w:tr>
    </w:tbl>
    <w:p>
      <w:r>
        <w:pict>
          <v:rect style="width:0;height:1.5pt" o:hralign="center" o:hrstd="t" o:hr="t"/>
        </w:pict>
      </w:r>
    </w:p>
    <w:p>
      <w:pPr>
        <w:pStyle w:val="Heading2"/>
      </w:pPr>
      <w:bookmarkStart w:id="56" w:name="X3c77cf86b7a3f750acc32deec44659b6be7c6b2"/>
      <w:r>
        <w:t xml:space="preserve">8. STRATEGIC RECOMMENDATIONS (For Disclosure Purposes Only)</w:t>
      </w:r>
      <w:bookmarkEnd w:id="56"/>
    </w:p>
    <w:p>
      <w:pPr>
        <w:pStyle w:val="FirstParagraph"/>
      </w:pPr>
      <w:r>
        <w:t xml:space="preserve">While this report does not offer legal advice, the following corrective actions would materially reduce Lunar’s regulatory, legal, and channel exposure:</w:t>
      </w:r>
    </w:p>
    <w:p>
      <w:pPr>
        <w:numPr>
          <w:ilvl w:val="0"/>
          <w:numId w:val="1002"/>
        </w:numPr>
      </w:pPr>
      <w:r>
        <w:rPr>
          <w:b/>
        </w:rPr>
        <w:t xml:space="preserve">Immediately add temporal and programmatic qualification to all $464 references:</w:t>
      </w:r>
      <w:r>
        <w:t xml:space="preserve"> </w:t>
      </w:r>
      <w:r>
        <w:t xml:space="preserve">Label it clearly as</w:t>
      </w:r>
      <w:r>
        <w:t xml:space="preserve"> </w:t>
      </w:r>
      <w:r>
        <w:t xml:space="preserve">“</w:t>
      </w:r>
      <w:r>
        <w:t xml:space="preserve">customers earned an average of $464 in 2025 under California’s DSGS program, which has since been defunded. 2026 earnings will depend on replacement programs and are projected to be lower.</w:t>
      </w:r>
      <w:r>
        <w:t xml:space="preserve">”</w:t>
      </w:r>
      <w:r>
        <w:t xml:space="preserve"> </w:t>
      </w:r>
      <w:r>
        <w:t xml:space="preserve">This single disclosure substantially reduces FTC Section 5 and CLRA exposure.</w:t>
      </w:r>
    </w:p>
    <w:p>
      <w:pPr>
        <w:numPr>
          <w:ilvl w:val="0"/>
          <w:numId w:val="1002"/>
        </w:numPr>
      </w:pPr>
      <w:r>
        <w:rPr>
          <w:b/>
        </w:rPr>
        <w:t xml:space="preserve">Publish a California-specific VPP earnings projection for 2026:</w:t>
      </w:r>
      <w:r>
        <w:t xml:space="preserve"> </w:t>
      </w:r>
      <w:r>
        <w:t xml:space="preserve">Model the realistic expected earnings under (a) ELRP only, (b) ELRP + CCA programs, and (c) any residual DSGS allocation. Share this with installers so they can accurately represent the economics in customer conversations.</w:t>
      </w:r>
    </w:p>
    <w:p>
      <w:pPr>
        <w:numPr>
          <w:ilvl w:val="0"/>
          <w:numId w:val="1002"/>
        </w:numPr>
      </w:pPr>
      <w:r>
        <w:rPr>
          <w:b/>
        </w:rPr>
        <w:t xml:space="preserve">Accelerate CCA program partnerships:</w:t>
      </w:r>
      <w:r>
        <w:t xml:space="preserve"> </w:t>
      </w:r>
      <w:r>
        <w:t xml:space="preserve">Lunar’s Gridshare platform will enable customers to draw new benefits from their devices, and PCE and SVCE aim to aggregate up to 25 megawatts of dispatchable capacity over the next five years.</w:t>
      </w:r>
      <w:r>
        <w:t xml:space="preserve"> </w:t>
      </w:r>
      <w:r>
        <w:t xml:space="preserve">Accelerating this to a two-year timeline would more rapidly fill the DSGS gap with real compensation.</w:t>
      </w:r>
    </w:p>
    <w:p>
      <w:pPr>
        <w:numPr>
          <w:ilvl w:val="0"/>
          <w:numId w:val="1002"/>
        </w:numPr>
      </w:pPr>
      <w:r>
        <w:rPr>
          <w:b/>
        </w:rPr>
        <w:t xml:space="preserve">Proactively support the 2026 California legislative session:</w:t>
      </w:r>
      <w:r>
        <w:t xml:space="preserve"> </w:t>
      </w:r>
      <w:r>
        <w:t xml:space="preserve">The pressure is now on the 2026 session to restore DSGS funding.</w:t>
      </w:r>
      <w:r>
        <w:t xml:space="preserve"> </w:t>
      </w:r>
      <w:r>
        <w:t xml:space="preserve">Advanced Energy United said</w:t>
      </w:r>
      <w:r>
        <w:t xml:space="preserve"> </w:t>
      </w:r>
      <w:r>
        <w:t xml:space="preserve">“</w:t>
      </w:r>
      <w:r>
        <w:t xml:space="preserve">the pressure is now on for the next session to produce meaningful results and close the policy gaps.</w:t>
      </w:r>
      <w:r>
        <w:t xml:space="preserve">”</w:t>
      </w:r>
      <w:r>
        <w:t xml:space="preserve"> </w:t>
      </w:r>
      <w:r>
        <w:t xml:space="preserve">Lunar, as a direct financial beneficiary, should be visible in Sacramento advocacy efforts. Doing so also demonstrates good faith to regulators.</w:t>
      </w:r>
    </w:p>
    <w:p>
      <w:pPr>
        <w:numPr>
          <w:ilvl w:val="0"/>
          <w:numId w:val="1002"/>
        </w:numPr>
      </w:pPr>
      <w:r>
        <w:rPr>
          <w:b/>
        </w:rPr>
        <w:t xml:space="preserve">Reframe the value proposition around AI-optimized bill savings ($338):</w:t>
      </w:r>
      <w:r>
        <w:t xml:space="preserve"> </w:t>
      </w:r>
      <w:r>
        <w:t xml:space="preserve">This figure is independently defensible and is not contingent on DSGS. A shift in marketing emphasis from VPP earnings to bill optimization reduces dependence on program-contingent promises.</w:t>
      </w:r>
    </w:p>
    <w:p>
      <w:r>
        <w:pict>
          <v:rect style="width:0;height:1.5pt" o:hralign="center" o:hrstd="t" o:hr="t"/>
        </w:pict>
      </w:r>
    </w:p>
    <w:p>
      <w:pPr>
        <w:pStyle w:val="Heading2"/>
      </w:pPr>
      <w:bookmarkStart w:id="57" w:name="citations-primary-sources"/>
      <w:r>
        <w:t xml:space="preserve">9. CITATIONS (Primary Sources)</w:t>
      </w:r>
      <w:bookmarkEnd w:id="57"/>
    </w:p>
    <w:p>
      <w:pPr>
        <w:numPr>
          <w:ilvl w:val="0"/>
          <w:numId w:val="1003"/>
        </w:numPr>
        <w:pStyle w:val="Compact"/>
      </w:pPr>
      <w:r>
        <w:t xml:space="preserve">California Solar &amp; Storage Association (CALSSA), Press Release, September 10, 2025</w:t>
      </w:r>
    </w:p>
    <w:p>
      <w:pPr>
        <w:numPr>
          <w:ilvl w:val="0"/>
          <w:numId w:val="1003"/>
        </w:numPr>
        <w:pStyle w:val="Compact"/>
      </w:pPr>
      <w:r>
        <w:t xml:space="preserve">Vote Solar, Press Release, September 11, 2025</w:t>
      </w:r>
    </w:p>
    <w:p>
      <w:pPr>
        <w:numPr>
          <w:ilvl w:val="0"/>
          <w:numId w:val="1003"/>
        </w:numPr>
        <w:pStyle w:val="Compact"/>
      </w:pPr>
      <w:r>
        <w:t xml:space="preserve">California Energy Commission, DSGS Program Page (energy.ca.gov)</w:t>
      </w:r>
    </w:p>
    <w:p>
      <w:pPr>
        <w:numPr>
          <w:ilvl w:val="0"/>
          <w:numId w:val="1003"/>
        </w:numPr>
        <w:pStyle w:val="Compact"/>
      </w:pPr>
      <w:r>
        <w:t xml:space="preserve">Advanced Energy United / RTO Insider, October 17, 2025</w:t>
      </w:r>
    </w:p>
    <w:p>
      <w:pPr>
        <w:numPr>
          <w:ilvl w:val="0"/>
          <w:numId w:val="1003"/>
        </w:numPr>
        <w:pStyle w:val="Compact"/>
      </w:pPr>
      <w:r>
        <w:t xml:space="preserve">Canary Media,</w:t>
      </w:r>
      <w:r>
        <w:t xml:space="preserve"> </w:t>
      </w:r>
      <w:r>
        <w:t xml:space="preserve">“</w:t>
      </w:r>
      <w:r>
        <w:t xml:space="preserve">Did California just screw up the largest virtual power plant?</w:t>
      </w:r>
      <w:r>
        <w:t xml:space="preserve">”</w:t>
      </w:r>
      <w:r>
        <w:t xml:space="preserve"> </w:t>
      </w:r>
      <w:r>
        <w:t xml:space="preserve">September 29, 2025</w:t>
      </w:r>
    </w:p>
    <w:p>
      <w:pPr>
        <w:numPr>
          <w:ilvl w:val="0"/>
          <w:numId w:val="1003"/>
        </w:numPr>
        <w:pStyle w:val="Compact"/>
      </w:pPr>
      <w:r>
        <w:t xml:space="preserve">PV Magazine USA,</w:t>
      </w:r>
      <w:r>
        <w:t xml:space="preserve"> </w:t>
      </w:r>
      <w:r>
        <w:t xml:space="preserve">“</w:t>
      </w:r>
      <w:r>
        <w:t xml:space="preserve">California cuts funding for nation’s largest virtual power plant,</w:t>
      </w:r>
      <w:r>
        <w:t xml:space="preserve">”</w:t>
      </w:r>
      <w:r>
        <w:t xml:space="preserve"> </w:t>
      </w:r>
      <w:r>
        <w:t xml:space="preserve">September 15–16, 2025</w:t>
      </w:r>
    </w:p>
    <w:p>
      <w:pPr>
        <w:numPr>
          <w:ilvl w:val="0"/>
          <w:numId w:val="1003"/>
        </w:numPr>
        <w:pStyle w:val="Compact"/>
      </w:pPr>
      <w:r>
        <w:t xml:space="preserve">Canary Media,</w:t>
      </w:r>
      <w:r>
        <w:t xml:space="preserve"> </w:t>
      </w:r>
      <w:r>
        <w:t xml:space="preserve">“</w:t>
      </w:r>
      <w:r>
        <w:t xml:space="preserve">Why did Newsom veto California’s virtual-power-plant bills?</w:t>
      </w:r>
      <w:r>
        <w:t xml:space="preserve">”</w:t>
      </w:r>
      <w:r>
        <w:t xml:space="preserve"> </w:t>
      </w:r>
      <w:r>
        <w:t xml:space="preserve">October 8, 2025</w:t>
      </w:r>
    </w:p>
    <w:p>
      <w:pPr>
        <w:numPr>
          <w:ilvl w:val="0"/>
          <w:numId w:val="1003"/>
        </w:numPr>
        <w:pStyle w:val="Compact"/>
      </w:pPr>
      <w:r>
        <w:t xml:space="preserve">Lunar Energy, Series D Press Release, GlobeNewswire/Lunar Energy Blog, February 4, 2026</w:t>
      </w:r>
    </w:p>
    <w:p>
      <w:pPr>
        <w:numPr>
          <w:ilvl w:val="0"/>
          <w:numId w:val="1003"/>
        </w:numPr>
        <w:pStyle w:val="Compact"/>
      </w:pPr>
      <w:r>
        <w:t xml:space="preserve">PV Magazine USA,</w:t>
      </w:r>
      <w:r>
        <w:t xml:space="preserve"> </w:t>
      </w:r>
      <w:r>
        <w:t xml:space="preserve">“</w:t>
      </w:r>
      <w:r>
        <w:t xml:space="preserve">Lunar Energy raises $232 million,</w:t>
      </w:r>
      <w:r>
        <w:t xml:space="preserve">”</w:t>
      </w:r>
      <w:r>
        <w:t xml:space="preserve"> </w:t>
      </w:r>
      <w:r>
        <w:t xml:space="preserve">February 4, 2026</w:t>
      </w:r>
    </w:p>
    <w:p>
      <w:pPr>
        <w:numPr>
          <w:ilvl w:val="0"/>
          <w:numId w:val="1003"/>
        </w:numPr>
        <w:pStyle w:val="Compact"/>
      </w:pPr>
      <w:r>
        <w:t xml:space="preserve">Canary Media,</w:t>
      </w:r>
      <w:r>
        <w:t xml:space="preserve"> </w:t>
      </w:r>
      <w:r>
        <w:t xml:space="preserve">“</w:t>
      </w:r>
      <w:r>
        <w:t xml:space="preserve">Lunar Energy lands $232M to boost smart home batteries,</w:t>
      </w:r>
      <w:r>
        <w:t xml:space="preserve">”</w:t>
      </w:r>
      <w:r>
        <w:t xml:space="preserve"> </w:t>
      </w:r>
      <w:r>
        <w:t xml:space="preserve">February 2026</w:t>
      </w:r>
    </w:p>
    <w:p>
      <w:pPr>
        <w:numPr>
          <w:ilvl w:val="0"/>
          <w:numId w:val="1003"/>
        </w:numPr>
        <w:pStyle w:val="Compact"/>
      </w:pPr>
      <w:r>
        <w:t xml:space="preserve">Energy Storage News,</w:t>
      </w:r>
      <w:r>
        <w:t xml:space="preserve"> </w:t>
      </w:r>
      <w:r>
        <w:t xml:space="preserve">“</w:t>
      </w:r>
      <w:r>
        <w:t xml:space="preserve">Year in Review: Lunar Energy,</w:t>
      </w:r>
      <w:r>
        <w:t xml:space="preserve">”</w:t>
      </w:r>
      <w:r>
        <w:t xml:space="preserve"> </w:t>
      </w:r>
      <w:r>
        <w:t xml:space="preserve">January 27, 2026</w:t>
      </w:r>
    </w:p>
    <w:p>
      <w:pPr>
        <w:numPr>
          <w:ilvl w:val="0"/>
          <w:numId w:val="1003"/>
        </w:numPr>
        <w:pStyle w:val="Compact"/>
      </w:pPr>
      <w:r>
        <w:t xml:space="preserve">Olivine/DSGS FAQ, dsgs.olivineinc.com (October 29, 2025 edition)</w:t>
      </w:r>
    </w:p>
    <w:p>
      <w:pPr>
        <w:numPr>
          <w:ilvl w:val="0"/>
          <w:numId w:val="1003"/>
        </w:numPr>
        <w:pStyle w:val="Compact"/>
      </w:pPr>
      <w:r>
        <w:t xml:space="preserve">CPUC, Emergency Load Reduction Program Data and Information, cpuc.ca.gov</w:t>
      </w:r>
    </w:p>
    <w:p>
      <w:pPr>
        <w:numPr>
          <w:ilvl w:val="0"/>
          <w:numId w:val="1003"/>
        </w:numPr>
        <w:pStyle w:val="Compact"/>
      </w:pPr>
      <w:r>
        <w:t xml:space="preserve">Enphase, PG&amp;E ELRP Program Page, enphase.com/installers/grid-services</w:t>
      </w:r>
    </w:p>
    <w:p>
      <w:pPr>
        <w:numPr>
          <w:ilvl w:val="0"/>
          <w:numId w:val="1003"/>
        </w:numPr>
        <w:pStyle w:val="Compact"/>
      </w:pPr>
      <w:r>
        <w:t xml:space="preserve">Enphase, DSGS Reward Program Page, enphase.com/installers/grid-services/dsgs-reward-program</w:t>
      </w:r>
    </w:p>
    <w:p>
      <w:pPr>
        <w:numPr>
          <w:ilvl w:val="0"/>
          <w:numId w:val="1003"/>
        </w:numPr>
        <w:pStyle w:val="Compact"/>
      </w:pPr>
      <w:r>
        <w:t xml:space="preserve">Tesla, Virtual Power Plant with PG&amp;E, tesla.com/support/energy/virtual-power-plant/pge</w:t>
      </w:r>
    </w:p>
    <w:p>
      <w:pPr>
        <w:numPr>
          <w:ilvl w:val="0"/>
          <w:numId w:val="1003"/>
        </w:numPr>
        <w:pStyle w:val="Compact"/>
      </w:pPr>
      <w:r>
        <w:t xml:space="preserve">Latitude Media,</w:t>
      </w:r>
      <w:r>
        <w:t xml:space="preserve"> </w:t>
      </w:r>
      <w:r>
        <w:t xml:space="preserve">“</w:t>
      </w:r>
      <w:r>
        <w:t xml:space="preserve">Running the numbers on Tesla and Sunrun’s massive California VPP test,</w:t>
      </w:r>
      <w:r>
        <w:t xml:space="preserve">”</w:t>
      </w:r>
      <w:r>
        <w:t xml:space="preserve"> </w:t>
      </w:r>
      <w:r>
        <w:t xml:space="preserve">September 1, 2025</w:t>
      </w:r>
    </w:p>
    <w:p>
      <w:pPr>
        <w:numPr>
          <w:ilvl w:val="0"/>
          <w:numId w:val="1003"/>
        </w:numPr>
        <w:pStyle w:val="Compact"/>
      </w:pPr>
      <w:r>
        <w:t xml:space="preserve">CleanTechnica,</w:t>
      </w:r>
      <w:r>
        <w:t xml:space="preserve"> </w:t>
      </w:r>
      <w:r>
        <w:t xml:space="preserve">“</w:t>
      </w:r>
      <w:r>
        <w:t xml:space="preserve">California VPP Links 100,000 Residential Storage Batteries,</w:t>
      </w:r>
      <w:r>
        <w:t xml:space="preserve">”</w:t>
      </w:r>
      <w:r>
        <w:t xml:space="preserve"> </w:t>
      </w:r>
      <w:r>
        <w:t xml:space="preserve">August 11, 2025</w:t>
      </w:r>
    </w:p>
    <w:p>
      <w:pPr>
        <w:numPr>
          <w:ilvl w:val="0"/>
          <w:numId w:val="1003"/>
        </w:numPr>
        <w:pStyle w:val="Compact"/>
      </w:pPr>
      <w:r>
        <w:t xml:space="preserve">Lunar Energy Blog,</w:t>
      </w:r>
      <w:r>
        <w:t xml:space="preserve"> </w:t>
      </w:r>
      <w:r>
        <w:t xml:space="preserve">“</w:t>
      </w:r>
      <w:r>
        <w:t xml:space="preserve">Lunar Gridshare will enable battery programs for Peninsula Clean Energy and Silicon Valley Clean Energy,</w:t>
      </w:r>
      <w:r>
        <w:t xml:space="preserve">”</w:t>
      </w:r>
      <w:r>
        <w:t xml:space="preserve"> </w:t>
      </w:r>
      <w:r>
        <w:t xml:space="preserve">December 4, 2025</w:t>
      </w:r>
    </w:p>
    <w:p>
      <w:pPr>
        <w:numPr>
          <w:ilvl w:val="0"/>
          <w:numId w:val="1003"/>
        </w:numPr>
        <w:pStyle w:val="Compact"/>
      </w:pPr>
      <w:r>
        <w:t xml:space="preserve">PV Magazine USA,</w:t>
      </w:r>
      <w:r>
        <w:t xml:space="preserve"> </w:t>
      </w:r>
      <w:r>
        <w:t xml:space="preserve">“</w:t>
      </w:r>
      <w:r>
        <w:t xml:space="preserve">Sunrun 2025 earnings report,</w:t>
      </w:r>
      <w:r>
        <w:t xml:space="preserve">”</w:t>
      </w:r>
      <w:r>
        <w:t xml:space="preserve"> </w:t>
      </w:r>
      <w:r>
        <w:t xml:space="preserve">February 27, 2026</w:t>
      </w:r>
    </w:p>
    <w:p>
      <w:pPr>
        <w:numPr>
          <w:ilvl w:val="0"/>
          <w:numId w:val="1003"/>
        </w:numPr>
        <w:pStyle w:val="Compact"/>
      </w:pPr>
      <w:r>
        <w:t xml:space="preserve">Utility Dive,</w:t>
      </w:r>
      <w:r>
        <w:t xml:space="preserve"> </w:t>
      </w:r>
      <w:r>
        <w:t xml:space="preserve">“</w:t>
      </w:r>
      <w:r>
        <w:t xml:space="preserve">Sunrun sees 400% growth in virtual power plant participation,</w:t>
      </w:r>
      <w:r>
        <w:t xml:space="preserve">”</w:t>
      </w:r>
      <w:r>
        <w:t xml:space="preserve"> </w:t>
      </w:r>
      <w:r>
        <w:t xml:space="preserve">November 10, 2025</w:t>
      </w:r>
    </w:p>
    <w:p>
      <w:pPr>
        <w:numPr>
          <w:ilvl w:val="0"/>
          <w:numId w:val="1003"/>
        </w:numPr>
        <w:pStyle w:val="Compact"/>
      </w:pPr>
      <w:r>
        <w:t xml:space="preserve">ev.energy,</w:t>
      </w:r>
      <w:r>
        <w:t xml:space="preserve"> </w:t>
      </w:r>
      <w:r>
        <w:t xml:space="preserve">“</w:t>
      </w:r>
      <w:r>
        <w:t xml:space="preserve">California CCAs Partner with ev.energy to Create Statewide VPP,</w:t>
      </w:r>
      <w:r>
        <w:t xml:space="preserve">”</w:t>
      </w:r>
      <w:r>
        <w:t xml:space="preserve"> </w:t>
      </w:r>
      <w:r>
        <w:t xml:space="preserve">October 29, 2024</w:t>
      </w:r>
    </w:p>
    <w:p>
      <w:pPr>
        <w:numPr>
          <w:ilvl w:val="0"/>
          <w:numId w:val="1003"/>
        </w:numPr>
        <w:pStyle w:val="Compact"/>
      </w:pPr>
      <w:r>
        <w:t xml:space="preserve">FTC Energy Savings Enforcement page, ftc.gov/energy-savings</w:t>
      </w:r>
    </w:p>
    <w:p>
      <w:pPr>
        <w:numPr>
          <w:ilvl w:val="0"/>
          <w:numId w:val="1003"/>
        </w:numPr>
        <w:pStyle w:val="Compact"/>
      </w:pPr>
      <w:r>
        <w:t xml:space="preserve">LeadGen Economy,</w:t>
      </w:r>
      <w:r>
        <w:t xml:space="preserve"> </w:t>
      </w:r>
      <w:r>
        <w:t xml:space="preserve">“</w:t>
      </w:r>
      <w:r>
        <w:t xml:space="preserve">Solar Panel Claims Compliance: FTC Advertising Guide,</w:t>
      </w:r>
      <w:r>
        <w:t xml:space="preserve">”</w:t>
      </w:r>
      <w:r>
        <w:t xml:space="preserve"> </w:t>
      </w:r>
      <w:r>
        <w:t xml:space="preserve">December 2025</w:t>
      </w:r>
    </w:p>
    <w:p>
      <w:pPr>
        <w:numPr>
          <w:ilvl w:val="0"/>
          <w:numId w:val="1003"/>
        </w:numPr>
        <w:pStyle w:val="Compact"/>
      </w:pPr>
      <w:r>
        <w:t xml:space="preserve">Energy Toolbase,</w:t>
      </w:r>
      <w:r>
        <w:t xml:space="preserve"> </w:t>
      </w:r>
      <w:r>
        <w:t xml:space="preserve">“</w:t>
      </w:r>
      <w:r>
        <w:t xml:space="preserve">Breakdown of Updated 2025 DSGS Guidelines,</w:t>
      </w:r>
      <w:r>
        <w:t xml:space="preserve">”</w:t>
      </w:r>
      <w:r>
        <w:t xml:space="preserve"> </w:t>
      </w:r>
      <w:r>
        <w:t xml:space="preserve">May 6, 2025</w:t>
      </w:r>
    </w:p>
    <w:p>
      <w:r>
        <w:pict>
          <v:rect style="width:0;height:1.5pt" o:hralign="center" o:hrstd="t" o:hr="t"/>
        </w:pict>
      </w:r>
    </w:p>
    <w:p>
      <w:pPr>
        <w:pStyle w:val="FirstParagraph"/>
      </w:pPr>
      <w:r>
        <w:rPr>
          <w:b/>
        </w:rPr>
        <w:t xml:space="preserve">BOTTOM LINE:</w:t>
      </w:r>
      <w:r>
        <w:t xml:space="preserve"> </w:t>
      </w:r>
      <w:r>
        <w:t xml:space="preserve">The hypothesis is</w:t>
      </w:r>
      <w:r>
        <w:t xml:space="preserve"> </w:t>
      </w:r>
      <w:r>
        <w:rPr>
          <w:b/>
        </w:rPr>
        <w:t xml:space="preserve">substantially validated</w:t>
      </w:r>
      <w:r>
        <w:t xml:space="preserve">. Lunar Energy’s $464/year VPP figure is a legitimate but backward-looking 2025 historical average derived from a now-defunded program. California residential battery owners enrolling in 2026 can realistically expect</w:t>
      </w:r>
      <w:r>
        <w:t xml:space="preserve"> </w:t>
      </w:r>
      <w:r>
        <w:rPr>
          <w:b/>
        </w:rPr>
        <w:t xml:space="preserve">$100–$250/year from ELRP alone</w:t>
      </w:r>
      <w:r>
        <w:t xml:space="preserve">, and potentially</w:t>
      </w:r>
      <w:r>
        <w:t xml:space="preserve"> </w:t>
      </w:r>
      <w:r>
        <w:rPr>
          <w:b/>
        </w:rPr>
        <w:t xml:space="preserve">$200–$350 in optimal CCA-rich geographies</w:t>
      </w:r>
      <w:r>
        <w:t xml:space="preserve"> </w:t>
      </w:r>
      <w:r>
        <w:t xml:space="preserve">with Lunar’s AI optimization. The marketed figure overstates 2026 forward VPP economics by approximately</w:t>
      </w:r>
      <w:r>
        <w:t xml:space="preserve"> </w:t>
      </w:r>
      <w:r>
        <w:rPr>
          <w:b/>
        </w:rPr>
        <w:t xml:space="preserve">$114–$314/year (25–68% shortfall)</w:t>
      </w:r>
      <w:r>
        <w:t xml:space="preserve">, with the midpoint gap around</w:t>
      </w:r>
      <w:r>
        <w:t xml:space="preserve"> </w:t>
      </w:r>
      <w:r>
        <w:rPr>
          <w:b/>
        </w:rPr>
        <w:t xml:space="preserve">$200/year</w:t>
      </w:r>
      <w:r>
        <w:t xml:space="preserve">. The continued use of the $464 figure without DSGS defunding disclosure creates material consumer protection exposure under FTC and California law, channel trust risk with installers, and investor disclosure questions that compound with every new installation sold under the current marketing materials.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2026-02-28T04:44:29Z</dcterms:created>
  <dcterms:modified xsi:type="dcterms:W3CDTF">2026-02-28T04:44:29Z</dcterms:modified>
</cp:coreProperties>
</file>

<file path=docProps/custom.xml><?xml version="1.0" encoding="utf-8"?>
<Properties xmlns="http://schemas.openxmlformats.org/officeDocument/2006/custom-properties" xmlns:vt="http://schemas.openxmlformats.org/officeDocument/2006/docPropsVTypes"/>
</file>