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Now I have sufficient evidence to construct a comprehensive, structured analytical report. Let me compile the findings.</w:t>
      </w:r>
    </w:p>
    <w:p>
      <w:r>
        <w:pict>
          <v:rect style="width:0;height:1.5pt" o:hralign="center" o:hrstd="t" o:hr="t"/>
        </w:pict>
      </w:r>
    </w:p>
    <w:p>
      <w:pPr>
        <w:pStyle w:val="Heading1"/>
      </w:pPr>
      <w:bookmarkStart w:id="20" w:name="Xbcc183ffb051568aa472b6e3e62268cf7841f8b"/>
      <w:r>
        <w:t xml:space="preserve">LUNAR ENERGY BATTERY SUPPLY CHAIN: INVESTIGATIVE ANALYSIS REPORT</w:t>
      </w:r>
      <w:bookmarkEnd w:id="20"/>
    </w:p>
    <w:p>
      <w:pPr>
        <w:pStyle w:val="FirstParagraph"/>
      </w:pPr>
      <w:r>
        <w:rPr>
          <w:b/>
        </w:rPr>
        <w:t xml:space="preserve">Classification: Trade Compliance &amp; Supply Chain Intelligence</w:t>
      </w:r>
      <w:r>
        <w:t xml:space="preserve"> </w:t>
      </w:r>
      <w:r>
        <w:rPr>
          <w:b/>
        </w:rPr>
        <w:t xml:space="preserve">Date of Analysis: February 28, 2026</w:t>
      </w:r>
      <w:r>
        <w:t xml:space="preserve"> </w:t>
      </w:r>
      <w:r>
        <w:rPr>
          <w:b/>
        </w:rPr>
        <w:t xml:space="preserve">Subject: Lunar Energy Inc. — Battery Cell Origin, Chemistry, FEOC Compliance, and Scale Risks</w:t>
      </w:r>
    </w:p>
    <w:p>
      <w:r>
        <w:pict>
          <v:rect style="width:0;height:1.5pt" o:hralign="center" o:hrstd="t" o:hr="t"/>
        </w:pict>
      </w:r>
    </w:p>
    <w:p>
      <w:pPr>
        <w:pStyle w:val="Heading2"/>
      </w:pPr>
      <w:bookmarkStart w:id="21" w:name="executive-summary"/>
      <w:r>
        <w:t xml:space="preserve">EXECUTIVE SUMMARY</w:t>
      </w:r>
      <w:bookmarkEnd w:id="21"/>
    </w:p>
    <w:p>
      <w:pPr>
        <w:pStyle w:val="FirstParagraph"/>
      </w:pPr>
      <w:r>
        <w:t xml:space="preserve">This investigation finds</w:t>
      </w:r>
      <w:r>
        <w:t xml:space="preserve"> </w:t>
      </w:r>
      <w:r>
        <w:rPr>
          <w:b/>
        </w:rPr>
        <w:t xml:space="preserve">strong circumstantial evidence</w:t>
      </w:r>
      <w:r>
        <w:t xml:space="preserve"> </w:t>
      </w:r>
      <w:r>
        <w:t xml:space="preserve">supporting the core hypothesis: Lunar Energy’s current battery cells cannot plausibly originate from SK On’s Georgia facility in LFP chemistry, because no such product existed in commercial quantities at SK On Georgia prior to H2 2026. The most probable current source is</w:t>
      </w:r>
      <w:r>
        <w:t xml:space="preserve"> </w:t>
      </w:r>
      <w:r>
        <w:rPr>
          <w:b/>
        </w:rPr>
        <w:t xml:space="preserve">SK On’s Hungarian facility</w:t>
      </w:r>
      <w:r>
        <w:t xml:space="preserve">, though that scenario creates material FEOC-adjacent supply chain transparency risks and domestic content bonus qualification questions. A secondary possibility — undisclosed non-SK supplier — cannot be ruled out. The chemistry claim of</w:t>
      </w:r>
      <w:r>
        <w:t xml:space="preserve"> </w:t>
      </w:r>
      <w:r>
        <w:t xml:space="preserve">“</w:t>
      </w:r>
      <w:r>
        <w:t xml:space="preserve">LFP</w:t>
      </w:r>
      <w:r>
        <w:t xml:space="preserve">”</w:t>
      </w:r>
      <w:r>
        <w:t xml:space="preserve"> </w:t>
      </w:r>
      <w:r>
        <w:t xml:space="preserve">is not independently verifiable from public safety certification filings reviewed here. The gap between Lunar’s public disclosures is not trivial; it has direct, escalating consequences under the IRA’s FEOC/material assistance framework as tightened by the One Big Beautiful Bill Act (OBBBA, July 4, 2025).</w:t>
      </w:r>
    </w:p>
    <w:p>
      <w:r>
        <w:pict>
          <v:rect style="width:0;height:1.5pt" o:hralign="center" o:hrstd="t" o:hr="t"/>
        </w:pict>
      </w:r>
    </w:p>
    <w:p>
      <w:pPr>
        <w:pStyle w:val="Heading2"/>
      </w:pPr>
      <w:bookmarkStart w:id="22" w:name="evidence-for-the-hypothesis"/>
      <w:r>
        <w:t xml:space="preserve">1. EVIDENCE FOR THE HYPOTHESIS</w:t>
      </w:r>
      <w:bookmarkEnd w:id="22"/>
    </w:p>
    <w:p>
      <w:pPr>
        <w:pStyle w:val="Heading3"/>
      </w:pPr>
      <w:bookmarkStart w:id="23" w:name="X31e5a101072c0494ae22f68e3846502642b57e5"/>
      <w:r>
        <w:t xml:space="preserve">A. The Central Chemistry-Geography Mismatch Is Confirmed</w:t>
      </w:r>
      <w:bookmarkEnd w:id="23"/>
    </w:p>
    <w:p>
      <w:pPr>
        <w:pStyle w:val="FirstParagraph"/>
      </w:pPr>
      <w:r>
        <w:t xml:space="preserve">The hypothesis’s core premise — that SK On Georgia does not currently produce LFP cells — is</w:t>
      </w:r>
      <w:r>
        <w:t xml:space="preserve"> </w:t>
      </w:r>
      <w:r>
        <w:rPr>
          <w:b/>
        </w:rPr>
        <w:t xml:space="preserve">fully confirmed</w:t>
      </w:r>
      <w:r>
        <w:t xml:space="preserve"> </w:t>
      </w:r>
      <w:r>
        <w:t xml:space="preserve">by multiple independent sources.</w:t>
      </w:r>
      <w:r>
        <w:t xml:space="preserve"> </w:t>
      </w:r>
      <w:r>
        <w:t xml:space="preserve">SK On will initiate supply of LFP batteries beginning in H2 2026 at SK Battery America (SKBA) in Commerce, Georgia, by converting part of its NMC EV battery production lines.</w:t>
      </w:r>
      <w:r>
        <w:t xml:space="preserve"> </w:t>
      </w:r>
      <w:r>
        <w:t xml:space="preserve">This is explicit in SK On’s own newsroom.</w:t>
      </w:r>
      <w:r>
        <w:t xml:space="preserve"> </w:t>
      </w:r>
      <w:r>
        <w:t xml:space="preserve">The South Korean manufacturer will repurpose a portion of its electric vehicle battery production line at its Georgia plant to produce LFP stationary energy storage systems.</w:t>
      </w:r>
      <w:r>
        <w:t xml:space="preserve"> </w:t>
      </w:r>
      <w:r>
        <w:t xml:space="preserve">As of this analysis (February 2026), commercial LFP production has not yet commenced at SKBA. Lunar’s system, however, has been shipping since at least 2024.</w:t>
      </w:r>
      <w:r>
        <w:t xml:space="preserve"> </w:t>
      </w:r>
      <w:r>
        <w:t xml:space="preserve">The batteries started shipping in California last year and come integrated with the company’s Gridshare software.</w:t>
      </w:r>
    </w:p>
    <w:p>
      <w:pPr>
        <w:pStyle w:val="BodyText"/>
      </w:pPr>
      <w:r>
        <w:t xml:space="preserve">This creates a hard chronological impossibility:</w:t>
      </w:r>
      <w:r>
        <w:t xml:space="preserve"> </w:t>
      </w:r>
      <w:r>
        <w:rPr>
          <w:b/>
        </w:rPr>
        <w:t xml:space="preserve">Lunar cannot currently be sourcing LFP cells from SK On Georgia</w:t>
      </w:r>
      <w:r>
        <w:t xml:space="preserve">, because SK On Georgia has not yet produced LFP cells commercially.</w:t>
      </w:r>
    </w:p>
    <w:p>
      <w:pPr>
        <w:pStyle w:val="Heading3"/>
      </w:pPr>
      <w:bookmarkStart w:id="24" w:name="Xb1e21e52ae9cfd0f2615d1c8ae0a5c541bbe78e"/>
      <w:r>
        <w:t xml:space="preserve">B. Lunar’s Own Website Admits a Dual-Geography Cell Source</w:t>
      </w:r>
      <w:bookmarkEnd w:id="24"/>
    </w:p>
    <w:p>
      <w:pPr>
        <w:pStyle w:val="FirstParagraph"/>
      </w:pPr>
      <w:r>
        <w:t xml:space="preserve">Lunar’s website states:</w:t>
      </w:r>
      <w:r>
        <w:t xml:space="preserve"> </w:t>
      </w:r>
      <w:r>
        <w:t xml:space="preserve">“</w:t>
      </w:r>
      <w:r>
        <w:t xml:space="preserve">We source battery cells for the Lunar System from the United States and Europe and we make our battery module just over the border in Mexico.</w:t>
      </w:r>
      <w:r>
        <w:t xml:space="preserve">”</w:t>
      </w:r>
      <w:r>
        <w:t xml:space="preserve"> </w:t>
      </w:r>
      <w:r>
        <w:t xml:space="preserve">The system is designed and engineered in Mountain View, California, and most non-battery components (inverter, Bridge, Maximizers) are manufactured in Suwanee, Georgia.</w:t>
      </w:r>
    </w:p>
    <w:p>
      <w:pPr>
        <w:pStyle w:val="BodyText"/>
      </w:pPr>
      <w:r>
        <w:t xml:space="preserve">This is a</w:t>
      </w:r>
      <w:r>
        <w:t xml:space="preserve"> </w:t>
      </w:r>
      <w:r>
        <w:rPr>
          <w:b/>
        </w:rPr>
        <w:t xml:space="preserve">direct admission</w:t>
      </w:r>
      <w:r>
        <w:t xml:space="preserve"> </w:t>
      </w:r>
      <w:r>
        <w:t xml:space="preserve">that cells come from Europe — not exclusively the United States. Yet, in a contemporaneous media interview:</w:t>
      </w:r>
      <w:r>
        <w:t xml:space="preserve"> </w:t>
      </w:r>
      <w:r>
        <w:t xml:space="preserve">CEO Kunal Girotra told Latitude Media that</w:t>
      </w:r>
      <w:r>
        <w:t xml:space="preserve"> </w:t>
      </w:r>
      <w:r>
        <w:t xml:space="preserve">“</w:t>
      </w:r>
      <w:r>
        <w:t xml:space="preserve">Lunar Energy only contracts with battery manufacturers in the U.S.,</w:t>
      </w:r>
      <w:r>
        <w:t xml:space="preserve">”</w:t>
      </w:r>
      <w:r>
        <w:t xml:space="preserve"> </w:t>
      </w:r>
      <w:r>
        <w:t xml:space="preserve">framing this as the basis for IRA tax credit and domestic content bonus eligibility.</w:t>
      </w:r>
    </w:p>
    <w:p>
      <w:pPr>
        <w:pStyle w:val="BodyText"/>
      </w:pPr>
      <w:r>
        <w:t xml:space="preserve">These two statements are</w:t>
      </w:r>
      <w:r>
        <w:t xml:space="preserve"> </w:t>
      </w:r>
      <w:r>
        <w:rPr>
          <w:b/>
        </w:rPr>
        <w:t xml:space="preserve">mutually inconsistent</w:t>
      </w:r>
      <w:r>
        <w:t xml:space="preserve">. Cells sourced from Europe cannot be simultaneously sourced only from U.S. manufacturers, unless Girotra’s claim is interpreted as referring to the contract counterparty’s legal domicile (SK Group, a Korean conglomerate with U.S. entities) rather than the physical manufacturing origin. That interpretation, if adopted for IRA purposes, would be legally aggressive and potentially incorrect under domestic content rules.</w:t>
      </w:r>
    </w:p>
    <w:p>
      <w:pPr>
        <w:pStyle w:val="Heading3"/>
      </w:pPr>
      <w:bookmarkStart w:id="25" w:name="X1dd1d560044aae9965055f630a01d7654384a7b"/>
      <w:r>
        <w:t xml:space="preserve">C. SK On Hungary Produces NMC Pouch Cells — Not LFP Prismatic</w:t>
      </w:r>
      <w:bookmarkEnd w:id="25"/>
    </w:p>
    <w:p>
      <w:pPr>
        <w:pStyle w:val="FirstParagraph"/>
      </w:pPr>
      <w:r>
        <w:t xml:space="preserve">A critical finding undermining the</w:t>
      </w:r>
      <w:r>
        <w:t xml:space="preserve"> </w:t>
      </w:r>
      <w:r>
        <w:t xml:space="preserve">“</w:t>
      </w:r>
      <w:r>
        <w:t xml:space="preserve">SK On Hungary LFP</w:t>
      </w:r>
      <w:r>
        <w:t xml:space="preserve">”</w:t>
      </w:r>
      <w:r>
        <w:t xml:space="preserve"> </w:t>
      </w:r>
      <w:r>
        <w:t xml:space="preserve">scenario:</w:t>
      </w:r>
      <w:r>
        <w:t xml:space="preserve"> </w:t>
      </w:r>
      <w:r>
        <w:t xml:space="preserve">SK On Hungary specializes in high-energy-density pouch cells for electric vehicles, featuring nickel-rich cathode materials for high energy density, specifically third-generation pouch cells with energy densities exceeding previous generations, incorporating nickel-rich cathodes.</w:t>
      </w:r>
      <w:r>
        <w:t xml:space="preserve"> </w:t>
      </w:r>
      <w:r>
        <w:t xml:space="preserve">The Hungary facilities are NMC-focused EV pouch cell plants, not LFP prismatic cell plants. This is corroborated by industry chemistry analysis:</w:t>
      </w:r>
      <w:r>
        <w:t xml:space="preserve"> </w:t>
      </w:r>
      <w:r>
        <w:t xml:space="preserve">SK On has specialized in pouch cells with NMC chemistry, and only as of late 2021 began developing LFP batteries for electric vehicles.</w:t>
      </w:r>
    </w:p>
    <w:p>
      <w:pPr>
        <w:pStyle w:val="BodyText"/>
      </w:pPr>
      <w:r>
        <w:t xml:space="preserve">As part of the SK Group, the company has grown up exclusively with pouch cells — and more specifically with high-nickel cell chemistries. It was not until 2023 that the company presented its first prismatic cell at InterBattery and began production later that year.</w:t>
      </w:r>
    </w:p>
    <w:p>
      <w:pPr>
        <w:pStyle w:val="BodyText"/>
      </w:pPr>
      <w:r>
        <w:t xml:space="preserve">This means:</w:t>
      </w:r>
      <w:r>
        <w:t xml:space="preserve"> </w:t>
      </w:r>
      <w:r>
        <w:rPr>
          <w:b/>
        </w:rPr>
        <w:t xml:space="preserve">SK On Hungary’s current production is NMC pouch cells, not LFP prismatic cells.</w:t>
      </w:r>
      <w:r>
        <w:t xml:space="preserve"> </w:t>
      </w:r>
      <w:r>
        <w:t xml:space="preserve">If Lunar’s system genuinely uses LFP prismatic cells and those cells come from SK On Hungary, that is technically implausible without an undisclosed LFP production line at one of the Hungarian facilities. The</w:t>
      </w:r>
      <w:r>
        <w:t xml:space="preserve"> </w:t>
      </w:r>
      <w:r>
        <w:t xml:space="preserve">“</w:t>
      </w:r>
      <w:r>
        <w:t xml:space="preserve">Europe</w:t>
      </w:r>
      <w:r>
        <w:t xml:space="preserve">”</w:t>
      </w:r>
      <w:r>
        <w:t xml:space="preserve"> </w:t>
      </w:r>
      <w:r>
        <w:t xml:space="preserve">language in Lunar’s disclosure therefore points either to (a) NMC pouch cells from Hungary being used but marketed as LFP, (b) an unrelated third-party European LFP supplier, or (c) cells sourced from South Korea (SK On’s home country) where LFP development is ongoing.</w:t>
      </w:r>
    </w:p>
    <w:p>
      <w:pPr>
        <w:pStyle w:val="Heading3"/>
      </w:pPr>
      <w:bookmarkStart w:id="26" w:name="X82e8ce7c854d32b90985e122828787a21021ee9"/>
      <w:r>
        <w:t xml:space="preserve">D. SK On’s LFP Capacity Is Almost Entirely Committed to Flatiron</w:t>
      </w:r>
      <w:bookmarkEnd w:id="26"/>
    </w:p>
    <w:p>
      <w:pPr>
        <w:pStyle w:val="FirstParagraph"/>
      </w:pPr>
      <w:r>
        <w:t xml:space="preserve">Even for the post-H2 2026 period when SK On Georgia begins LFP production:</w:t>
      </w:r>
      <w:r>
        <w:t xml:space="preserve"> </w:t>
      </w:r>
      <w:r>
        <w:t xml:space="preserve">SK On signed a multi-year BESS supply deal with Flatiron Energy, able to supply up to 7.2 GWh of BESS through 2030, valued at approximately $1.5 billion — the first major supply contract focused exclusively on stationary storage batteries since SK On’s spin-off. To fulfill the contract, SK On will repurpose part of its EV battery production lines at SKBA in Commerce, Georgia.</w:t>
      </w:r>
    </w:p>
    <w:p>
      <w:pPr>
        <w:pStyle w:val="BodyText"/>
      </w:pPr>
      <w:r>
        <w:t xml:space="preserve">Additionally, SK On has obtained the Right of First Offer from Flatiron for projects totaling 6.2 GWh, which are being developed in Massachusetts and other regions of the United States through 2030.</w:t>
      </w:r>
    </w:p>
    <w:p>
      <w:pPr>
        <w:pStyle w:val="BodyText"/>
      </w:pPr>
      <w:r>
        <w:t xml:space="preserve">The Flatiron contract alone represents up to 7.2 GWh over four years — approximately 1.8 GWh/year. At Lunar’s target of 100,000 units/year × ~20 kWh/unit =</w:t>
      </w:r>
      <w:r>
        <w:t xml:space="preserve"> </w:t>
      </w:r>
      <w:r>
        <w:rPr>
          <w:b/>
        </w:rPr>
        <w:t xml:space="preserve">~2 GWh/year</w:t>
      </w:r>
      <w:r>
        <w:t xml:space="preserve">, Lunar’s demand would essentially require</w:t>
      </w:r>
      <w:r>
        <w:t xml:space="preserve"> </w:t>
      </w:r>
      <w:r>
        <w:rPr>
          <w:i/>
        </w:rPr>
        <w:t xml:space="preserve">all</w:t>
      </w:r>
      <w:r>
        <w:t xml:space="preserve"> </w:t>
      </w:r>
      <w:r>
        <w:t xml:space="preserve">of SK On Georgia’s nascent LFP capacity that is not already committed to Flatiron. There is</w:t>
      </w:r>
      <w:r>
        <w:t xml:space="preserve"> </w:t>
      </w:r>
      <w:r>
        <w:rPr>
          <w:b/>
        </w:rPr>
        <w:t xml:space="preserve">zero public evidence</w:t>
      </w:r>
      <w:r>
        <w:t xml:space="preserve"> </w:t>
      </w:r>
      <w:r>
        <w:t xml:space="preserve">of a separate Lunar Energy-SK On LFP cell supply agreement. The publicly disclosed SK-Lunar relationship is framed as an investor/strategic partner relationship, not a specific cell offtake contract:</w:t>
      </w:r>
      <w:r>
        <w:t xml:space="preserve"> </w:t>
      </w:r>
      <w:r>
        <w:t xml:space="preserve">“</w:t>
      </w:r>
      <w:r>
        <w:t xml:space="preserve">SK plays partnership and supply, Sunrun plays partnership and demand,</w:t>
      </w:r>
      <w:r>
        <w:t xml:space="preserve">”</w:t>
      </w:r>
      <w:r>
        <w:t xml:space="preserve"> </w:t>
      </w:r>
      <w:r>
        <w:t xml:space="preserve">but how those partnerships may translate into active business relationships remains to be seen.</w:t>
      </w:r>
    </w:p>
    <w:p>
      <w:pPr>
        <w:pStyle w:val="Heading3"/>
      </w:pPr>
      <w:bookmarkStart w:id="27" w:name="X67e031c37caaf61d4055b630f4588ad81c735e9"/>
      <w:r>
        <w:t xml:space="preserve">E. No Publicly Disclosed Formal Cell Supply Agreement Exists</w:t>
      </w:r>
      <w:bookmarkEnd w:id="27"/>
    </w:p>
    <w:p>
      <w:pPr>
        <w:pStyle w:val="FirstParagraph"/>
      </w:pPr>
      <w:r>
        <w:t xml:space="preserve">Despite extensive searching of SK Innovation/SK On investor materials, press releases, and trade media,</w:t>
      </w:r>
      <w:r>
        <w:t xml:space="preserve"> </w:t>
      </w:r>
      <w:r>
        <w:rPr>
          <w:b/>
        </w:rPr>
        <w:t xml:space="preserve">no formal cell supply agreement</w:t>
      </w:r>
      <w:r>
        <w:t xml:space="preserve"> </w:t>
      </w:r>
      <w:r>
        <w:t xml:space="preserve">between SK On and Lunar Energy has been publicly disclosed with volume, pricing, chemistry specification, or geographic origin details. The Flatiron deal —</w:t>
      </w:r>
      <w:r>
        <w:t xml:space="preserve"> </w:t>
      </w:r>
      <w:r>
        <w:rPr>
          <w:i/>
        </w:rPr>
        <w:t xml:space="preserve">SK On’s first major ESS supply contract</w:t>
      </w:r>
      <w:r>
        <w:t xml:space="preserve"> </w:t>
      </w:r>
      <w:r>
        <w:t xml:space="preserve">— was described as a landmark.</w:t>
      </w:r>
      <w:r>
        <w:t xml:space="preserve"> </w:t>
      </w:r>
      <w:r>
        <w:t xml:space="preserve">Valued at approximately $1.5 billion, the Flatiron agreement represents SK On’s first major supply contract focused exclusively on stationary storage batteries since its spin-off from SK Innovation in 2021.</w:t>
      </w:r>
      <w:r>
        <w:t xml:space="preserve"> </w:t>
      </w:r>
      <w:r>
        <w:t xml:space="preserve">This framing makes it inconceivable that a prior undisclosed Lunar supply agreement for LFP cells exists at any meaningful scale.</w:t>
      </w:r>
    </w:p>
    <w:p>
      <w:pPr>
        <w:pStyle w:val="Heading3"/>
      </w:pPr>
      <w:bookmarkStart w:id="28" w:name="X0c33bad72cb127012bb9647225b6b7a430636a4"/>
      <w:r>
        <w:t xml:space="preserve">F. The</w:t>
      </w:r>
      <w:r>
        <w:t xml:space="preserve"> </w:t>
      </w:r>
      <w:r>
        <w:t xml:space="preserve">“</w:t>
      </w:r>
      <w:r>
        <w:t xml:space="preserve">United States and Europe</w:t>
      </w:r>
      <w:r>
        <w:t xml:space="preserve">”</w:t>
      </w:r>
      <w:r>
        <w:t xml:space="preserve"> </w:t>
      </w:r>
      <w:r>
        <w:t xml:space="preserve">Disclosure Is a Red Flag for Domestic Content Claims</w:t>
      </w:r>
      <w:bookmarkEnd w:id="28"/>
    </w:p>
    <w:p>
      <w:pPr>
        <w:pStyle w:val="FirstParagraph"/>
      </w:pPr>
      <w:r>
        <w:t xml:space="preserve">Lunar’s CEO claims IRA domestic content bonus eligibility.</w:t>
      </w:r>
      <w:r>
        <w:t xml:space="preserve"> </w:t>
      </w:r>
      <w:r>
        <w:t xml:space="preserve">To qualify for the domestic content credit, all steel or iron used in a structural function must generally take place in the U.S., and for manufactured products, a minimum percentage of the total cost must be mined, produced or manufactured in the U.S.</w:t>
      </w:r>
      <w:r>
        <w:t xml:space="preserve"> </w:t>
      </w:r>
      <w:r>
        <w:t xml:space="preserve">Battery cells are the highest-cost component of any BESS.</w:t>
      </w:r>
      <w:r>
        <w:t xml:space="preserve"> </w:t>
      </w:r>
      <w:r>
        <w:t xml:space="preserve">In many systems, cells themselves can represent 40–60% of the total cost.</w:t>
      </w:r>
      <w:r>
        <w:t xml:space="preserve"> </w:t>
      </w:r>
      <w:r>
        <w:t xml:space="preserve">If cells are manufactured in Hungary (or South Korea), the domestic content percentage math is likely to</w:t>
      </w:r>
      <w:r>
        <w:t xml:space="preserve"> </w:t>
      </w:r>
      <w:r>
        <w:rPr>
          <w:b/>
        </w:rPr>
        <w:t xml:space="preserve">fail the threshold</w:t>
      </w:r>
      <w:r>
        <w:t xml:space="preserve">, invalidating the domestic content bonus claim.</w:t>
      </w:r>
    </w:p>
    <w:p>
      <w:r>
        <w:pict>
          <v:rect style="width:0;height:1.5pt" o:hralign="center" o:hrstd="t" o:hr="t"/>
        </w:pict>
      </w:r>
    </w:p>
    <w:p>
      <w:pPr>
        <w:pStyle w:val="Heading2"/>
      </w:pPr>
      <w:bookmarkStart w:id="29" w:name="evidence-against-the-hypothesis"/>
      <w:r>
        <w:t xml:space="preserve">2. EVIDENCE AGAINST THE HYPOTHESIS</w:t>
      </w:r>
      <w:bookmarkEnd w:id="29"/>
    </w:p>
    <w:p>
      <w:pPr>
        <w:pStyle w:val="Heading3"/>
      </w:pPr>
      <w:bookmarkStart w:id="30" w:name="X21664e9351dceec85698c97467108d8de76cdf4"/>
      <w:r>
        <w:t xml:space="preserve">A. CBInsights Description Suggests LFP Chemistry — But Is Unreliable</w:t>
      </w:r>
      <w:bookmarkEnd w:id="30"/>
    </w:p>
    <w:p>
      <w:pPr>
        <w:pStyle w:val="FirstParagraph"/>
      </w:pPr>
      <w:r>
        <w:t xml:space="preserve">According to CB Insights,</w:t>
      </w:r>
      <w:r>
        <w:t xml:space="preserve"> </w:t>
      </w:r>
      <w:r>
        <w:t xml:space="preserve">“</w:t>
      </w:r>
      <w:r>
        <w:t xml:space="preserve">the company manufactures its own lithium-iron-phosphate battery cells, which offer longer lifespans and improved safety characteristics compared to the nickel-manganese-cobalt chemistry used in many electric vehicles and competing home batteries.</w:t>
      </w:r>
      <w:r>
        <w:t xml:space="preserve">”</w:t>
      </w:r>
      <w:r>
        <w:t xml:space="preserve"> </w:t>
      </w:r>
      <w:r>
        <w:t xml:space="preserve">However, this description is factually incorrect (Lunar does not manufacture its own cells — it assembles modules from purchased cells), raising questions about the reliability of this source. It nonetheless corroborates the LFP chemistry claim from a secondary source.</w:t>
      </w:r>
    </w:p>
    <w:p>
      <w:pPr>
        <w:pStyle w:val="Heading3"/>
      </w:pPr>
      <w:bookmarkStart w:id="31" w:name="X99d3e46fdaa765f7472da09512981692062874d"/>
      <w:r>
        <w:t xml:space="preserve">B. SK Group Is a Strategic Investor and Partner — Creating a Presumption of Supply</w:t>
      </w:r>
      <w:bookmarkEnd w:id="31"/>
    </w:p>
    <w:p>
      <w:pPr>
        <w:pStyle w:val="FirstParagraph"/>
      </w:pPr>
      <w:r>
        <w:t xml:space="preserve">Since its quiet founding in 2020, Lunar Energy has raised two investment rounds led by Sunrun and SK Group.</w:t>
      </w:r>
      <w:r>
        <w:t xml:space="preserve"> </w:t>
      </w:r>
      <w:r>
        <w:t xml:space="preserve">SK Group’s equity stake creates a strong commercial incentive to supply Lunar. The strategic partnership could theoretically involve SK On Korea supplying cells that are not yet publicly disclosed. SK On has stated its LFP development ambitions:</w:t>
      </w:r>
      <w:r>
        <w:t xml:space="preserve"> </w:t>
      </w:r>
      <w:r>
        <w:t xml:space="preserve">SK On is developing high-performance LFP batteries with high energy density and fast charging speed, based on its technological capabilities in high energy density NCM batteries.</w:t>
      </w:r>
    </w:p>
    <w:p>
      <w:pPr>
        <w:pStyle w:val="Heading3"/>
      </w:pPr>
      <w:bookmarkStart w:id="32" w:name="X8531ec769b48b7688c12bc3cad35ad17420d445"/>
      <w:r>
        <w:t xml:space="preserve">C. The</w:t>
      </w:r>
      <w:r>
        <w:t xml:space="preserve"> </w:t>
      </w:r>
      <w:r>
        <w:t xml:space="preserve">“</w:t>
      </w:r>
      <w:r>
        <w:t xml:space="preserve">United States</w:t>
      </w:r>
      <w:r>
        <w:t xml:space="preserve">”</w:t>
      </w:r>
      <w:r>
        <w:t xml:space="preserve"> </w:t>
      </w:r>
      <w:r>
        <w:t xml:space="preserve">Portion of the Claim Could Be Partially Accurate for Future Supply</w:t>
      </w:r>
      <w:bookmarkEnd w:id="32"/>
    </w:p>
    <w:p>
      <w:pPr>
        <w:pStyle w:val="FirstParagraph"/>
      </w:pPr>
      <w:r>
        <w:t xml:space="preserve">Girotra’s claim about U.S.-only contracts might be prospectively accurate: once SK On Georgia LFP production begins in H2 2026, Lunar could transition to a U.S.-sourced supply. The current</w:t>
      </w:r>
      <w:r>
        <w:t xml:space="preserve"> </w:t>
      </w:r>
      <w:r>
        <w:t xml:space="preserve">“</w:t>
      </w:r>
      <w:r>
        <w:t xml:space="preserve">Europe</w:t>
      </w:r>
      <w:r>
        <w:t xml:space="preserve">”</w:t>
      </w:r>
      <w:r>
        <w:t xml:space="preserve"> </w:t>
      </w:r>
      <w:r>
        <w:t xml:space="preserve">language may reflect a transitional period.</w:t>
      </w:r>
      <w:r>
        <w:t xml:space="preserve"> </w:t>
      </w:r>
      <w:r>
        <w:t xml:space="preserve">Lunar is also investing in manufacturing capacity, with plans to open a domestic battery assembly facility in the southeastern United States by late 2026.</w:t>
      </w:r>
      <w:r>
        <w:t xml:space="preserve"> </w:t>
      </w:r>
      <w:r>
        <w:t xml:space="preserve">This Southeast U.S. expansion could be timed to coincide with SK On Georgia LFP availability.</w:t>
      </w:r>
    </w:p>
    <w:p>
      <w:pPr>
        <w:pStyle w:val="Heading3"/>
      </w:pPr>
      <w:bookmarkStart w:id="33" w:name="Xdef4f4691e4578eaeacf47fd6221ea8a4532d04"/>
      <w:r>
        <w:t xml:space="preserve">D. A Modest Current Demand Level May Be Sourceable From Transitional SK On Supply</w:t>
      </w:r>
      <w:bookmarkEnd w:id="33"/>
    </w:p>
    <w:p>
      <w:pPr>
        <w:pStyle w:val="FirstParagraph"/>
      </w:pPr>
      <w:r>
        <w:t xml:space="preserve">The company has installed its systems in about 2,000 homes and businesses in California, and plans to increase manufacturing capacity from about 10,000 battery systems per year today to 20,000 per year by end of 2026.</w:t>
      </w:r>
      <w:r>
        <w:t xml:space="preserve"> </w:t>
      </w:r>
      <w:r>
        <w:t xml:space="preserve">At 10,000 units × 20 kWh = 200 MWh/year, the current demand is micro-scale relative to any major manufacturer’s output. This volume could theoretically be sourced from small LFP prismatic cell lots from emerging European producers or even via spot procurement channels not tied to a major offtake agreement with SK On.</w:t>
      </w:r>
    </w:p>
    <w:p>
      <w:pPr>
        <w:pStyle w:val="Heading3"/>
      </w:pPr>
      <w:bookmarkStart w:id="34" w:name="X1b710cf9d95450223615880ad6d41318b5d38fc"/>
      <w:r>
        <w:t xml:space="preserve">E. No Direct Evidence of CATL Technology Licensing at SK On</w:t>
      </w:r>
      <w:bookmarkEnd w:id="34"/>
    </w:p>
    <w:p>
      <w:pPr>
        <w:pStyle w:val="FirstParagraph"/>
      </w:pPr>
      <w:r>
        <w:t xml:space="preserve">There is no confirmed evidence that SK On’s LFP technology is CATL-licensed, which would be the primary FEOC trigger for a Korean-produced cell.</w:t>
      </w:r>
      <w:r>
        <w:t xml:space="preserve"> </w:t>
      </w:r>
      <w:r>
        <w:t xml:space="preserve">SK On signed an MOU with South Korean company L&amp;F, a cathode materials producer, for supplying LFP cathode materials.</w:t>
      </w:r>
      <w:r>
        <w:t xml:space="preserve"> </w:t>
      </w:r>
      <w:r>
        <w:t xml:space="preserve">L&amp;F is a South Korean company (not Chinese), suggesting SK On is pursuing a Korean domestic LFP cathode supply chain that would not create FEOC exposure from that specific input. However, this MOU was signed in mid-2025 and does not resolve questions about what cathode sources are used in any current SK On LFP cell production.</w:t>
      </w:r>
    </w:p>
    <w:p>
      <w:r>
        <w:pict>
          <v:rect style="width:0;height:1.5pt" o:hralign="center" o:hrstd="t" o:hr="t"/>
        </w:pict>
      </w:r>
    </w:p>
    <w:p>
      <w:pPr>
        <w:pStyle w:val="Heading2"/>
      </w:pPr>
      <w:bookmarkStart w:id="35" w:name="comparable-examples"/>
      <w:r>
        <w:t xml:space="preserve">3. COMPARABLE EXAMPLES</w:t>
      </w:r>
      <w:bookmarkEnd w:id="35"/>
    </w:p>
    <w:p>
      <w:pPr>
        <w:pStyle w:val="Heading3"/>
      </w:pPr>
      <w:bookmarkStart w:id="36" w:name="X0e79b6d7e101296e571b4efdc7a52dbde3fefd2"/>
      <w:r>
        <w:t xml:space="preserve">A. Sonnen (Shell-Owned) — Opaque Cell Sourcing Claims</w:t>
      </w:r>
      <w:bookmarkEnd w:id="36"/>
    </w:p>
    <w:p>
      <w:pPr>
        <w:pStyle w:val="FirstParagraph"/>
      </w:pPr>
      <w:r>
        <w:t xml:space="preserve">Sonnen, another premium home battery company, has faced similar scrutiny for claiming domestic content while sourcing lithium iron phosphate cells from overseas suppliers. The company’s German parent/cell supply arrangement created tension with IRA domestic content positioning — a direct analog to Lunar’s situation.</w:t>
      </w:r>
    </w:p>
    <w:p>
      <w:pPr>
        <w:pStyle w:val="Heading3"/>
      </w:pPr>
      <w:bookmarkStart w:id="37" w:name="X88b3d525a2ee92d152eeb258f80b52620e6c457"/>
      <w:r>
        <w:t xml:space="preserve">B. FranklinWH — Korean Cell Sourcing With Domestic Assembly</w:t>
      </w:r>
      <w:bookmarkEnd w:id="37"/>
    </w:p>
    <w:p>
      <w:pPr>
        <w:pStyle w:val="FirstParagraph"/>
      </w:pPr>
      <w:r>
        <w:t xml:space="preserve">FranklinWH openly sources cells from CATL (Chinese, a FEOC entity) while assembling in the U.S. This makes FranklinWH directly FEOC-implicated and ineligible for the domestic content bonus. It illustrates the market dynamic: non-Chinese cell sourcing is rare and commands a premium. Lunar’s premium pricing (10% above Tesla Powerwall, per Girotra) is arguably consistent with a non-CATL cell supply cost structure, but this alone is insufficient to confirm source.</w:t>
      </w:r>
    </w:p>
    <w:p>
      <w:pPr>
        <w:pStyle w:val="Heading3"/>
      </w:pPr>
      <w:bookmarkStart w:id="38" w:name="X784fce536c3f4ce7b25e6b6ca7102278f0c745c"/>
      <w:r>
        <w:t xml:space="preserve">C. SK On — Flatiron as the True First LFP Customer</w:t>
      </w:r>
      <w:bookmarkEnd w:id="38"/>
    </w:p>
    <w:p>
      <w:pPr>
        <w:pStyle w:val="FirstParagraph"/>
      </w:pPr>
      <w:r>
        <w:t xml:space="preserve">The Flatiron deal represents SK On’s first order of LFP batteries for energy storage systems.</w:t>
      </w:r>
      <w:r>
        <w:t xml:space="preserve"> </w:t>
      </w:r>
      <w:r>
        <w:t xml:space="preserve">This framing definitively contradicts any claim that Lunar was previously receiving LFP cells from SK On for the U.S. residential market. If Flatiron is the first LFP ESS customer, Lunar cannot have been receiving LFP cells from SK On prior to this contract.</w:t>
      </w:r>
    </w:p>
    <w:p>
      <w:pPr>
        <w:pStyle w:val="Heading3"/>
      </w:pPr>
      <w:bookmarkStart w:id="39" w:name="X687441f58d3d2a91531bb6ef51c34de789b500f"/>
      <w:r>
        <w:t xml:space="preserve">D. CATL Hungary — LFP in Europe But FEOC-Tagged</w:t>
      </w:r>
      <w:bookmarkEnd w:id="39"/>
    </w:p>
    <w:p>
      <w:pPr>
        <w:pStyle w:val="FirstParagraph"/>
      </w:pPr>
      <w:r>
        <w:t xml:space="preserve">CATL is increasing LFP capacity in Hungary, currently supplying 60% of EU LFP demand.</w:t>
      </w:r>
      <w:r>
        <w:t xml:space="preserve"> </w:t>
      </w:r>
      <w:r>
        <w:t xml:space="preserve">This represents the only significant LFP prismatic cell manufacturing in Europe. If Lunar’s</w:t>
      </w:r>
      <w:r>
        <w:t xml:space="preserve"> </w:t>
      </w:r>
      <w:r>
        <w:t xml:space="preserve">“</w:t>
      </w:r>
      <w:r>
        <w:t xml:space="preserve">Europe</w:t>
      </w:r>
      <w:r>
        <w:t xml:space="preserve">”</w:t>
      </w:r>
      <w:r>
        <w:t xml:space="preserve"> </w:t>
      </w:r>
      <w:r>
        <w:t xml:space="preserve">sourcing involves CATL’s Hungarian production, that would be an immediate and severe FEOC violation — CATL is a Chinese entity, and its cells would be attributable to a</w:t>
      </w:r>
      <w:r>
        <w:t xml:space="preserve"> </w:t>
      </w:r>
      <w:r>
        <w:t xml:space="preserve">“</w:t>
      </w:r>
      <w:r>
        <w:t xml:space="preserve">covered foreign nation</w:t>
      </w:r>
      <w:r>
        <w:t xml:space="preserve">”</w:t>
      </w:r>
      <w:r>
        <w:t xml:space="preserve"> </w:t>
      </w:r>
      <w:r>
        <w:t xml:space="preserve">(China) under the statute.</w:t>
      </w:r>
    </w:p>
    <w:p>
      <w:pPr>
        <w:pStyle w:val="Heading3"/>
      </w:pPr>
      <w:bookmarkStart w:id="40" w:name="X6229c23bba0a35bf88521f5555405b84b60706d"/>
      <w:r>
        <w:t xml:space="preserve">E. Ford BlueOval — CATL Technology Licensing Risk</w:t>
      </w:r>
      <w:bookmarkEnd w:id="40"/>
    </w:p>
    <w:p>
      <w:pPr>
        <w:pStyle w:val="FirstParagraph"/>
      </w:pPr>
      <w:r>
        <w:t xml:space="preserve">Ford’s Michigan LFP plant uses CATL-licensed technology, which triggered political and legal controversy:</w:t>
      </w:r>
      <w:r>
        <w:t xml:space="preserve"> </w:t>
      </w:r>
      <w:r>
        <w:t xml:space="preserve">this technology has been licensed from CATL — a move that has caused political tensions.</w:t>
      </w:r>
      <w:r>
        <w:t xml:space="preserve"> </w:t>
      </w:r>
      <w:r>
        <w:t xml:space="preserve">This illustrates the FEOC risk from technology licensing agreements, separate from cell manufacturing origin — a risk also applicable if SK On’s LFP technology has any CATL-derived IP.</w:t>
      </w:r>
    </w:p>
    <w:p>
      <w:r>
        <w:pict>
          <v:rect style="width:0;height:1.5pt" o:hralign="center" o:hrstd="t" o:hr="t"/>
        </w:pict>
      </w:r>
    </w:p>
    <w:p>
      <w:pPr>
        <w:pStyle w:val="Heading2"/>
      </w:pPr>
      <w:bookmarkStart w:id="41" w:name="feasibility-assessment"/>
      <w:r>
        <w:t xml:space="preserve">4. FEASIBILITY ASSESSMENT</w:t>
      </w:r>
      <w:bookmarkEnd w:id="41"/>
    </w:p>
    <w:p>
      <w:pPr>
        <w:pStyle w:val="Heading3"/>
      </w:pPr>
      <w:bookmarkStart w:id="42" w:name="chemistry-claim-assessment"/>
      <w:r>
        <w:t xml:space="preserve">Chemistry Claim Assessment</w:t>
      </w:r>
      <w:bookmarkEnd w:id="42"/>
    </w:p>
    <w:p>
      <w:pPr>
        <w:pStyle w:val="FirstParagraph"/>
      </w:pPr>
      <w:r>
        <w:rPr>
          <w:b/>
        </w:rPr>
        <w:t xml:space="preserve">The LFP chemistry claim is not independently verifiable from this analysis.</w:t>
      </w:r>
      <w:r>
        <w:t xml:space="preserve"> </w:t>
      </w:r>
      <w:r>
        <w:t xml:space="preserve">UL Product iQ and California fire marshal permit databases were not directly queried (these require subscription access or in-person review). However, the systemic evidence creates three scenarios: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Current Cell Chemistry</w:t>
            </w:r>
          </w:p>
        </w:tc>
        <w:tc>
          <w:tcPr>
            <w:tcBorders>
              <w:bottom w:val="single"/>
            </w:tcBorders>
            <w:vAlign w:val="bottom"/>
          </w:tcPr>
          <w:p>
            <w:pPr>
              <w:pStyle w:val="Compact"/>
              <w:jc w:val="left"/>
            </w:pPr>
            <w:r>
              <w:t xml:space="preserve">Physical Origin</w:t>
            </w:r>
          </w:p>
        </w:tc>
        <w:tc>
          <w:tcPr>
            <w:tcBorders>
              <w:bottom w:val="single"/>
            </w:tcBorders>
            <w:vAlign w:val="bottom"/>
          </w:tcPr>
          <w:p>
            <w:pPr>
              <w:pStyle w:val="Compact"/>
              <w:jc w:val="left"/>
            </w:pPr>
            <w:r>
              <w:t xml:space="preserve">Feasibility</w:t>
            </w:r>
          </w:p>
        </w:tc>
      </w:tr>
      <w:tr>
        <w:tc>
          <w:p>
            <w:pPr>
              <w:pStyle w:val="Compact"/>
              <w:jc w:val="left"/>
            </w:pPr>
            <w:r>
              <w:rPr>
                <w:b/>
              </w:rPr>
              <w:t xml:space="preserve">A</w:t>
            </w:r>
          </w:p>
        </w:tc>
        <w:tc>
          <w:p>
            <w:pPr>
              <w:pStyle w:val="Compact"/>
              <w:jc w:val="left"/>
            </w:pPr>
            <w:r>
              <w:t xml:space="preserve">LFP Prismatic</w:t>
            </w:r>
          </w:p>
        </w:tc>
        <w:tc>
          <w:p>
            <w:pPr>
              <w:pStyle w:val="Compact"/>
              <w:jc w:val="left"/>
            </w:pPr>
            <w:r>
              <w:t xml:space="preserve">SK On Hungary (undisclosed LFP line)</w:t>
            </w:r>
          </w:p>
        </w:tc>
        <w:tc>
          <w:p>
            <w:pPr>
              <w:pStyle w:val="Compact"/>
              <w:jc w:val="left"/>
            </w:pPr>
            <w:r>
              <w:t xml:space="preserve">Low — Hungary facilities confirmed as NMC pouch only</w:t>
            </w:r>
          </w:p>
        </w:tc>
      </w:tr>
      <w:tr>
        <w:tc>
          <w:p>
            <w:pPr>
              <w:pStyle w:val="Compact"/>
              <w:jc w:val="left"/>
            </w:pPr>
            <w:r>
              <w:rPr>
                <w:b/>
              </w:rPr>
              <w:t xml:space="preserve">B</w:t>
            </w:r>
          </w:p>
        </w:tc>
        <w:tc>
          <w:p>
            <w:pPr>
              <w:pStyle w:val="Compact"/>
              <w:jc w:val="left"/>
            </w:pPr>
            <w:r>
              <w:t xml:space="preserve">NMC Pouch (mismarketed as</w:t>
            </w:r>
            <w:r>
              <w:t xml:space="preserve"> </w:t>
            </w:r>
            <w:r>
              <w:t xml:space="preserve">“</w:t>
            </w:r>
            <w:r>
              <w:t xml:space="preserve">LFP</w:t>
            </w:r>
            <w:r>
              <w:t xml:space="preserve">”</w:t>
            </w:r>
            <w:r>
              <w:t xml:space="preserve">)</w:t>
            </w:r>
          </w:p>
        </w:tc>
        <w:tc>
          <w:p>
            <w:pPr>
              <w:pStyle w:val="Compact"/>
              <w:jc w:val="left"/>
            </w:pPr>
            <w:r>
              <w:t xml:space="preserve">SK On Hungary</w:t>
            </w:r>
          </w:p>
        </w:tc>
        <w:tc>
          <w:p>
            <w:pPr>
              <w:pStyle w:val="Compact"/>
              <w:jc w:val="left"/>
            </w:pPr>
            <w:r>
              <w:t xml:space="preserve">Medium — cells exist, but fraud risk is extreme</w:t>
            </w:r>
          </w:p>
        </w:tc>
      </w:tr>
      <w:tr>
        <w:tc>
          <w:p>
            <w:pPr>
              <w:pStyle w:val="Compact"/>
              <w:jc w:val="left"/>
            </w:pPr>
            <w:r>
              <w:rPr>
                <w:b/>
              </w:rPr>
              <w:t xml:space="preserve">C</w:t>
            </w:r>
          </w:p>
        </w:tc>
        <w:tc>
          <w:p>
            <w:pPr>
              <w:pStyle w:val="Compact"/>
              <w:jc w:val="left"/>
            </w:pPr>
            <w:r>
              <w:t xml:space="preserve">LFP Prismatic</w:t>
            </w:r>
          </w:p>
        </w:tc>
        <w:tc>
          <w:p>
            <w:pPr>
              <w:pStyle w:val="Compact"/>
              <w:jc w:val="left"/>
            </w:pPr>
            <w:r>
              <w:t xml:space="preserve">Undisclosed 3rd party (non-SK)</w:t>
            </w:r>
          </w:p>
        </w:tc>
        <w:tc>
          <w:p>
            <w:pPr>
              <w:pStyle w:val="Compact"/>
              <w:jc w:val="left"/>
            </w:pPr>
            <w:r>
              <w:t xml:space="preserve">Medium-High — plausible at 200 MWh/year scale</w:t>
            </w:r>
          </w:p>
        </w:tc>
      </w:tr>
      <w:tr>
        <w:tc>
          <w:p>
            <w:pPr>
              <w:pStyle w:val="Compact"/>
              <w:jc w:val="left"/>
            </w:pPr>
            <w:r>
              <w:rPr>
                <w:b/>
              </w:rPr>
              <w:t xml:space="preserve">D</w:t>
            </w:r>
          </w:p>
        </w:tc>
        <w:tc>
          <w:p>
            <w:pPr>
              <w:pStyle w:val="Compact"/>
              <w:jc w:val="left"/>
            </w:pPr>
            <w:r>
              <w:t xml:space="preserve">LFP Prismatic</w:t>
            </w:r>
          </w:p>
        </w:tc>
        <w:tc>
          <w:p>
            <w:pPr>
              <w:pStyle w:val="Compact"/>
              <w:jc w:val="left"/>
            </w:pPr>
            <w:r>
              <w:t xml:space="preserve">SK On Korea (development cells)</w:t>
            </w:r>
          </w:p>
        </w:tc>
        <w:tc>
          <w:p>
            <w:pPr>
              <w:pStyle w:val="Compact"/>
              <w:jc w:val="left"/>
            </w:pPr>
            <w:r>
              <w:t xml:space="preserve">Low-Medium — no commercial scale confirmed</w:t>
            </w:r>
          </w:p>
        </w:tc>
      </w:tr>
      <w:tr>
        <w:tc>
          <w:p>
            <w:pPr>
              <w:pStyle w:val="Compact"/>
              <w:jc w:val="left"/>
            </w:pPr>
            <w:r>
              <w:rPr>
                <w:b/>
              </w:rPr>
              <w:t xml:space="preserve">E</w:t>
            </w:r>
          </w:p>
        </w:tc>
        <w:tc>
          <w:p>
            <w:pPr>
              <w:pStyle w:val="Compact"/>
              <w:jc w:val="left"/>
            </w:pPr>
            <w:r>
              <w:t xml:space="preserve">LFP Prismatic</w:t>
            </w:r>
          </w:p>
        </w:tc>
        <w:tc>
          <w:p>
            <w:pPr>
              <w:pStyle w:val="Compact"/>
              <w:jc w:val="left"/>
            </w:pPr>
            <w:r>
              <w:t xml:space="preserve">U.S. supplier (non-SK)</w:t>
            </w:r>
          </w:p>
        </w:tc>
        <w:tc>
          <w:p>
            <w:pPr>
              <w:pStyle w:val="Compact"/>
              <w:jc w:val="left"/>
            </w:pPr>
            <w:r>
              <w:t xml:space="preserve">Low — no confirmed U.S. LFP prismatic producer at residential scale</w:t>
            </w:r>
          </w:p>
        </w:tc>
      </w:tr>
    </w:tbl>
    <w:p>
      <w:pPr>
        <w:pStyle w:val="BodyText"/>
      </w:pPr>
      <w:r>
        <w:rPr>
          <w:b/>
        </w:rPr>
        <w:t xml:space="preserve">Most likely current scenario: Scenario C — undisclosed third-party LFP supplier.</w:t>
      </w:r>
      <w:r>
        <w:t xml:space="preserve"> </w:t>
      </w:r>
      <w:r>
        <w:t xml:space="preserve">The 200 MWh/year demand level is small enough to be sourced from emerging non-Chinese LFP producers, potentially including ElevenEs (Serbia, European), American Battery Factory (Arizona, early-stage), or even spot-market Korean or Taiwanese LFP cells. The</w:t>
      </w:r>
      <w:r>
        <w:t xml:space="preserve"> </w:t>
      </w:r>
      <w:r>
        <w:t xml:space="preserve">“</w:t>
      </w:r>
      <w:r>
        <w:t xml:space="preserve">United States and Europe</w:t>
      </w:r>
      <w:r>
        <w:t xml:space="preserve">”</w:t>
      </w:r>
      <w:r>
        <w:t xml:space="preserve"> </w:t>
      </w:r>
      <w:r>
        <w:t xml:space="preserve">language could be interpreted as a dual-source or transitional arrangement.</w:t>
      </w:r>
    </w:p>
    <w:p>
      <w:pPr>
        <w:pStyle w:val="Heading3"/>
      </w:pPr>
      <w:bookmarkStart w:id="43" w:name="scale-feasibility-for-100000-unitsyear"/>
      <w:r>
        <w:t xml:space="preserve">Scale Feasibility for 100,000 Units/Year</w:t>
      </w:r>
      <w:bookmarkEnd w:id="43"/>
    </w:p>
    <w:p>
      <w:pPr>
        <w:pStyle w:val="FirstParagraph"/>
      </w:pPr>
      <w:r>
        <w:t xml:space="preserve">SK On’s U.S. presence is anchored by SKBA in Commerce, Georgia, which has an annual production capacity of 22 GWh.</w:t>
      </w:r>
      <w:r>
        <w:t xml:space="preserve"> </w:t>
      </w:r>
      <w:r>
        <w:t xml:space="preserve">However, this 22 GWh is overwhelmingly NMC EV cells. LFP conversion is partial and initial output is committed to Flatiron.</w:t>
      </w:r>
      <w:r>
        <w:t xml:space="preserve"> </w:t>
      </w:r>
      <w:r>
        <w:t xml:space="preserve">Production of LFP batteries is scheduled to begin in H2 2026, with the first major U.S. ESS deal — the Flatiron 7.2 GWh contract — valued at approximately $1.4 billion over four years.</w:t>
      </w:r>
    </w:p>
    <w:p>
      <w:pPr>
        <w:pStyle w:val="BodyText"/>
      </w:pPr>
      <w:r>
        <w:t xml:space="preserve">At 100,000 Lunar units/year × 20 kWh =</w:t>
      </w:r>
      <w:r>
        <w:t xml:space="preserve"> </w:t>
      </w:r>
      <w:r>
        <w:rPr>
          <w:b/>
        </w:rPr>
        <w:t xml:space="preserve">2 GWh/year</w:t>
      </w:r>
      <w:r>
        <w:t xml:space="preserve"> </w:t>
      </w:r>
      <w:r>
        <w:t xml:space="preserve">demand from Lunar, this represents a non-trivial fraction of any realistic SK On Georgia LFP nameplate. Given Flatiron’s commitment of ~1.8 GWh/year (7.2 GWh over 4 years), Lunar’s 2 GWh would require an</w:t>
      </w:r>
      <w:r>
        <w:t xml:space="preserve"> </w:t>
      </w:r>
      <w:r>
        <w:rPr>
          <w:i/>
        </w:rPr>
        <w:t xml:space="preserve">additional</w:t>
      </w:r>
      <w:r>
        <w:t xml:space="preserve"> </w:t>
      </w:r>
      <w:r>
        <w:t xml:space="preserve">2 GWh of LFP capacity allocation from SK On Georgia — essentially requiring either a third production line conversion or significant LFP capacity expansion beyond what is publicly planned.</w:t>
      </w:r>
      <w:r>
        <w:t xml:space="preserve"> </w:t>
      </w:r>
      <w:r>
        <w:rPr>
          <w:b/>
        </w:rPr>
        <w:t xml:space="preserve">This is not feasible without a major undisclosed expansion and offtake commitment.</w:t>
      </w:r>
      <w:r>
        <w:t xml:space="preserve"> </w:t>
      </w:r>
      <w:r>
        <w:t xml:space="preserve">No such commitment has been publicly disclosed.</w:t>
      </w:r>
    </w:p>
    <w:p>
      <w:r>
        <w:pict>
          <v:rect style="width:0;height:1.5pt" o:hralign="center" o:hrstd="t" o:hr="t"/>
        </w:pict>
      </w:r>
    </w:p>
    <w:p>
      <w:pPr>
        <w:pStyle w:val="Heading2"/>
      </w:pPr>
      <w:bookmarkStart w:id="44" w:name="magnitude-estimate"/>
      <w:r>
        <w:t xml:space="preserve">5. MAGNITUDE ESTIMATE</w:t>
      </w:r>
      <w:bookmarkEnd w:id="44"/>
    </w:p>
    <w:p>
      <w:pPr>
        <w:pStyle w:val="Heading3"/>
      </w:pPr>
      <w:bookmarkStart w:id="45" w:name="current-state-20242026"/>
      <w:r>
        <w:t xml:space="preserve">Current State (2024–2026):</w:t>
      </w:r>
      <w:bookmarkEnd w:id="45"/>
    </w:p>
    <w:p>
      <w:pPr>
        <w:numPr>
          <w:ilvl w:val="0"/>
          <w:numId w:val="1001"/>
        </w:numPr>
        <w:pStyle w:val="Compact"/>
      </w:pPr>
      <w:r>
        <w:rPr>
          <w:b/>
        </w:rPr>
        <w:t xml:space="preserve">Actual Lunar cell demand</w:t>
      </w:r>
      <w:r>
        <w:t xml:space="preserve">: ~200 MWh/year (est. ~10,000 units × 20 kWh) at current production rates</w:t>
      </w:r>
    </w:p>
    <w:p>
      <w:pPr>
        <w:numPr>
          <w:ilvl w:val="0"/>
          <w:numId w:val="1001"/>
        </w:numPr>
        <w:pStyle w:val="Compact"/>
      </w:pPr>
      <w:r>
        <w:rPr>
          <w:b/>
        </w:rPr>
        <w:t xml:space="preserve">SK On Georgia LFP availability</w:t>
      </w:r>
      <w:r>
        <w:t xml:space="preserve">: Zero until H2 2026; then constrained by Flatiron priority</w:t>
      </w:r>
    </w:p>
    <w:p>
      <w:pPr>
        <w:numPr>
          <w:ilvl w:val="0"/>
          <w:numId w:val="1001"/>
        </w:numPr>
        <w:pStyle w:val="Compact"/>
      </w:pPr>
      <w:r>
        <w:rPr>
          <w:b/>
        </w:rPr>
        <w:t xml:space="preserve">Funding gap between disclosure and supply reality</w:t>
      </w:r>
      <w:r>
        <w:t xml:space="preserve">: Material; CEO claims conflict with manufacturing timelines</w:t>
      </w:r>
    </w:p>
    <w:p>
      <w:pPr>
        <w:numPr>
          <w:ilvl w:val="0"/>
          <w:numId w:val="1001"/>
        </w:numPr>
        <w:pStyle w:val="Compact"/>
      </w:pPr>
      <w:r>
        <w:rPr>
          <w:b/>
        </w:rPr>
        <w:t xml:space="preserve">IRA domestic content bonus exposure</w:t>
      </w:r>
      <w:r>
        <w:t xml:space="preserve">: Potentially at risk if cells are sourced from Europe; the domestic content bonus for battery storage requires substantial U.S.-manufactured product content. Given cells can represent 40–60% of system cost, non-U.S. cell sourcing likely fails the threshold.</w:t>
      </w:r>
    </w:p>
    <w:p>
      <w:pPr>
        <w:pStyle w:val="Heading2"/>
      </w:pPr>
      <w:bookmarkStart w:id="46" w:name="X4dbbafd602ab5ad488e00733268cdf3cfa959dc"/>
      <w:r>
        <w:t xml:space="preserve">### Projected State (2027–2028 per Lunar’s Targets):</w:t>
      </w:r>
      <w:bookmarkEnd w:id="46"/>
    </w:p>
    <w:p>
      <w:pPr>
        <w:pStyle w:val="FirstParagraph"/>
      </w:pPr>
      <w:r>
        <w:t xml:space="preserve">Lunar plans to increase manufacturing capacity to 20,000 per year by end of 2026 and to 100,000 per year by end of 2028.</w:t>
      </w:r>
    </w:p>
    <w:p>
      <w:pPr>
        <w:numPr>
          <w:ilvl w:val="0"/>
          <w:numId w:val="1002"/>
        </w:numPr>
        <w:pStyle w:val="Compact"/>
      </w:pPr>
      <w:r>
        <w:t xml:space="preserve">At 100,000 units × 20 kWh:</w:t>
      </w:r>
      <w:r>
        <w:t xml:space="preserve"> </w:t>
      </w:r>
      <w:r>
        <w:rPr>
          <w:b/>
        </w:rPr>
        <w:t xml:space="preserve">~2 GWh/year cell demand</w:t>
      </w:r>
    </w:p>
    <w:p>
      <w:pPr>
        <w:numPr>
          <w:ilvl w:val="0"/>
          <w:numId w:val="1002"/>
        </w:numPr>
        <w:pStyle w:val="Compact"/>
      </w:pPr>
      <w:r>
        <w:t xml:space="preserve">SK On Georgia’s total LFP capacity at that time: Unclear; no public announcement beyond the conversion of</w:t>
      </w:r>
      <w:r>
        <w:t xml:space="preserve"> </w:t>
      </w:r>
      <w:r>
        <w:t xml:space="preserve">“</w:t>
      </w:r>
      <w:r>
        <w:t xml:space="preserve">part</w:t>
      </w:r>
      <w:r>
        <w:t xml:space="preserve">”</w:t>
      </w:r>
      <w:r>
        <w:t xml:space="preserve"> </w:t>
      </w:r>
      <w:r>
        <w:t xml:space="preserve">of existing NMC lines</w:t>
      </w:r>
    </w:p>
    <w:p>
      <w:pPr>
        <w:numPr>
          <w:ilvl w:val="0"/>
          <w:numId w:val="1002"/>
        </w:numPr>
        <w:pStyle w:val="Compact"/>
      </w:pPr>
      <w:r>
        <w:rPr>
          <w:b/>
        </w:rPr>
        <w:t xml:space="preserve">Scenario gap</w:t>
      </w:r>
      <w:r>
        <w:t xml:space="preserve">: If SK On Georgia’s LFP capacity scales to, say, 4–5 GWh (speculative), then Flatiron (1.8 GWh/year) + Lunar (2 GWh/year) = ~3.8 GWh, which would require a committed, large-scale LFP capacity build far beyond what has been announced</w:t>
      </w:r>
    </w:p>
    <w:p>
      <w:pPr>
        <w:numPr>
          <w:ilvl w:val="0"/>
          <w:numId w:val="1002"/>
        </w:numPr>
        <w:pStyle w:val="Compact"/>
      </w:pPr>
      <w:r>
        <w:rPr>
          <w:b/>
        </w:rPr>
        <w:t xml:space="preserve">Financial risk of FEOC non-compliance</w:t>
      </w:r>
      <w:r>
        <w:t xml:space="preserve">:</w:t>
      </w:r>
      <w:r>
        <w:t xml:space="preserve"> </w:t>
      </w:r>
      <w:r>
        <w:t xml:space="preserve">Starting in 2026, at least 55% of manufactured products used in a storage project must not be from a Prohibited Foreign Entity (PFE); the percentage increases by 5 points annually, up to 75% non-PFE for projects after 2029.</w:t>
      </w:r>
      <w:r>
        <w:t xml:space="preserve"> </w:t>
      </w:r>
      <w:r>
        <w:t xml:space="preserve">If Lunar’s cells are sourced from a PFE-adjacent entity, installations placed into service from 2026 onward could lose ITC eligibility.</w:t>
      </w:r>
      <w:r>
        <w:t xml:space="preserve"> </w:t>
      </w:r>
      <w:r>
        <w:t xml:space="preserve">In the case of 48E specifically, if any of these payments are made within 10 years after the facility is placed into service, the taxpayer would be forced to pay back the entire value of the previously claimed tax credit.</w:t>
      </w:r>
    </w:p>
    <w:p>
      <w:r>
        <w:pict>
          <v:rect style="width:0;height:1.5pt" o:hralign="center" o:hrstd="t" o:hr="t"/>
        </w:pict>
      </w:r>
    </w:p>
    <w:p>
      <w:pPr>
        <w:pStyle w:val="Heading2"/>
      </w:pPr>
      <w:bookmarkStart w:id="47" w:name="confidence-assessment"/>
      <w:r>
        <w:t xml:space="preserve">6. CONFIDENCE ASSESSMENT</w:t>
      </w:r>
      <w:bookmarkEnd w:id="4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Claim</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Evidentiary Basis</w:t>
            </w:r>
          </w:p>
        </w:tc>
      </w:tr>
      <w:tr>
        <w:tc>
          <w:p>
            <w:pPr>
              <w:pStyle w:val="Compact"/>
              <w:jc w:val="left"/>
            </w:pPr>
            <w:r>
              <w:t xml:space="preserve">SK On Georgia does not currently produce LFP cells for Lunar</w:t>
            </w:r>
          </w:p>
        </w:tc>
        <w:tc>
          <w:p>
            <w:pPr>
              <w:pStyle w:val="Compact"/>
              <w:jc w:val="left"/>
            </w:pPr>
            <w:r>
              <w:rPr>
                <w:b/>
              </w:rPr>
              <w:t xml:space="preserve">Very High (95%)</w:t>
            </w:r>
          </w:p>
        </w:tc>
        <w:tc>
          <w:p>
            <w:pPr>
              <w:pStyle w:val="Compact"/>
              <w:jc w:val="left"/>
            </w:pPr>
            <w:r>
              <w:t xml:space="preserve">SK On’s own newsroom; LFP Georgia production confirmed as H2 2026 start, Flatiron first customer</w:t>
            </w:r>
          </w:p>
        </w:tc>
      </w:tr>
      <w:tr>
        <w:tc>
          <w:p>
            <w:pPr>
              <w:pStyle w:val="Compact"/>
              <w:jc w:val="left"/>
            </w:pPr>
            <w:r>
              <w:t xml:space="preserve">Lunar’s LFP claim cannot currently be satisfied by SK On Georgia</w:t>
            </w:r>
          </w:p>
        </w:tc>
        <w:tc>
          <w:p>
            <w:pPr>
              <w:pStyle w:val="Compact"/>
              <w:jc w:val="left"/>
            </w:pPr>
            <w:r>
              <w:rPr>
                <w:b/>
              </w:rPr>
              <w:t xml:space="preserve">Very High (95%)</w:t>
            </w:r>
          </w:p>
        </w:tc>
        <w:tc>
          <w:p>
            <w:pPr>
              <w:pStyle w:val="Compact"/>
              <w:jc w:val="left"/>
            </w:pPr>
            <w:r>
              <w:t xml:space="preserve">Flatiron identified as SK On’s first LFP ESS customer; LFP production hasn’t started yet</w:t>
            </w:r>
          </w:p>
        </w:tc>
      </w:tr>
      <w:tr>
        <w:tc>
          <w:p>
            <w:pPr>
              <w:pStyle w:val="Compact"/>
              <w:jc w:val="left"/>
            </w:pPr>
            <w:r>
              <w:t xml:space="preserve">SK On Hungary produces NMC pouch cells, not LFP prismatic</w:t>
            </w:r>
          </w:p>
        </w:tc>
        <w:tc>
          <w:p>
            <w:pPr>
              <w:pStyle w:val="Compact"/>
              <w:jc w:val="left"/>
            </w:pPr>
            <w:r>
              <w:rPr>
                <w:b/>
              </w:rPr>
              <w:t xml:space="preserve">High (90%)</w:t>
            </w:r>
          </w:p>
        </w:tc>
        <w:tc>
          <w:p>
            <w:pPr>
              <w:pStyle w:val="Compact"/>
              <w:jc w:val="left"/>
            </w:pPr>
            <w:r>
              <w:t xml:space="preserve">Battery-tech.net, electrive.com, InterBattery 2025 reporting — Hungary facilities confirmed NMC pouch</w:t>
            </w:r>
          </w:p>
        </w:tc>
      </w:tr>
      <w:tr>
        <w:tc>
          <w:p>
            <w:pPr>
              <w:pStyle w:val="Compact"/>
              <w:jc w:val="left"/>
            </w:pPr>
            <w:r>
              <w:t xml:space="preserve">No public formal Lunar-SK On cell offtake agreement exists</w:t>
            </w:r>
          </w:p>
        </w:tc>
        <w:tc>
          <w:p>
            <w:pPr>
              <w:pStyle w:val="Compact"/>
              <w:jc w:val="left"/>
            </w:pPr>
            <w:r>
              <w:rPr>
                <w:b/>
              </w:rPr>
              <w:t xml:space="preserve">High (88%)</w:t>
            </w:r>
          </w:p>
        </w:tc>
        <w:tc>
          <w:p>
            <w:pPr>
              <w:pStyle w:val="Compact"/>
              <w:jc w:val="left"/>
            </w:pPr>
            <w:r>
              <w:t xml:space="preserve">Absence of disclosure; Flatiron framed as SK On’s</w:t>
            </w:r>
            <w:r>
              <w:t xml:space="preserve"> </w:t>
            </w:r>
            <w:r>
              <w:t xml:space="preserve">“</w:t>
            </w:r>
            <w:r>
              <w:t xml:space="preserve">first</w:t>
            </w:r>
            <w:r>
              <w:t xml:space="preserve">”</w:t>
            </w:r>
            <w:r>
              <w:t xml:space="preserve"> </w:t>
            </w:r>
            <w:r>
              <w:t xml:space="preserve">LFP ESS deal</w:t>
            </w:r>
          </w:p>
        </w:tc>
      </w:tr>
      <w:tr>
        <w:tc>
          <w:p>
            <w:pPr>
              <w:pStyle w:val="Compact"/>
              <w:jc w:val="left"/>
            </w:pPr>
            <w:r>
              <w:t xml:space="preserve">Lunar’s CEO’s</w:t>
            </w:r>
            <w:r>
              <w:t xml:space="preserve"> </w:t>
            </w:r>
            <w:r>
              <w:t xml:space="preserve">“</w:t>
            </w:r>
            <w:r>
              <w:t xml:space="preserve">only U.S. manufacturers</w:t>
            </w:r>
            <w:r>
              <w:t xml:space="preserve">”</w:t>
            </w:r>
            <w:r>
              <w:t xml:space="preserve"> </w:t>
            </w:r>
            <w:r>
              <w:t xml:space="preserve">statement conflicts with</w:t>
            </w:r>
            <w:r>
              <w:t xml:space="preserve"> </w:t>
            </w:r>
            <w:r>
              <w:t xml:space="preserve">“</w:t>
            </w:r>
            <w:r>
              <w:t xml:space="preserve">Europe</w:t>
            </w:r>
            <w:r>
              <w:t xml:space="preserve">”</w:t>
            </w:r>
            <w:r>
              <w:t xml:space="preserve"> </w:t>
            </w:r>
            <w:r>
              <w:t xml:space="preserve">disclosure</w:t>
            </w:r>
          </w:p>
        </w:tc>
        <w:tc>
          <w:p>
            <w:pPr>
              <w:pStyle w:val="Compact"/>
              <w:jc w:val="left"/>
            </w:pPr>
            <w:r>
              <w:rPr>
                <w:b/>
              </w:rPr>
              <w:t xml:space="preserve">Very High (95%)</w:t>
            </w:r>
          </w:p>
        </w:tc>
        <w:tc>
          <w:p>
            <w:pPr>
              <w:pStyle w:val="Compact"/>
              <w:jc w:val="left"/>
            </w:pPr>
            <w:r>
              <w:t xml:space="preserve">Direct quotes from Latitude Media and Lunar’s own website</w:t>
            </w:r>
          </w:p>
        </w:tc>
      </w:tr>
      <w:tr>
        <w:tc>
          <w:p>
            <w:pPr>
              <w:pStyle w:val="Compact"/>
              <w:jc w:val="left"/>
            </w:pPr>
            <w:r>
              <w:t xml:space="preserve">Lunar’s domestic content bonus claims are at risk</w:t>
            </w:r>
          </w:p>
        </w:tc>
        <w:tc>
          <w:p>
            <w:pPr>
              <w:pStyle w:val="Compact"/>
              <w:jc w:val="left"/>
            </w:pPr>
            <w:r>
              <w:rPr>
                <w:b/>
              </w:rPr>
              <w:t xml:space="preserve">High (80%)</w:t>
            </w:r>
          </w:p>
        </w:tc>
        <w:tc>
          <w:p>
            <w:pPr>
              <w:pStyle w:val="Compact"/>
              <w:jc w:val="left"/>
            </w:pPr>
            <w:r>
              <w:t xml:space="preserve">European cell sourcing is nearly certain; domestic content rules require U.S.-manufactured cells to meet thresholds</w:t>
            </w:r>
          </w:p>
        </w:tc>
      </w:tr>
      <w:tr>
        <w:tc>
          <w:p>
            <w:pPr>
              <w:pStyle w:val="Compact"/>
              <w:jc w:val="left"/>
            </w:pPr>
            <w:r>
              <w:t xml:space="preserve">Current cells are from an undisclosed non-SK third party</w:t>
            </w:r>
          </w:p>
        </w:tc>
        <w:tc>
          <w:p>
            <w:pPr>
              <w:pStyle w:val="Compact"/>
              <w:jc w:val="left"/>
            </w:pPr>
            <w:r>
              <w:rPr>
                <w:b/>
              </w:rPr>
              <w:t xml:space="preserve">Moderate (55%)</w:t>
            </w:r>
          </w:p>
        </w:tc>
        <w:tc>
          <w:p>
            <w:pPr>
              <w:pStyle w:val="Compact"/>
              <w:jc w:val="left"/>
            </w:pPr>
            <w:r>
              <w:t xml:space="preserve">Inferred; no direct customs records obtained</w:t>
            </w:r>
          </w:p>
        </w:tc>
      </w:tr>
      <w:tr>
        <w:tc>
          <w:p>
            <w:pPr>
              <w:pStyle w:val="Compact"/>
              <w:jc w:val="left"/>
            </w:pPr>
            <w:r>
              <w:t xml:space="preserve">Cells may be NMC rather than LFP</w:t>
            </w:r>
          </w:p>
        </w:tc>
        <w:tc>
          <w:p>
            <w:pPr>
              <w:pStyle w:val="Compact"/>
              <w:jc w:val="left"/>
            </w:pPr>
            <w:r>
              <w:rPr>
                <w:b/>
              </w:rPr>
              <w:t xml:space="preserve">Moderate (40%)</w:t>
            </w:r>
          </w:p>
        </w:tc>
        <w:tc>
          <w:p>
            <w:pPr>
              <w:pStyle w:val="Compact"/>
              <w:jc w:val="left"/>
            </w:pPr>
            <w:r>
              <w:t xml:space="preserve">No UL 9540 certification data directly reviewed; chemistry claim unverified</w:t>
            </w:r>
          </w:p>
        </w:tc>
      </w:tr>
      <w:tr>
        <w:tc>
          <w:p>
            <w:pPr>
              <w:pStyle w:val="Compact"/>
              <w:jc w:val="left"/>
            </w:pPr>
            <w:r>
              <w:t xml:space="preserve">SK On Hungary is the actual current source</w:t>
            </w:r>
          </w:p>
        </w:tc>
        <w:tc>
          <w:p>
            <w:pPr>
              <w:pStyle w:val="Compact"/>
              <w:jc w:val="left"/>
            </w:pPr>
            <w:r>
              <w:rPr>
                <w:b/>
              </w:rPr>
              <w:t xml:space="preserve">Low-Moderate (30%)</w:t>
            </w:r>
          </w:p>
        </w:tc>
        <w:tc>
          <w:p>
            <w:pPr>
              <w:pStyle w:val="Compact"/>
              <w:jc w:val="left"/>
            </w:pPr>
            <w:r>
              <w:t xml:space="preserve">Plausible given investor relationship; contradicted by NMC-only chemistry at Hungary facilities</w:t>
            </w:r>
          </w:p>
        </w:tc>
      </w:tr>
      <w:tr>
        <w:tc>
          <w:p>
            <w:pPr>
              <w:pStyle w:val="Compact"/>
              <w:jc w:val="left"/>
            </w:pPr>
            <w:r>
              <w:t xml:space="preserve">Lunar will have adequate SK On LFP supply for 100K units/year by 2028</w:t>
            </w:r>
          </w:p>
        </w:tc>
        <w:tc>
          <w:p>
            <w:pPr>
              <w:pStyle w:val="Compact"/>
              <w:jc w:val="left"/>
            </w:pPr>
            <w:r>
              <w:rPr>
                <w:b/>
              </w:rPr>
              <w:t xml:space="preserve">Low (15%)</w:t>
            </w:r>
          </w:p>
        </w:tc>
        <w:tc>
          <w:p>
            <w:pPr>
              <w:pStyle w:val="Compact"/>
              <w:jc w:val="left"/>
            </w:pPr>
            <w:r>
              <w:t xml:space="preserve">No offtake agreement disclosed; Flatiron consumes essentially all announced LFP capacity</w:t>
            </w:r>
          </w:p>
        </w:tc>
      </w:tr>
    </w:tbl>
    <w:p>
      <w:r>
        <w:pict>
          <v:rect style="width:0;height:1.5pt" o:hralign="center" o:hrstd="t" o:hr="t"/>
        </w:pict>
      </w:r>
    </w:p>
    <w:p>
      <w:pPr>
        <w:pStyle w:val="Heading2"/>
      </w:pPr>
      <w:bookmarkStart w:id="48" w:name="citations-and-key-evidence-sources"/>
      <w:r>
        <w:t xml:space="preserve">7. CITATIONS AND KEY EVIDENCE SOURCES</w:t>
      </w:r>
      <w:bookmarkEnd w:id="48"/>
    </w:p>
    <w:p>
      <w:pPr>
        <w:pStyle w:val="Heading2"/>
      </w:pPr>
      <w:bookmarkStart w:id="49" w:name="on-sk-on-georgia-lfp-timeline"/>
      <w:r>
        <w:rPr>
          <w:b/>
        </w:rPr>
        <w:t xml:space="preserve">On SK On Georgia LFP timeline:</w:t>
      </w:r>
      <w:bookmarkEnd w:id="49"/>
    </w:p>
    <w:p>
      <w:pPr>
        <w:pStyle w:val="FirstParagraph"/>
      </w:pPr>
      <w:r>
        <w:t xml:space="preserve">Production of LFP batteries at SKBA Georgia is scheduled to begin in H2 2026, following the Flatiron contract for 7.2 GWh of LFP batteries worth approximately $1.4 billion over four years.</w:t>
      </w:r>
    </w:p>
    <w:p>
      <w:pPr>
        <w:numPr>
          <w:ilvl w:val="0"/>
          <w:numId w:val="1003"/>
        </w:numPr>
        <w:pStyle w:val="Compact"/>
      </w:pPr>
      <w:r>
        <w:t xml:space="preserve">To deliver the four-year Flatiron contract, SK On plans to convert part of its NMC EV battery lines at SKBA Georgia into LFP production lines, with mass production slated for H2 2026.</w:t>
      </w:r>
    </w:p>
    <w:p>
      <w:pPr>
        <w:pStyle w:val="Heading2"/>
      </w:pPr>
      <w:bookmarkStart w:id="50" w:name="on-sk-on-hungary-chemistry"/>
      <w:r>
        <w:rPr>
          <w:b/>
        </w:rPr>
        <w:t xml:space="preserve">On SK On Hungary chemistry:</w:t>
      </w:r>
      <w:bookmarkEnd w:id="50"/>
    </w:p>
    <w:p>
      <w:pPr>
        <w:pStyle w:val="FirstParagraph"/>
      </w:pPr>
      <w:r>
        <w:t xml:space="preserve">SK On Hungary specializes in high-energy-density pouch cells for electric vehicles, featuring nickel-rich cathode materials.</w:t>
      </w:r>
    </w:p>
    <w:p>
      <w:pPr>
        <w:numPr>
          <w:ilvl w:val="0"/>
          <w:numId w:val="1004"/>
        </w:numPr>
        <w:pStyle w:val="Compact"/>
      </w:pPr>
      <w:r>
        <w:t xml:space="preserve">SK On has grown up exclusively with pouch cells and high-nickel chemistries; its first prismatic cell was only presented at InterBattery in 2023.</w:t>
      </w:r>
    </w:p>
    <w:p>
      <w:pPr>
        <w:pStyle w:val="Heading2"/>
      </w:pPr>
      <w:bookmarkStart w:id="51" w:name="on-lunars-disclosures"/>
      <w:r>
        <w:rPr>
          <w:b/>
        </w:rPr>
        <w:t xml:space="preserve">On Lunar’s disclosures:</w:t>
      </w:r>
      <w:bookmarkEnd w:id="51"/>
    </w:p>
    <w:p>
      <w:pPr>
        <w:pStyle w:val="FirstParagraph"/>
      </w:pPr>
      <w:r>
        <w:t xml:space="preserve">Lunar states it sources battery cells</w:t>
      </w:r>
      <w:r>
        <w:t xml:space="preserve"> </w:t>
      </w:r>
      <w:r>
        <w:t xml:space="preserve">“</w:t>
      </w:r>
      <w:r>
        <w:t xml:space="preserve">from the United States and Europe</w:t>
      </w:r>
      <w:r>
        <w:t xml:space="preserve">”</w:t>
      </w:r>
      <w:r>
        <w:t xml:space="preserve"> </w:t>
      </w:r>
      <w:r>
        <w:t xml:space="preserve">and makes battery modules</w:t>
      </w:r>
      <w:r>
        <w:t xml:space="preserve"> </w:t>
      </w:r>
      <w:r>
        <w:t xml:space="preserve">“</w:t>
      </w:r>
      <w:r>
        <w:t xml:space="preserve">just over the border in Mexico.</w:t>
      </w:r>
      <w:r>
        <w:t xml:space="preserve">”</w:t>
      </w:r>
    </w:p>
    <w:p>
      <w:pPr>
        <w:numPr>
          <w:ilvl w:val="0"/>
          <w:numId w:val="1005"/>
        </w:numPr>
        <w:pStyle w:val="Compact"/>
      </w:pPr>
      <w:r>
        <w:t xml:space="preserve">CEO Girotra told Latitude Media that</w:t>
      </w:r>
      <w:r>
        <w:t xml:space="preserve"> </w:t>
      </w:r>
      <w:r>
        <w:t xml:space="preserve">“</w:t>
      </w:r>
      <w:r>
        <w:t xml:space="preserve">Lunar Energy only contracts with battery manufacturers in the U.S.</w:t>
      </w:r>
      <w:r>
        <w:t xml:space="preserve">”</w:t>
      </w:r>
    </w:p>
    <w:p>
      <w:pPr>
        <w:pStyle w:val="Heading2"/>
      </w:pPr>
      <w:bookmarkStart w:id="52" w:name="X85002ba3f264bc2108b3dbe51755d07a0570250"/>
      <w:r>
        <w:rPr>
          <w:b/>
        </w:rPr>
        <w:t xml:space="preserve">On Flatiron as SK On’s first LFP ESS customer:</w:t>
      </w:r>
      <w:bookmarkEnd w:id="52"/>
    </w:p>
    <w:p>
      <w:pPr>
        <w:pStyle w:val="FirstParagraph"/>
      </w:pPr>
      <w:r>
        <w:t xml:space="preserve">The Flatiron deal represents SK On’s first order of LFP batteries for energy storage systems.</w:t>
      </w:r>
    </w:p>
    <w:p>
      <w:pPr>
        <w:numPr>
          <w:ilvl w:val="0"/>
          <w:numId w:val="1006"/>
        </w:numPr>
        <w:pStyle w:val="Compact"/>
      </w:pPr>
      <w:r>
        <w:t xml:space="preserve">The agreement represents SK On’s first major supply contract focused exclusively on stationary storage batteries since its spin-off from SK Innovation in 2021.</w:t>
      </w:r>
    </w:p>
    <w:p>
      <w:pPr>
        <w:pStyle w:val="Heading2"/>
      </w:pPr>
      <w:bookmarkStart w:id="53" w:name="on-feocpfe-material-assistance-rules"/>
      <w:r>
        <w:rPr>
          <w:b/>
        </w:rPr>
        <w:t xml:space="preserve">On FEOC/PFE material assistance rules:</w:t>
      </w:r>
      <w:bookmarkEnd w:id="53"/>
    </w:p>
    <w:p>
      <w:pPr>
        <w:pStyle w:val="FirstParagraph"/>
      </w:pPr>
      <w:r>
        <w:t xml:space="preserve">A prohibited foreign entity generally cannot claim, sell, or purchase certain clean energy tax credits. A storage facility containing an excessive proportion of components produced by prohibited foreign entities is ineligible for the Section 48E ITC. Eligible components including battery packs that contain an excessive proportion of PFE content are ineligible for the Section 45X credit.</w:t>
      </w:r>
    </w:p>
    <w:p>
      <w:pPr>
        <w:numPr>
          <w:ilvl w:val="0"/>
          <w:numId w:val="1007"/>
        </w:numPr>
      </w:pPr>
      <w:r>
        <w:t xml:space="preserve">Starting in 2026, at least 55% of manufactured products in an energy storage project must not be from a PFE, with the percentage increasing by 5 points annually to 75% after 2029.</w:t>
      </w:r>
    </w:p>
    <w:p>
      <w:pPr>
        <w:numPr>
          <w:ilvl w:val="0"/>
          <w:numId w:val="1007"/>
        </w:numPr>
      </w:pPr>
      <w:r>
        <w:t xml:space="preserve">The</w:t>
      </w:r>
      <w:r>
        <w:t xml:space="preserve"> </w:t>
      </w:r>
      <w:r>
        <w:t xml:space="preserve">“</w:t>
      </w:r>
      <w:r>
        <w:t xml:space="preserve">material assistance</w:t>
      </w:r>
      <w:r>
        <w:t xml:space="preserve">”</w:t>
      </w:r>
      <w:r>
        <w:t xml:space="preserve"> </w:t>
      </w:r>
      <w:r>
        <w:t xml:space="preserve">requirement applies only to facilities for which construction begins for tax purposes on or after January 1, 2026.</w:t>
      </w:r>
    </w:p>
    <w:p>
      <w:pPr>
        <w:pStyle w:val="Heading2"/>
      </w:pPr>
      <w:bookmarkStart w:id="54" w:name="on-sk-ons-lfp-cathode-sourcing-non-catl"/>
      <w:r>
        <w:rPr>
          <w:b/>
        </w:rPr>
        <w:t xml:space="preserve">On SK On’s LFP cathode sourcing (non-CATL):</w:t>
      </w:r>
      <w:bookmarkEnd w:id="54"/>
    </w:p>
    <w:p>
      <w:pPr>
        <w:pStyle w:val="FirstParagraph"/>
      </w:pPr>
      <w:r>
        <w:t xml:space="preserve">SK On signed an MOU with South Korean company L&amp;F for supplying LFP cathode materials, signaling a Korean domestic cathode supply chain.</w:t>
      </w:r>
    </w:p>
    <w:p>
      <w:pPr>
        <w:pStyle w:val="Heading2"/>
      </w:pPr>
      <w:bookmarkStart w:id="55" w:name="on-european-lfp-landscape"/>
      <w:r>
        <w:rPr>
          <w:b/>
        </w:rPr>
        <w:t xml:space="preserve">On European LFP landscape:</w:t>
      </w:r>
      <w:bookmarkEnd w:id="55"/>
    </w:p>
    <w:p>
      <w:pPr>
        <w:pStyle w:val="FirstParagraph"/>
      </w:pPr>
      <w:r>
        <w:t xml:space="preserve">Companies from outside Europe such as CATL are increasing LFP capacity in Hungary and currently supply 60% of EU LFP demand.</w:t>
      </w:r>
      <w:r>
        <w:t xml:space="preserve"> </w:t>
      </w:r>
      <w:r>
        <w:t xml:space="preserve">This means most European LFP cells come from a FEOC entity (CATL), making</w:t>
      </w:r>
      <w:r>
        <w:t xml:space="preserve"> </w:t>
      </w:r>
      <w:r>
        <w:t xml:space="preserve">“</w:t>
      </w:r>
      <w:r>
        <w:t xml:space="preserve">Europe</w:t>
      </w:r>
      <w:r>
        <w:t xml:space="preserve">”</w:t>
      </w:r>
      <w:r>
        <w:t xml:space="preserve"> </w:t>
      </w:r>
      <w:r>
        <w:t xml:space="preserve">sourcing structurally FEOC-toxic without more specificity.</w:t>
      </w:r>
    </w:p>
    <w:p>
      <w:r>
        <w:pict>
          <v:rect style="width:0;height:1.5pt" o:hralign="center" o:hrstd="t" o:hr="t"/>
        </w:pict>
      </w:r>
    </w:p>
    <w:p>
      <w:pPr>
        <w:pStyle w:val="Heading2"/>
      </w:pPr>
      <w:bookmarkStart w:id="56" w:name="Xeed8fe688fbcff305a4482472cd6c7ccc6bf503"/>
      <w:r>
        <w:t xml:space="preserve">APPENDIX: INVESTIGATIVE GAPS AND RECOMMENDED NEXT STEPS</w:t>
      </w:r>
      <w:bookmarkEnd w:id="56"/>
    </w:p>
    <w:p>
      <w:pPr>
        <w:pStyle w:val="FirstParagraph"/>
      </w:pPr>
      <w:r>
        <w:t xml:space="preserve">The following hard evidence remains unverified and would be</w:t>
      </w:r>
      <w:r>
        <w:t xml:space="preserve"> </w:t>
      </w:r>
      <w:r>
        <w:rPr>
          <w:b/>
        </w:rPr>
        <w:t xml:space="preserve">decisive</w:t>
      </w:r>
      <w:r>
        <w:t xml:space="preserve"> </w:t>
      </w:r>
      <w:r>
        <w:t xml:space="preserve">in resolving the hypothesis:</w:t>
      </w:r>
    </w:p>
    <w:p>
      <w:pPr>
        <w:numPr>
          <w:ilvl w:val="0"/>
          <w:numId w:val="1008"/>
        </w:numPr>
      </w:pPr>
      <w:r>
        <w:rPr>
          <w:b/>
        </w:rPr>
        <w:t xml:space="preserve">UL Product iQ Certification Lookup</w:t>
      </w:r>
      <w:r>
        <w:t xml:space="preserve">: A direct query of the FTBW category on UL Product iQ for</w:t>
      </w:r>
      <w:r>
        <w:t xml:space="preserve"> </w:t>
      </w:r>
      <w:r>
        <w:t xml:space="preserve">“</w:t>
      </w:r>
      <w:r>
        <w:t xml:space="preserve">Lunar Energy</w:t>
      </w:r>
      <w:r>
        <w:t xml:space="preserve">”</w:t>
      </w:r>
      <w:r>
        <w:t xml:space="preserve"> </w:t>
      </w:r>
      <w:r>
        <w:t xml:space="preserve">would reveal the chemistry specified in the UL 9540 listing (if any). The cell-level test results under UL 9540A would disclose exact cell manufacturer and chemistry.</w:t>
      </w:r>
      <w:r>
        <w:t xml:space="preserve"> </w:t>
      </w:r>
      <w:r>
        <w:rPr>
          <w:b/>
        </w:rPr>
        <w:t xml:space="preserve">This is the single highest-value data point.</w:t>
      </w:r>
      <w:r>
        <w:t xml:space="preserve"> </w:t>
      </w:r>
      <w:r>
        <w:t xml:space="preserve">In the UL or ETL database, the certification should be categorized under the</w:t>
      </w:r>
      <w:r>
        <w:t xml:space="preserve"> </w:t>
      </w:r>
      <w:r>
        <w:t xml:space="preserve">“</w:t>
      </w:r>
      <w:r>
        <w:t xml:space="preserve">FTBW</w:t>
      </w:r>
      <w:r>
        <w:t xml:space="preserve">”</w:t>
      </w:r>
      <w:r>
        <w:t xml:space="preserve"> </w:t>
      </w:r>
      <w:r>
        <w:t xml:space="preserve">category code for Energy Storage Systems.</w:t>
      </w:r>
    </w:p>
    <w:p>
      <w:pPr>
        <w:numPr>
          <w:ilvl w:val="0"/>
          <w:numId w:val="1008"/>
        </w:numPr>
      </w:pPr>
      <w:r>
        <w:rPr>
          <w:b/>
        </w:rPr>
        <w:t xml:space="preserve">U.S. Customs Import Records</w:t>
      </w:r>
      <w:r>
        <w:t xml:space="preserve">: A search on ImportGenius or Panjiva for</w:t>
      </w:r>
      <w:r>
        <w:t xml:space="preserve"> </w:t>
      </w:r>
      <w:r>
        <w:t xml:space="preserve">“</w:t>
      </w:r>
      <w:r>
        <w:t xml:space="preserve">Lunar Energy</w:t>
      </w:r>
      <w:r>
        <w:t xml:space="preserve">”</w:t>
      </w:r>
      <w:r>
        <w:t xml:space="preserve"> </w:t>
      </w:r>
      <w:r>
        <w:t xml:space="preserve">or</w:t>
      </w:r>
      <w:r>
        <w:t xml:space="preserve"> </w:t>
      </w:r>
      <w:r>
        <w:t xml:space="preserve">“</w:t>
      </w:r>
      <w:r>
        <w:t xml:space="preserve">Lunar Energy Inc.</w:t>
      </w:r>
      <w:r>
        <w:t xml:space="preserve">”</w:t>
      </w:r>
      <w:r>
        <w:t xml:space="preserve"> </w:t>
      </w:r>
      <w:r>
        <w:t xml:space="preserve">as consignee would show shipper country of origin, bill of lading description, and HS code (which would distinguish LFP from NMC cells). This is highly actionable.</w:t>
      </w:r>
    </w:p>
    <w:p>
      <w:pPr>
        <w:numPr>
          <w:ilvl w:val="0"/>
          <w:numId w:val="1008"/>
        </w:numPr>
      </w:pPr>
      <w:r>
        <w:rPr>
          <w:b/>
        </w:rPr>
        <w:t xml:space="preserve">California Building Department Permit Pulls</w:t>
      </w:r>
      <w:r>
        <w:t xml:space="preserve">: The 2,000 California installations would have generated 2,000 permit files. A sample of 10–20 permits from jurisdictions with online databases (e.g., Los Angeles DBS, San Jose, Sacramento) would reveal the exact UL listing number stamped on the equipment by the AHJ, which in turn reveals chemistry.</w:t>
      </w:r>
    </w:p>
    <w:p>
      <w:pPr>
        <w:numPr>
          <w:ilvl w:val="0"/>
          <w:numId w:val="1008"/>
        </w:numPr>
      </w:pPr>
      <w:r>
        <w:rPr>
          <w:b/>
        </w:rPr>
        <w:t xml:space="preserve">SK On Korea Investor Relations Q&amp;A</w:t>
      </w:r>
      <w:r>
        <w:t xml:space="preserve">: SK Innovation’s quarterly earnings calls (available in Korean via IR filings) should be queried for any reference to residential storage customers or small-scale ESS contracts prior to the Flatiron announcement.</w:t>
      </w:r>
    </w:p>
    <w:p>
      <w:pPr>
        <w:numPr>
          <w:ilvl w:val="0"/>
          <w:numId w:val="1008"/>
        </w:numPr>
      </w:pPr>
      <w:r>
        <w:rPr>
          <w:b/>
        </w:rPr>
        <w:t xml:space="preserve">Mexico Customs Records</w:t>
      </w:r>
      <w:r>
        <w:t xml:space="preserve">: If cells enter via Mexico for module assembly, Mexican import declarations (pedimentos) would identify the exporting country and HS code.</w:t>
      </w:r>
    </w:p>
    <w:p>
      <w:pPr>
        <w:numPr>
          <w:ilvl w:val="0"/>
          <w:numId w:val="1008"/>
        </w:numPr>
      </w:pPr>
      <w:r>
        <w:rPr>
          <w:b/>
        </w:rPr>
        <w:t xml:space="preserve">SK On L&amp;F MOU Specifics</w:t>
      </w:r>
      <w:r>
        <w:t xml:space="preserve">: The July 2024 MOU between SK On and L&amp;F for LFP cathode supply should be reviewed for volume commitments and delivery timelines, which would clarify whether Korea-origin LFP cells in small quantities could exist.</w:t>
      </w:r>
    </w:p>
    <w:p>
      <w:r>
        <w:pict>
          <v:rect style="width:0;height:1.5pt" o:hralign="center" o:hrstd="t" o:hr="t"/>
        </w:pict>
      </w:r>
    </w:p>
    <w:p>
      <w:pPr>
        <w:pStyle w:val="FirstParagraph"/>
      </w:pPr>
      <w:r>
        <w:rPr>
          <w:b/>
        </w:rPr>
        <w:t xml:space="preserve">ANALYST NOTE ON SYSTEMIC RISK</w:t>
      </w:r>
      <w:r>
        <w:t xml:space="preserve">: The most serious finding of this investigation is not primarily about which specific factory makes Lunar’s cells. It is that</w:t>
      </w:r>
      <w:r>
        <w:t xml:space="preserve"> </w:t>
      </w:r>
      <w:r>
        <w:rPr>
          <w:b/>
        </w:rPr>
        <w:t xml:space="preserve">Lunar’s CEO has made a public representation about cell sourcing (</w:t>
      </w:r>
      <w:r>
        <w:rPr>
          <w:b/>
        </w:rPr>
        <w:t xml:space="preserve">“</w:t>
      </w:r>
      <w:r>
        <w:rPr>
          <w:b/>
        </w:rPr>
        <w:t xml:space="preserve">only U.S. manufacturers</w:t>
      </w:r>
      <w:r>
        <w:rPr>
          <w:b/>
        </w:rPr>
        <w:t xml:space="preserve">”</w:t>
      </w:r>
      <w:r>
        <w:rPr>
          <w:b/>
        </w:rPr>
        <w:t xml:space="preserve">) that appears factually inconsistent with the company’s own website disclosure (</w:t>
      </w:r>
      <w:r>
        <w:rPr>
          <w:b/>
        </w:rPr>
        <w:t xml:space="preserve">“</w:t>
      </w:r>
      <w:r>
        <w:rPr>
          <w:b/>
        </w:rPr>
        <w:t xml:space="preserve">United States and Europe</w:t>
      </w:r>
      <w:r>
        <w:rPr>
          <w:b/>
        </w:rPr>
        <w:t xml:space="preserve">”</w:t>
      </w:r>
      <w:r>
        <w:rPr>
          <w:b/>
        </w:rPr>
        <w:t xml:space="preserve">)</w:t>
      </w:r>
      <w:r>
        <w:t xml:space="preserve">, and that this inconsistency has direct, material implications for the IRA domestic content bonus and ITC eligibility being claimed by or on behalf of Lunar’s 2,000+ current customers. As</w:t>
      </w:r>
      <w:r>
        <w:t xml:space="preserve"> </w:t>
      </w:r>
      <w:r>
        <w:t xml:space="preserve">the supplier certification regime carries penalty risks: suppliers who deliver certifications regarding FEOCs that turn out to be false, where the supplier knew or reasonably should have known, can face tax penalties equal to up to 10% of the underpayment (or $100,000, whichever is larger) attributable to the inaccuracy. The IRS has six years to assess this penalty.</w:t>
      </w:r>
      <w:r>
        <w:t xml:space="preserve"> </w:t>
      </w:r>
      <w:r>
        <w:t xml:space="preserve">Should Lunar’s cell sourcing ultimately fail FEOC/domestic content tests, this penalty framework could implicate not just Lunar but potentially SK Group as supplier certifier. This warrants immediate legal review by counsel specializing in IRA compliance.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2026-02-28T04:44:29Z</dcterms:created>
  <dcterms:modified xsi:type="dcterms:W3CDTF">2026-02-28T04:44:29Z</dcterms:modified>
</cp:coreProperties>
</file>

<file path=docProps/custom.xml><?xml version="1.0" encoding="utf-8"?>
<Properties xmlns="http://schemas.openxmlformats.org/officeDocument/2006/custom-properties" xmlns:vt="http://schemas.openxmlformats.org/officeDocument/2006/docPropsVTypes"/>
</file>