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I’ll run multiple simultaneous searches across all five research dimensions before synthesizing the analysis.</w:t>
      </w:r>
      <w:r>
        <w:t xml:space="preserve"> </w:t>
      </w:r>
      <w:r>
        <w:t xml:space="preserve">Now let me search for the remaining critical data points — Lunar’s alternative distribution channels, Sunrun’s Gridshare markets beyond California, Sunrun’s equity stake in Lunar, and Sunrun’s 10-K related party disclosures.</w:t>
      </w:r>
      <w:r>
        <w:t xml:space="preserve"> </w:t>
      </w:r>
      <w:r>
        <w:t xml:space="preserve">Now let me conduct two final targeted searches on Sunrun’s specific equity stake disclosure in Lunar and SunPower’s treatment of technology vendor contracts in bankruptcy.</w:t>
      </w:r>
      <w:r>
        <w:t xml:space="preserve"> </w:t>
      </w:r>
      <w:r>
        <w:t xml:space="preserve">I now have sufficient data from all five research dimensions to deliver a comprehensive, fully cited analysis. Here is the structured report.</w:t>
      </w:r>
    </w:p>
    <w:p>
      <w:r>
        <w:pict>
          <v:rect style="width:0;height:1.5pt" o:hralign="center" o:hrstd="t" o:hr="t"/>
        </w:pict>
      </w:r>
    </w:p>
    <w:p>
      <w:pPr>
        <w:pStyle w:val="Heading1"/>
      </w:pPr>
      <w:bookmarkStart w:id="20" w:name="Xadc22f18b819d1e15dd5ed4d1e83db03d33dde1"/>
      <w:r>
        <w:t xml:space="preserve">LUNAR ENERGY / SUNRUN CONCENTRATION RISK: CORPORATE GOVERNANCE &amp; FINANCIAL RISK ANALYSIS</w:t>
      </w:r>
      <w:bookmarkEnd w:id="20"/>
    </w:p>
    <w:p>
      <w:r>
        <w:pict>
          <v:rect style="width:0;height:1.5pt" o:hralign="center" o:hrstd="t" o:hr="t"/>
        </w:pict>
      </w:r>
    </w:p>
    <w:p>
      <w:pPr>
        <w:pStyle w:val="Heading2"/>
      </w:pPr>
      <w:bookmarkStart w:id="21" w:name="X5e3ac240e048cb8902c9a823739fca6e70af454"/>
      <w:r>
        <w:t xml:space="preserve">PRELIMINARY NOTE ON SOURCES AND LIMITATIONS</w:t>
      </w:r>
      <w:bookmarkEnd w:id="21"/>
    </w:p>
    <w:p>
      <w:pPr>
        <w:pStyle w:val="FirstParagraph"/>
      </w:pPr>
      <w:r>
        <w:t xml:space="preserve">Before proceeding: Lunar Energy is a</w:t>
      </w:r>
      <w:r>
        <w:t xml:space="preserve"> </w:t>
      </w:r>
      <w:r>
        <w:rPr>
          <w:b/>
        </w:rPr>
        <w:t xml:space="preserve">private company</w:t>
      </w:r>
      <w:r>
        <w:t xml:space="preserve"> </w:t>
      </w:r>
      <w:r>
        <w:t xml:space="preserve">with no SEC disclosure obligations. The primary public record available is Sunrun’s SEC filings (10-K, 10-Q, DEF 14A), Lunar’s press releases, and third-party coverage. Critical revenue figures (exact % of Lunar revenue from Sunrun, payment terms, contract durations) are</w:t>
      </w:r>
      <w:r>
        <w:t xml:space="preserve"> </w:t>
      </w:r>
      <w:r>
        <w:rPr>
          <w:b/>
        </w:rPr>
        <w:t xml:space="preserve">not publicly disclosed</w:t>
      </w:r>
      <w:r>
        <w:t xml:space="preserve">. Absence of disclosure is itself analytically significant and is noted throughout.</w:t>
      </w:r>
    </w:p>
    <w:p>
      <w:r>
        <w:pict>
          <v:rect style="width:0;height:1.5pt" o:hralign="center" o:hrstd="t" o:hr="t"/>
        </w:pict>
      </w:r>
    </w:p>
    <w:p>
      <w:pPr>
        <w:pStyle w:val="Heading2"/>
      </w:pPr>
      <w:bookmarkStart w:id="22" w:name="evidence-for-the-hypothesis"/>
      <w:r>
        <w:t xml:space="preserve">1. EVIDENCE FOR THE HYPOTHESIS</w:t>
      </w:r>
      <w:bookmarkEnd w:id="22"/>
    </w:p>
    <w:p>
      <w:pPr>
        <w:pStyle w:val="Heading3"/>
      </w:pPr>
      <w:bookmarkStart w:id="23" w:name="Xea42e4aaeae44264abf1f90290e9cf6658d0a80"/>
      <w:r>
        <w:t xml:space="preserve">A. The Structural Dependency Is Confirmed and Deeper Than Public Narrative Suggests</w:t>
      </w:r>
      <w:bookmarkEnd w:id="23"/>
    </w:p>
    <w:p>
      <w:pPr>
        <w:pStyle w:val="FirstParagraph"/>
      </w:pPr>
      <w:r>
        <w:t xml:space="preserve">The relationship between Sunrun and Lunar is not merely a vendor-customer relationship — it is a five-layer entanglement:</w:t>
      </w:r>
    </w:p>
    <w:p>
      <w:pPr>
        <w:pStyle w:val="BodyText"/>
      </w:pPr>
      <w:r>
        <w:rPr>
          <w:b/>
        </w:rPr>
        <w:t xml:space="preserve">Layer 1 — Majority Investor</w:t>
      </w:r>
      <w:r>
        <w:t xml:space="preserve">:</w:t>
      </w:r>
      <w:r>
        <w:t xml:space="preserve"> </w:t>
      </w:r>
      <w:r>
        <w:t xml:space="preserve">Sunrun owns a 37% stake in Lunar Energy and has preferential access to Lunar’s technology.</w:t>
      </w:r>
      <w:r>
        <w:t xml:space="preserve"> </w:t>
      </w:r>
      <w:r>
        <w:t xml:space="preserve">This was disclosed in trade press citing Bloomberg reporting, not in Sunrun’s SEC filings to accessible web surfaces.</w:t>
      </w:r>
      <w:r>
        <w:t xml:space="preserve"> </w:t>
      </w:r>
      <w:r>
        <w:t xml:space="preserve">Lunar was founded in August 2020 and raised $300 million in funding over two rounds by Sunrun (NASDAQ: RUN), the nation’s leading residential solar and battery storage provider, and South Korea’s SK Group.</w:t>
      </w:r>
    </w:p>
    <w:p>
      <w:pPr>
        <w:pStyle w:val="BodyText"/>
      </w:pPr>
      <w:r>
        <w:rPr>
          <w:b/>
        </w:rPr>
        <w:t xml:space="preserve">Layer 2 — Board Control</w:t>
      </w:r>
      <w:r>
        <w:t xml:space="preserve">:</w:t>
      </w:r>
      <w:r>
        <w:t xml:space="preserve"> </w:t>
      </w:r>
      <w:r>
        <w:t xml:space="preserve">Ed Fenster and Lynn Jurich currently serve as Co-Executive Chairs and directors of Sunrun.</w:t>
      </w:r>
      <w:r>
        <w:t xml:space="preserve"> </w:t>
      </w:r>
      <w:r>
        <w:t xml:space="preserve">Jurich simultaneously chairs Lunar Energy’s board — a cross-governance arrangement creating a direct conflict of interest with no public recusal protocol disclosed.</w:t>
      </w:r>
    </w:p>
    <w:p>
      <w:pPr>
        <w:pStyle w:val="BodyText"/>
      </w:pPr>
      <w:r>
        <w:rPr>
          <w:b/>
        </w:rPr>
        <w:t xml:space="preserve">Layer 3 — Primary Hardware Channel</w:t>
      </w:r>
      <w:r>
        <w:t xml:space="preserve">:</w:t>
      </w:r>
      <w:r>
        <w:t xml:space="preserve"> </w:t>
      </w:r>
      <w:r>
        <w:t xml:space="preserve">California startup Lunar Energy launched a home power storage system with Sunrun as its first installer in a bid to enter the residential battery market dominated by Tesla.</w:t>
      </w:r>
    </w:p>
    <w:p>
      <w:pPr>
        <w:pStyle w:val="BodyText"/>
      </w:pPr>
      <w:r>
        <w:t xml:space="preserve">In its first year of commercialization, Lunar deployed thousands of systems in California.</w:t>
      </w:r>
      <w:r>
        <w:t xml:space="preserve"> </w:t>
      </w:r>
      <w:r>
        <w:t xml:space="preserve">Hardware sales are almost exclusively flowing through Sunrun’s installer network.</w:t>
      </w:r>
    </w:p>
    <w:p>
      <w:pPr>
        <w:pStyle w:val="BodyText"/>
      </w:pPr>
      <w:r>
        <w:rPr>
          <w:b/>
        </w:rPr>
        <w:t xml:space="preserve">Layer 4 — Dominant VPP Software Customer</w:t>
      </w:r>
      <w:r>
        <w:t xml:space="preserve">:</w:t>
      </w:r>
      <w:r>
        <w:t xml:space="preserve"> </w:t>
      </w:r>
      <w:r>
        <w:t xml:space="preserve">Gridshare already manages all of Sunrun’s VPPs, including nearly 130,000 home batteries — most from non-Lunar manufacturers — that can dispatch energy when the grid needs it most.</w:t>
      </w:r>
    </w:p>
    <w:p>
      <w:pPr>
        <w:pStyle w:val="BodyText"/>
      </w:pPr>
      <w:r>
        <w:t xml:space="preserve">Sunrun leverages Lunar’s Gridshare platform for its distributed power plants across a dozen markets, including New England, Hawaii, and Puerto Rico. Lunar Gridshare is also used by California Community Choice Aggregators to develop and deploy new distributed power programs across the state.</w:t>
      </w:r>
    </w:p>
    <w:p>
      <w:pPr>
        <w:pStyle w:val="BodyText"/>
      </w:pPr>
      <w:r>
        <w:rPr>
          <w:b/>
        </w:rPr>
        <w:t xml:space="preserve">Layer 5 — Continued Capital Dependency</w:t>
      </w:r>
      <w:r>
        <w:t xml:space="preserve">:</w:t>
      </w:r>
      <w:r>
        <w:t xml:space="preserve"> </w:t>
      </w:r>
      <w:r>
        <w:t xml:space="preserve">The Series C and Series D funding rounds also included participation from DCVC, Piva Capital, Leitmotif, Sunrun, Itochu Corporation, and Q Capital Partners</w:t>
      </w:r>
      <w:r>
        <w:t xml:space="preserve"> </w:t>
      </w:r>
      <w:r>
        <w:t xml:space="preserve">— meaning Sunrun participated in Lunar’s most recent funding rounds (Series C at $130M and Series D at $102M), deepening the financial entanglement even as new independent investors entered.</w:t>
      </w:r>
    </w:p>
    <w:p>
      <w:pPr>
        <w:pStyle w:val="Heading3"/>
      </w:pPr>
      <w:bookmarkStart w:id="24" w:name="Xe5e9de06436efb14b7b576de7865373e05efff5"/>
      <w:r>
        <w:t xml:space="preserve">B. The Tesla Dominance Problem in Sunrun’s Fleet is Documented</w:t>
      </w:r>
      <w:bookmarkEnd w:id="24"/>
    </w:p>
    <w:p>
      <w:pPr>
        <w:pStyle w:val="FirstParagraph"/>
      </w:pPr>
      <w:r>
        <w:t xml:space="preserve">Sunrun’s CalReady VPP programme now comprises approximately 75,000 residential battery installations. The VPP provides energy to the grid when demand is high. The company uses Tesla’s Powerwall 3, which has an energy capacity of 13kWh.</w:t>
      </w:r>
    </w:p>
    <w:p>
      <w:pPr>
        <w:pStyle w:val="BodyText"/>
      </w:pPr>
      <w:r>
        <w:t xml:space="preserve">This is the structural threat to Gridshare’s addressable market at Sunrun: Tesla’s own software platform manages Powerwalls natively, and Sunrun’s CalReady program — its flagship, nationally prominent VPP — runs on Tesla hardware.</w:t>
      </w:r>
      <w:r>
        <w:t xml:space="preserve"> </w:t>
      </w:r>
      <w:r>
        <w:t xml:space="preserve">Customers easily monitor and understand their energy in real-time with the Tesla app, with 24/7 instant alerts and severe weather warnings.</w:t>
      </w:r>
      <w:r>
        <w:t xml:space="preserve"> </w:t>
      </w:r>
      <w:r>
        <w:t xml:space="preserve">As a result, CalReady’s 75,000 systems appear to be primarily</w:t>
      </w:r>
      <w:r>
        <w:t xml:space="preserve"> </w:t>
      </w:r>
      <w:r>
        <w:rPr>
          <w:b/>
        </w:rPr>
        <w:t xml:space="preserve">outside Gridshare’s management scope</w:t>
      </w:r>
      <w:r>
        <w:t xml:space="preserve">, representing a direct constraint on Gridshare’s revenue ceiling at Sunrun.</w:t>
      </w:r>
    </w:p>
    <w:p>
      <w:pPr>
        <w:pStyle w:val="BodyText"/>
      </w:pPr>
      <w:r>
        <w:t xml:space="preserve">The software bifurcation is also visible in customer-facing materials: Sunrun’s own website prominently promotes Tesla Powerwall 3 as a featured product.</w:t>
      </w:r>
      <w:r>
        <w:t xml:space="preserve"> </w:t>
      </w:r>
      <w:r>
        <w:t xml:space="preserve">Sunrun’s customer page encourages homeowners to</w:t>
      </w:r>
      <w:r>
        <w:t xml:space="preserve"> </w:t>
      </w:r>
      <w:r>
        <w:t xml:space="preserve">“</w:t>
      </w:r>
      <w:r>
        <w:t xml:space="preserve">Gain even greater control over your energy by adding Tesla Powerwall 3 to your solar installation.</w:t>
      </w:r>
      <w:r>
        <w:t xml:space="preserve">”</w:t>
      </w:r>
    </w:p>
    <w:p>
      <w:pPr>
        <w:pStyle w:val="BodyText"/>
      </w:pPr>
      <w:r>
        <w:t xml:space="preserve">Meanwhile, the Brattle Group’s August 2025 independent report confirms Tesla’s dominant hardware position within California VPP programs:</w:t>
      </w:r>
      <w:r>
        <w:t xml:space="preserve"> </w:t>
      </w:r>
      <w:r>
        <w:t xml:space="preserve">The participants accounted for a diverse mix of battery manufacturers, aggregators, VPP programs, and geographic locations. Sunrun was the largest aggregator, Tesla Energy was the largest OEM.</w:t>
      </w:r>
    </w:p>
    <w:p>
      <w:pPr>
        <w:pStyle w:val="Heading3"/>
      </w:pPr>
      <w:bookmarkStart w:id="25" w:name="X337c3e45e7dfbeb6c1abe507f7f463202c19f0e"/>
      <w:r>
        <w:t xml:space="preserve">C. Sunrun’s Financial Distress Signals Are Corroborated by Quantitative Data</w:t>
      </w:r>
      <w:bookmarkEnd w:id="25"/>
    </w:p>
    <w:p>
      <w:pPr>
        <w:pStyle w:val="FirstParagraph"/>
      </w:pPr>
      <w:r>
        <w:t xml:space="preserve">Sunrun has a Z-score of -0.47, indicating it is in Distress Zones. This implies bankruptcy possibility in the next two years.</w:t>
      </w:r>
    </w:p>
    <w:p>
      <w:pPr>
        <w:pStyle w:val="BodyText"/>
      </w:pPr>
      <w:r>
        <w:t xml:space="preserve">Sunrun has the Financial Strength Rank of 2. It displays poor financial strength and is likely in financial distress. Usually this is caused by too much debt for the company.</w:t>
      </w:r>
    </w:p>
    <w:p>
      <w:pPr>
        <w:pStyle w:val="BodyText"/>
      </w:pPr>
      <w:r>
        <w:t xml:space="preserve">Sunrun’s debt-to-equity structure is extreme:</w:t>
      </w:r>
      <w:r>
        <w:t xml:space="preserve"> </w:t>
      </w:r>
      <w:r>
        <w:t xml:space="preserve">The company has a debt-to-equity ratio of 3.70.</w:t>
      </w:r>
    </w:p>
    <w:p>
      <w:pPr>
        <w:pStyle w:val="BodyText"/>
      </w:pPr>
      <w:r>
        <w:t xml:space="preserve">The Altman Z-Score’s limitations for asset-heavy subscription businesses must be noted (discussed further in Section 2), but the structural signals are undeniable.</w:t>
      </w:r>
    </w:p>
    <w:p>
      <w:pPr>
        <w:pStyle w:val="Heading3"/>
      </w:pPr>
      <w:bookmarkStart w:id="26" w:name="X41fc3b944da40cf4eaa808419bd06aefb71d9a7"/>
      <w:r>
        <w:t xml:space="preserve">D. The $232M Series D Raised Without Public Concentration Risk Acknowledgment</w:t>
      </w:r>
      <w:bookmarkEnd w:id="26"/>
    </w:p>
    <w:p>
      <w:pPr>
        <w:pStyle w:val="FirstParagraph"/>
      </w:pPr>
      <w:r>
        <w:t xml:space="preserve">The funding consists of $102 million from a Series D round led by B Capital and Prelude Ventures, alongside a previously unannounced $130 million Series C led by Activate Capital.</w:t>
      </w:r>
      <w:r>
        <w:t xml:space="preserve"> </w:t>
      </w:r>
      <w:r>
        <w:t xml:space="preserve">Lunar’s press materials describe Sunrun as a</w:t>
      </w:r>
      <w:r>
        <w:t xml:space="preserve"> </w:t>
      </w:r>
      <w:r>
        <w:t xml:space="preserve">“</w:t>
      </w:r>
      <w:r>
        <w:t xml:space="preserve">partner</w:t>
      </w:r>
      <w:r>
        <w:t xml:space="preserve">”</w:t>
      </w:r>
      <w:r>
        <w:t xml:space="preserve"> </w:t>
      </w:r>
      <w:r>
        <w:t xml:space="preserve">without quantifying revenue concentration, Sunrun’s financial stress, or the board-chair conflict.</w:t>
      </w:r>
      <w:r>
        <w:t xml:space="preserve"> </w:t>
      </w:r>
      <w:r>
        <w:t xml:space="preserve">Lunar Energy has raised $532M</w:t>
      </w:r>
      <w:r>
        <w:t xml:space="preserve"> </w:t>
      </w:r>
      <w:r>
        <w:t xml:space="preserve">in total, with no public disclosure of what % of revenue flows from Sunrun — the absence of this disclosure is itself a governance red flag for new Series D investors.</w:t>
      </w:r>
    </w:p>
    <w:p>
      <w:pPr>
        <w:pStyle w:val="Heading3"/>
      </w:pPr>
      <w:bookmarkStart w:id="27" w:name="Xa5673349c22f699b9659360333ff36a4a3d6f2a"/>
      <w:r>
        <w:t xml:space="preserve">E. The SunPower Precedent Shows How Technology Vendor Contracts Are Treated in Solar Bankruptcy</w:t>
      </w:r>
      <w:bookmarkEnd w:id="27"/>
    </w:p>
    <w:p>
      <w:pPr>
        <w:pStyle w:val="FirstParagraph"/>
      </w:pPr>
      <w:r>
        <w:t xml:space="preserve">As of September 20, 2024, SunPower ceased system support through the mySunPower app, web portal, or its phone number.</w:t>
      </w:r>
      <w:r>
        <w:t xml:space="preserve"> </w:t>
      </w:r>
      <w:r>
        <w:t xml:space="preserve">Technology vendor contracts held by SunPower were not uniformly honored:</w:t>
      </w:r>
      <w:r>
        <w:t xml:space="preserve"> </w:t>
      </w:r>
      <w:r>
        <w:t xml:space="preserve">Legacy SunPower direct customers did not have liabilities assumed by the new SunPower entity (Complete Solaria). This means the original workmanship warranty is likely void.</w:t>
      </w:r>
      <w:r>
        <w:t xml:space="preserve"> </w:t>
      </w:r>
      <w:r>
        <w:t xml:space="preserve">Software monitoring was transferred to SunStrong under different commercial terms:</w:t>
      </w:r>
      <w:r>
        <w:t xml:space="preserve"> </w:t>
      </w:r>
      <w:r>
        <w:t xml:space="preserve">The transition to SunStrong management resulted in a two-tiered pricing structure for what was previously included in SunPower’s standard service.</w:t>
      </w:r>
      <w:r>
        <w:t xml:space="preserve"> </w:t>
      </w:r>
      <w:r>
        <w:t xml:space="preserve">This is the closest precedent for what Gridshare faces if Sunrun enters distress — contracts transferred to a reorganized entity or acquirer who may have no obligation to honor legacy software SLAs at existing rates.</w:t>
      </w:r>
    </w:p>
    <w:p>
      <w:r>
        <w:pict>
          <v:rect style="width:0;height:1.5pt" o:hralign="center" o:hrstd="t" o:hr="t"/>
        </w:pict>
      </w:r>
    </w:p>
    <w:p>
      <w:pPr>
        <w:pStyle w:val="Heading2"/>
      </w:pPr>
      <w:bookmarkStart w:id="28" w:name="evidence-against-the-hypothesis"/>
      <w:r>
        <w:t xml:space="preserve">2. EVIDENCE AGAINST THE HYPOTHESIS</w:t>
      </w:r>
      <w:bookmarkEnd w:id="28"/>
    </w:p>
    <w:p>
      <w:pPr>
        <w:pStyle w:val="Heading3"/>
      </w:pPr>
      <w:bookmarkStart w:id="29" w:name="Xc838bd7351c0e98718434149c5611029c38d5b8"/>
      <w:r>
        <w:t xml:space="preserve">A. Sunrun’s Actual Financial Position Is More Nuanced Than the Z-Score Suggests</w:t>
      </w:r>
      <w:bookmarkEnd w:id="29"/>
    </w:p>
    <w:p>
      <w:pPr>
        <w:pStyle w:val="FirstParagraph"/>
      </w:pPr>
      <w:r>
        <w:t xml:space="preserve">The Altman Z-Score is</w:t>
      </w:r>
      <w:r>
        <w:t xml:space="preserve"> </w:t>
      </w:r>
      <w:r>
        <w:rPr>
          <w:b/>
        </w:rPr>
        <w:t xml:space="preserve">deeply misleading</w:t>
      </w:r>
      <w:r>
        <w:t xml:space="preserve"> </w:t>
      </w:r>
      <w:r>
        <w:t xml:space="preserve">when applied to a company with Sunrun’s business model. Sunrun’s debt is primarily</w:t>
      </w:r>
      <w:r>
        <w:t xml:space="preserve"> </w:t>
      </w:r>
      <w:r>
        <w:rPr>
          <w:b/>
        </w:rPr>
        <w:t xml:space="preserve">non-recourse, asset-backed securitization debt</w:t>
      </w:r>
      <w:r>
        <w:t xml:space="preserve"> </w:t>
      </w:r>
      <w:r>
        <w:t xml:space="preserve">— legally ring-fenced to subsidiary SPVs backed by 20–25-year contracted cash flows from homeowner PPAs and leases. This is structurally different from the leverage that triggers Z-Score distress in manufacturing or retail contexts.</w:t>
      </w:r>
    </w:p>
    <w:p>
      <w:pPr>
        <w:pStyle w:val="BodyText"/>
      </w:pPr>
      <w:r>
        <w:t xml:space="preserve">The operating evidence strongly contradicts imminent distress:</w:t>
      </w:r>
    </w:p>
    <w:p>
      <w:pPr>
        <w:numPr>
          <w:ilvl w:val="0"/>
          <w:numId w:val="1001"/>
        </w:numPr>
      </w:pPr>
      <w:r>
        <w:t xml:space="preserve">Net change in cash and restricted cash of $290 million and Cash Generation of $377 million in 2025.</w:t>
      </w:r>
    </w:p>
    <w:p>
      <w:pPr>
        <w:numPr>
          <w:ilvl w:val="0"/>
          <w:numId w:val="1001"/>
        </w:numPr>
      </w:pPr>
      <w:r>
        <w:t xml:space="preserve">Sunrun exceeded the midpoint of its Cash Generation guidance for the year. The company paid down $148 million of recourse debt while increasing its unrestricted cash balance by $248 million in the year.</w:t>
      </w:r>
    </w:p>
    <w:p>
      <w:pPr>
        <w:numPr>
          <w:ilvl w:val="0"/>
          <w:numId w:val="1001"/>
        </w:numPr>
      </w:pPr>
      <w:r>
        <w:t xml:space="preserve">Sunrun has no recourse debt maturities until March 2028.</w:t>
      </w:r>
      <w:r>
        <w:t xml:space="preserve"> </w:t>
      </w:r>
      <w:r>
        <w:t xml:space="preserve">(Note: as of late 2025 the maturity was extended;</w:t>
      </w:r>
      <w:r>
        <w:t xml:space="preserve"> </w:t>
      </w:r>
      <w:r>
        <w:t xml:space="preserve">in December 2025, Sunrun extended the maturity of its working capital facility by one year to March 2028.</w:t>
      </w:r>
      <w:r>
        <w:t xml:space="preserve"> </w:t>
      </w:r>
      <w:r>
        <w:t xml:space="preserve">)</w:t>
      </w:r>
    </w:p>
    <w:p>
      <w:pPr>
        <w:numPr>
          <w:ilvl w:val="0"/>
          <w:numId w:val="1001"/>
        </w:numPr>
      </w:pPr>
      <w:r>
        <w:t xml:space="preserve">Year-to-date, Sunrun raised approximately $2.8 billion of non-recourse debt in 2025, including $2.4 billion of senior debt across five securitizations.</w:t>
      </w:r>
    </w:p>
    <w:p>
      <w:pPr>
        <w:numPr>
          <w:ilvl w:val="0"/>
          <w:numId w:val="1001"/>
        </w:numPr>
      </w:pPr>
      <w:r>
        <w:t xml:space="preserve">Sunrun announced its fifteenth securitization since 2015 and fifth issuance in 2025.</w:t>
      </w:r>
      <w:r>
        <w:t xml:space="preserve"> </w:t>
      </w:r>
      <w:r>
        <w:t xml:space="preserve">Repeat oversubscribed securitization access is fundamentally incompatible with near-term bankruptcy — ABS markets would shut to a truly distressed issuer.</w:t>
      </w:r>
    </w:p>
    <w:p>
      <w:pPr>
        <w:pStyle w:val="FirstParagraph"/>
      </w:pPr>
      <w:r>
        <w:rPr>
          <w:b/>
        </w:rPr>
        <w:t xml:space="preserve">Assessment</w:t>
      </w:r>
      <w:r>
        <w:t xml:space="preserve">: Sunrun is</w:t>
      </w:r>
      <w:r>
        <w:t xml:space="preserve"> </w:t>
      </w:r>
      <w:r>
        <w:rPr>
          <w:b/>
        </w:rPr>
        <w:t xml:space="preserve">financially stressed but highly unlikely to file bankruptcy before 2028</w:t>
      </w:r>
      <w:r>
        <w:t xml:space="preserve"> </w:t>
      </w:r>
      <w:r>
        <w:t xml:space="preserve">based on current cash generation, securitization access, and the March 2028 recourse maturity wall. The Z-Score, which does not distinguish recourse from non-recourse leverage or account for contracted subscriber revenue, is not an appropriate single-metric indicator for this business model.</w:t>
      </w:r>
    </w:p>
    <w:p>
      <w:pPr>
        <w:pStyle w:val="Heading3"/>
      </w:pPr>
      <w:bookmarkStart w:id="30" w:name="X11b067e1ca83b1c17fa0022d993973860d8b6e1"/>
      <w:r>
        <w:t xml:space="preserve">B. Gridshare’s Sunrun Exposure Is Being Actively Diversified</w:t>
      </w:r>
      <w:bookmarkEnd w:id="30"/>
    </w:p>
    <w:p>
      <w:pPr>
        <w:pStyle w:val="FirstParagraph"/>
      </w:pPr>
      <w:r>
        <w:t xml:space="preserve">Lunar’s own public communications reveal meaningful diversification already underway, which partially undermines the</w:t>
      </w:r>
      <w:r>
        <w:t xml:space="preserve"> </w:t>
      </w:r>
      <w:r>
        <w:t xml:space="preserve">“</w:t>
      </w:r>
      <w:r>
        <w:t xml:space="preserve">existential concentration</w:t>
      </w:r>
      <w:r>
        <w:t xml:space="preserve">”</w:t>
      </w:r>
      <w:r>
        <w:t xml:space="preserve"> </w:t>
      </w:r>
      <w:r>
        <w:t xml:space="preserve">hypothesis:</w:t>
      </w:r>
    </w:p>
    <w:p>
      <w:pPr>
        <w:numPr>
          <w:ilvl w:val="0"/>
          <w:numId w:val="1002"/>
        </w:numPr>
      </w:pPr>
      <w:r>
        <w:t xml:space="preserve">Ava has partnered with Lunar Energy to execute their Virtual Power Plant (VPP) strategy, aimed at helping its 2M customers optimize their energy investments while relieving stress on the grid.</w:t>
      </w:r>
      <w:r>
        <w:t xml:space="preserve"> </w:t>
      </w:r>
      <w:r>
        <w:t xml:space="preserve">This is an independent California CCA (Community Choice Aggregator) contract with no Sunrun involvement.</w:t>
      </w:r>
    </w:p>
    <w:p>
      <w:pPr>
        <w:numPr>
          <w:ilvl w:val="0"/>
          <w:numId w:val="1002"/>
        </w:numPr>
      </w:pPr>
      <w:r>
        <w:t xml:space="preserve">Lunar Gridshare will enable new battery programs with Peninsula Clean Energy and Silicon Valley Clean Energy to reduce customer bills and emissions.</w:t>
      </w:r>
    </w:p>
    <w:p>
      <w:pPr>
        <w:numPr>
          <w:ilvl w:val="0"/>
          <w:numId w:val="1002"/>
        </w:numPr>
      </w:pPr>
      <w:r>
        <w:t xml:space="preserve">Lunar Gridshare is used by California Community Choice Aggregators to develop and deploy new distributed power programs across the state, and utilities and energy retailers in Europe and Asia similarly work with Lunar to accelerate the energy transition.</w:t>
      </w:r>
    </w:p>
    <w:p>
      <w:pPr>
        <w:numPr>
          <w:ilvl w:val="0"/>
          <w:numId w:val="1002"/>
        </w:numPr>
      </w:pPr>
      <w:r>
        <w:t xml:space="preserve">The company reports thousands of systems deployed and about 650 MW of devices under management.</w:t>
      </w:r>
    </w:p>
    <w:p>
      <w:pPr>
        <w:pStyle w:val="FirstParagraph"/>
      </w:pPr>
      <w:r>
        <w:t xml:space="preserve">The 650MW of devices under management globally suggests Gridshare’s Sunrun-exclusive California exposure is becoming a smaller percentage of total platform AUM, though Sunrun remains by far the largest single account.</w:t>
      </w:r>
    </w:p>
    <w:p>
      <w:pPr>
        <w:pStyle w:val="Heading3"/>
      </w:pPr>
      <w:bookmarkStart w:id="31" w:name="Xc50c0c1121471f2b9fddca83ad2172370d454bc"/>
      <w:r>
        <w:t xml:space="preserve">C. Alternative Distribution Has Been Established — But at Early Scale</w:t>
      </w:r>
      <w:bookmarkEnd w:id="31"/>
    </w:p>
    <w:p>
      <w:pPr>
        <w:pStyle w:val="FirstParagraph"/>
      </w:pPr>
      <w:r>
        <w:t xml:space="preserve">Greentech Renewables carries Lunar Energy products and the Lunar System is described as engineered to be easy to install, commission, and maintain.</w:t>
      </w:r>
    </w:p>
    <w:p>
      <w:pPr>
        <w:pStyle w:val="BodyText"/>
      </w:pPr>
      <w:r>
        <w:t xml:space="preserve">Greentech Renewables sells Lunar Energy Products and other solar equipment at the most competitive prices.</w:t>
      </w:r>
      <w:r>
        <w:t xml:space="preserve"> </w:t>
      </w:r>
      <w:r>
        <w:t xml:space="preserve">This confirms Lunar has established a distribution relationship with Greentech Renewables (formerly CED Greentech), one of the largest solar wholesale distributors in North America — a meaningful structural hedge against total Sunrun dependency on the hardware side.</w:t>
      </w:r>
    </w:p>
    <w:p>
      <w:pPr>
        <w:pStyle w:val="Heading3"/>
      </w:pPr>
      <w:bookmarkStart w:id="32" w:name="Xfde33ebb4ca9c3bf91c6d5f4c9a3d9d2455af7f"/>
      <w:r>
        <w:t xml:space="preserve">D. Tesla Brand Risk to Sunrun May Provide Defensive Opening for Lunar</w:t>
      </w:r>
      <w:bookmarkEnd w:id="32"/>
    </w:p>
    <w:p>
      <w:pPr>
        <w:pStyle w:val="FirstParagraph"/>
      </w:pPr>
      <w:r>
        <w:t xml:space="preserve">Powerwall home battery sales showed signs of weakening in 2025 as customers-to-be registered extreme displeasure with Tesla CEO Elon Musk’s extracurricular activities. If a Cybertruck-worthy slide continues, that spells trouble.</w:t>
      </w:r>
      <w:r>
        <w:t xml:space="preserve"> </w:t>
      </w:r>
      <w:r>
        <w:t xml:space="preserve">If Sunrun’s Tesla relationship weakens due to consumer sentiment, Lunar hardware becomes Sunrun’s most viable alternative high-quality battery product — paradoxically making concentration a strategic asset in a Tesla-demand downturn scenario.</w:t>
      </w:r>
    </w:p>
    <w:p>
      <w:pPr>
        <w:pStyle w:val="Heading3"/>
      </w:pPr>
      <w:bookmarkStart w:id="33" w:name="X2ed67514484e23cfecd16892f5999634696135f"/>
      <w:r>
        <w:t xml:space="preserve">E. Sunrun’s Storage-First Strategy Structurally Expands the Total Addressable Market</w:t>
      </w:r>
      <w:bookmarkEnd w:id="33"/>
    </w:p>
    <w:p>
      <w:pPr>
        <w:pStyle w:val="FirstParagraph"/>
      </w:pPr>
      <w:r>
        <w:t xml:space="preserve">Sunrun’s storage attachment rate was 71% in Q4 2025, up from 62% in the prior-year period.</w:t>
      </w:r>
    </w:p>
    <w:p>
      <w:pPr>
        <w:pStyle w:val="BodyText"/>
      </w:pPr>
      <w:r>
        <w:t xml:space="preserve">Sunrun has installed more than 237,000 storage and solar systems, representing approximately 4.0 Gigawatt hours of Networked Storage Capacity.</w:t>
      </w:r>
      <w:r>
        <w:t xml:space="preserve"> </w:t>
      </w:r>
      <w:r>
        <w:t xml:space="preserve">A growing storage fleet means more non-Tesla batteries potentially requiring Gridshare management, even as the Tesla portion scales. The question is the</w:t>
      </w:r>
      <w:r>
        <w:t xml:space="preserve"> </w:t>
      </w:r>
      <w:r>
        <w:rPr>
          <w:i/>
        </w:rPr>
        <w:t xml:space="preserve">ratio</w:t>
      </w:r>
      <w:r>
        <w:t xml:space="preserve">, not just the absolute count.</w:t>
      </w:r>
    </w:p>
    <w:p>
      <w:r>
        <w:pict>
          <v:rect style="width:0;height:1.5pt" o:hralign="center" o:hrstd="t" o:hr="t"/>
        </w:pict>
      </w:r>
    </w:p>
    <w:p>
      <w:pPr>
        <w:pStyle w:val="Heading2"/>
      </w:pPr>
      <w:bookmarkStart w:id="34" w:name="comparable-examples"/>
      <w:r>
        <w:t xml:space="preserve">3. COMPARABLE EXAMPLES</w:t>
      </w:r>
      <w:bookmarkEnd w:id="34"/>
    </w:p>
    <w:p>
      <w:pPr>
        <w:pStyle w:val="Heading3"/>
      </w:pPr>
      <w:bookmarkStart w:id="35" w:name="X53836ee251cf66ed935929d18e003a31da12fe2"/>
      <w:r>
        <w:t xml:space="preserve">A. SunPower Bankruptcy (2024) — Technology Vendor Contracts</w:t>
      </w:r>
      <w:bookmarkEnd w:id="35"/>
    </w:p>
    <w:p>
      <w:pPr>
        <w:pStyle w:val="FirstParagraph"/>
      </w:pPr>
      <w:r>
        <w:t xml:space="preserve">This is the most direct comparable.</w:t>
      </w:r>
      <w:r>
        <w:t xml:space="preserve"> </w:t>
      </w:r>
      <w:r>
        <w:t xml:space="preserve">On August 5th, 2024, SunPower Corporation announced it had filed a Chapter 11 bankruptcy petition. The announcement came just 19 days after the company stopped supporting all lease and power purchase agreements and 103 days after it announced massive layoffs and the end of its direct installation business.</w:t>
      </w:r>
      <w:r>
        <w:t xml:space="preserve"> </w:t>
      </w:r>
      <w:r>
        <w:t xml:space="preserve">The key lesson for Gridshare:</w:t>
      </w:r>
      <w:r>
        <w:t xml:space="preserve"> </w:t>
      </w:r>
      <w:r>
        <w:t xml:space="preserve">SunStrong Management took over the mySunPower application. SunStrong, in partnership with Launch Servicing, now services solar lease and PPA contracts previously managed by SunPower.</w:t>
      </w:r>
      <w:r>
        <w:t xml:space="preserve"> </w:t>
      </w:r>
      <w:r>
        <w:t xml:space="preserve">Third-party technology vendors (monitoring, software) were</w:t>
      </w:r>
      <w:r>
        <w:t xml:space="preserve"> </w:t>
      </w:r>
      <w:r>
        <w:rPr>
          <w:b/>
        </w:rPr>
        <w:t xml:space="preserve">not automatically assumed by the acquirer</w:t>
      </w:r>
      <w:r>
        <w:t xml:space="preserve"> </w:t>
      </w:r>
      <w:r>
        <w:t xml:space="preserve">— their contracts required renegotiation, and some services were restructured into premium paid tiers. For Gridshare, a Sunrun Chapter 11 would almost certainly result in:</w:t>
      </w:r>
      <w:r>
        <w:t xml:space="preserve"> </w:t>
      </w:r>
      <w:r>
        <w:t xml:space="preserve">1. Payment disruptions during the automatic stay period</w:t>
      </w:r>
      <w:r>
        <w:t xml:space="preserve"> </w:t>
      </w:r>
      <w:r>
        <w:t xml:space="preserve">2. A reorganized entity or acquirer re-evaluating software contract terms</w:t>
      </w:r>
      <w:r>
        <w:t xml:space="preserve"> </w:t>
      </w:r>
      <w:r>
        <w:t xml:space="preserve">3. Potential rejection of above-market software contracts under 11 U.S.C. § 365</w:t>
      </w:r>
    </w:p>
    <w:p>
      <w:pPr>
        <w:pStyle w:val="BodyText"/>
      </w:pPr>
      <w:r>
        <w:t xml:space="preserve">The SunPower docket confirms that technology vendors did contest cure amounts:</w:t>
      </w:r>
      <w:r>
        <w:t xml:space="preserve"> </w:t>
      </w:r>
      <w:r>
        <w:t xml:space="preserve">Pursuant to 11 U.S.C. § 365(b)(1)(A), the debtors must cure any defaults under the MSA in connection with any proposed assumption, as well as provide adequate assurance of future performance. Debtors’ Proposed Cure Amount fails to cure the existing defaults under the MSA.</w:t>
      </w:r>
    </w:p>
    <w:p>
      <w:pPr>
        <w:pStyle w:val="Heading3"/>
      </w:pPr>
      <w:bookmarkStart w:id="36" w:name="b.-sunnova-2025-industry-pattern"/>
      <w:r>
        <w:t xml:space="preserve">B. Sunnova (2025) — Industry Pattern</w:t>
      </w:r>
      <w:bookmarkEnd w:id="36"/>
    </w:p>
    <w:p>
      <w:pPr>
        <w:pStyle w:val="FirstParagraph"/>
      </w:pPr>
      <w:r>
        <w:t xml:space="preserve">Sunnova’s Chapter 11 filing in June 2025 and Mosaic’s filing for Chapter 11 in June 2025 represent recent additions to a wave of solar company bankruptcies.</w:t>
      </w:r>
      <w:r>
        <w:t xml:space="preserve"> </w:t>
      </w:r>
      <w:r>
        <w:t xml:space="preserve">The residential solar installer financing model is under sector-wide stress, validating that Sunrun’s financial position is part of a systemic pattern, not an idiosyncratic outlier.</w:t>
      </w:r>
    </w:p>
    <w:p>
      <w:pPr>
        <w:pStyle w:val="Heading3"/>
      </w:pPr>
      <w:bookmarkStart w:id="37" w:name="Xcd1893d914f27375a7fb6d10a56237288054b42"/>
      <w:r>
        <w:t xml:space="preserve">C. Aurora Solar / SunPower — Software Vendor Dependency</w:t>
      </w:r>
      <w:bookmarkEnd w:id="37"/>
    </w:p>
    <w:p>
      <w:pPr>
        <w:pStyle w:val="FirstParagraph"/>
      </w:pPr>
      <w:r>
        <w:t xml:space="preserve">Aurora Solar appeared as a creditor in the SunPower bankruptcy docket. Technology vendors to solar installers are general unsecured creditors in Chapter 11 proceedings and recover pennies on the dollar, if anything, for pre-petition receivables. Post-petition services must be negotiated at arm’s length with the DIP lender’s approval.</w:t>
      </w:r>
    </w:p>
    <w:p>
      <w:pPr>
        <w:pStyle w:val="Heading3"/>
      </w:pPr>
      <w:bookmarkStart w:id="38" w:name="X0baaa9299053ec671cfd5ebe1ad202318100145"/>
      <w:r>
        <w:t xml:space="preserve">D. Tesla VPP Model — Vertical Integration Structural Risk</w:t>
      </w:r>
      <w:bookmarkEnd w:id="38"/>
    </w:p>
    <w:p>
      <w:pPr>
        <w:pStyle w:val="FirstParagraph"/>
      </w:pPr>
      <w:r>
        <w:t xml:space="preserve">Tesla’s management of its own Powerwall fleet through Tesla’s native software is a structural parallel: Tesla built vertical lock-in (hardware + software + VPP) that limits third-party aggregators like Gridshare. As Sunrun increasingly standardizes on Tesla Powerwall (evidenced by CalReady’s 75,000 Tesla systems), the portion of Sunrun’s fleet addressable by Gridshare shrinks mechanically, even without any contractual change.</w:t>
      </w:r>
    </w:p>
    <w:p>
      <w:r>
        <w:pict>
          <v:rect style="width:0;height:1.5pt" o:hralign="center" o:hrstd="t" o:hr="t"/>
        </w:pict>
      </w:r>
    </w:p>
    <w:p>
      <w:pPr>
        <w:pStyle w:val="Heading2"/>
      </w:pPr>
      <w:bookmarkStart w:id="39" w:name="feasibility-assessment"/>
      <w:r>
        <w:t xml:space="preserve">4. FEASIBILITY ASSESSMENT</w:t>
      </w:r>
      <w:bookmarkEnd w:id="39"/>
    </w:p>
    <w:p>
      <w:pPr>
        <w:pStyle w:val="Heading3"/>
      </w:pPr>
      <w:bookmarkStart w:id="40" w:name="Xc99e1cf3c1eb5ba50bef31809847b5c5617fb69"/>
      <w:r>
        <w:t xml:space="preserve">Research Question 1: Revenue Concentration (What % of Lunar Revenue Comes from Sunrun?)</w:t>
      </w:r>
      <w:bookmarkEnd w:id="40"/>
    </w:p>
    <w:p>
      <w:pPr>
        <w:pStyle w:val="FirstParagraph"/>
      </w:pPr>
      <w:r>
        <w:rPr>
          <w:b/>
        </w:rPr>
        <w:t xml:space="preserve">Finding</w:t>
      </w:r>
      <w:r>
        <w:t xml:space="preserve">:</w:t>
      </w:r>
      <w:r>
        <w:t xml:space="preserve"> </w:t>
      </w:r>
      <w:r>
        <w:rPr>
          <w:b/>
        </w:rPr>
        <w:t xml:space="preserve">Not publicly disclosed</w:t>
      </w:r>
      <w:r>
        <w:t xml:space="preserve">. Neither Lunar (private company, no SEC obligations) nor Sunrun’s SEC filings accessible via web search contain a quantified revenue figure for the Sunrun-Lunar commercial relationship. The 2024 Sunrun 10-K cover page and filing excerpts retrieved contain no mention of</w:t>
      </w:r>
      <w:r>
        <w:t xml:space="preserve"> </w:t>
      </w:r>
      <w:r>
        <w:t xml:space="preserve">“</w:t>
      </w:r>
      <w:r>
        <w:t xml:space="preserve">Lunar Energy,</w:t>
      </w:r>
      <w:r>
        <w:t xml:space="preserve">”</w:t>
      </w:r>
      <w:r>
        <w:t xml:space="preserve"> </w:t>
      </w:r>
      <w:r>
        <w:t xml:space="preserve">“</w:t>
      </w:r>
      <w:r>
        <w:t xml:space="preserve">Gridshare,</w:t>
      </w:r>
      <w:r>
        <w:t xml:space="preserve">”</w:t>
      </w:r>
      <w:r>
        <w:t xml:space="preserve"> </w:t>
      </w:r>
      <w:r>
        <w:t xml:space="preserve">or</w:t>
      </w:r>
      <w:r>
        <w:t xml:space="preserve"> </w:t>
      </w:r>
      <w:r>
        <w:t xml:space="preserve">“</w:t>
      </w:r>
      <w:r>
        <w:t xml:space="preserve">Moixa</w:t>
      </w:r>
      <w:r>
        <w:t xml:space="preserve">”</w:t>
      </w:r>
      <w:r>
        <w:t xml:space="preserve"> </w:t>
      </w:r>
      <w:r>
        <w:t xml:space="preserve">in the sections accessible via web search. This is a significant disclosure gap. Under ASC 850 (Related Party Disclosures), Sunrun is required to disclose material transactions with related parties — including Lunar, given the 37% ownership stake. The absence of this disclosure in accessible filing excerpts suggests either (a) the transaction is deemed immaterial relative to Sunrun’s total revenue, or (b) it is disclosed in sections not returned by search.</w:t>
      </w:r>
      <w:r>
        <w:t xml:space="preserve"> </w:t>
      </w:r>
      <w:r>
        <w:rPr>
          <w:b/>
        </w:rPr>
        <w:t xml:space="preserve">Absence of prominent disclosure itself signals limited Gridshare revenue magnitude relative to Sunrun’s scale.</w:t>
      </w:r>
    </w:p>
    <w:p>
      <w:pPr>
        <w:pStyle w:val="BodyText"/>
      </w:pPr>
      <w:r>
        <w:t xml:space="preserve">Qualitative triangulation: Sunrun’s total revenue was approximately $1.16B in Q4 2025 alone.</w:t>
      </w:r>
      <w:r>
        <w:t xml:space="preserve"> </w:t>
      </w:r>
      <w:r>
        <w:t xml:space="preserve">Total revenue was $1,158.8 million in the fourth quarter of 2025, up $640.3 million, or 124%, from the fourth quarter of 2024.</w:t>
      </w:r>
      <w:r>
        <w:t xml:space="preserve"> </w:t>
      </w:r>
      <w:r>
        <w:t xml:space="preserve">Even if Gridshare fees represent $10–20M annually to Lunar, this would be a rounding error in Sunrun’s P&amp;L and likely threshold-irrelevant for related party disclosure prominence — while potentially being existentially significant to Lunar.</w:t>
      </w:r>
    </w:p>
    <w:p>
      <w:pPr>
        <w:pStyle w:val="BodyText"/>
      </w:pPr>
      <w:r>
        <w:rPr>
          <w:b/>
        </w:rPr>
        <w:t xml:space="preserve">Payment terms</w:t>
      </w:r>
      <w:r>
        <w:t xml:space="preserve">: Not publicly disclosed. Standard SaaS/VPP contracts for utilities/aggregators typically run on net-30 to net-45 terms with annual or monthly fixed fees plus per-battery or per-dispatched-MWh variable components.</w:t>
      </w:r>
    </w:p>
    <w:p>
      <w:pPr>
        <w:pStyle w:val="Heading3"/>
      </w:pPr>
      <w:bookmarkStart w:id="41" w:name="X525ce9ee00e04ff82b535a9d34ad08be34d6691"/>
      <w:r>
        <w:t xml:space="preserve">Research Question 2: Battery Brand Breakdown</w:t>
      </w:r>
      <w:bookmarkEnd w:id="41"/>
    </w:p>
    <w:p>
      <w:pPr>
        <w:pStyle w:val="FirstParagraph"/>
      </w:pPr>
      <w:r>
        <w:rPr>
          <w:b/>
        </w:rPr>
        <w:t xml:space="preserve">Finding</w:t>
      </w:r>
      <w:r>
        <w:t xml:space="preserve">: No public database (NEM/SGIP) with installer-level brand breakdown was accessible via web search. However, the available evidence paints a clear directional picture:</w:t>
      </w:r>
      <w:r>
        <w:t xml:space="preserve"> </w:t>
      </w:r>
      <w:r>
        <w:t xml:space="preserve">- CalReady (75,000 systems):</w:t>
      </w:r>
      <w:r>
        <w:t xml:space="preserve"> </w:t>
      </w:r>
      <w:r>
        <w:t xml:space="preserve">The company uses Tesla’s Powerwall 3</w:t>
      </w:r>
      <w:r>
        <w:t xml:space="preserve"> </w:t>
      </w:r>
      <w:r>
        <w:t xml:space="preserve">— confirming Tesla dominance in Sunrun’s flagship California VPP</w:t>
      </w:r>
      <w:r>
        <w:t xml:space="preserve"> </w:t>
      </w:r>
      <w:r>
        <w:t xml:space="preserve">- Sunrun’s non-CalReady markets (New England, Hawaii, Puerto Rico): These use a mix including Lunar hardware and other non-Tesla batteries, managed by Gridshare</w:t>
      </w:r>
      <w:r>
        <w:t xml:space="preserve"> </w:t>
      </w:r>
      <w:r>
        <w:t xml:space="preserve">-</w:t>
      </w:r>
      <w:r>
        <w:t xml:space="preserve"> </w:t>
      </w:r>
      <w:r>
        <w:t xml:space="preserve">Gridshare manages all of Sunrun’s VPPs, including nearly 130,000 home batteries — most from non-Lunar manufacturers</w:t>
      </w:r>
    </w:p>
    <w:p>
      <w:pPr>
        <w:numPr>
          <w:ilvl w:val="0"/>
          <w:numId w:val="1003"/>
        </w:numPr>
        <w:pStyle w:val="Compact"/>
      </w:pPr>
      <w:r>
        <w:t xml:space="preserve">This creates a critical inference: Gridshare manages ~130,000 Sunrun batteries, but CalReady alone is 75,000 Tesla units. If Tesla units are excluded from Gridshare (managed by Tesla’s software), then Gridshare may manage only ~55,000 non-Tesla Sunrun batteries plus an indeterminate count of Tesla units where Sunrun deploys Gridshare as an overlay. The</w:t>
      </w:r>
      <w:r>
        <w:t xml:space="preserve"> </w:t>
      </w:r>
      <w:r>
        <w:t xml:space="preserve">“</w:t>
      </w:r>
      <w:r>
        <w:t xml:space="preserve">most from non-Lunar manufacturers</w:t>
      </w:r>
      <w:r>
        <w:t xml:space="preserve">”</w:t>
      </w:r>
      <w:r>
        <w:t xml:space="preserve"> </w:t>
      </w:r>
      <w:r>
        <w:t xml:space="preserve">language further suggests Lunar’s own hardware is a small fraction of its own VPP fleet.</w:t>
      </w:r>
    </w:p>
    <w:p>
      <w:pPr>
        <w:pStyle w:val="FirstParagraph"/>
      </w:pPr>
      <w:r>
        <w:rPr>
          <w:b/>
        </w:rPr>
        <w:t xml:space="preserve">Net directional finding</w:t>
      </w:r>
      <w:r>
        <w:t xml:space="preserve">: Tesla’s share of Sunrun’s fleet is large and growing; Gridshare’s addressable Sunrun fleet is growing more slowly.</w:t>
      </w:r>
    </w:p>
    <w:p>
      <w:pPr>
        <w:pStyle w:val="Heading3"/>
      </w:pPr>
      <w:bookmarkStart w:id="42" w:name="Xc3ddc284524e1e543cd8e56a9280cc6b52b1d6c"/>
      <w:r>
        <w:t xml:space="preserve">Research Question 3: Sunrun SEC Governance Disclosures for Lunar Relationship</w:t>
      </w:r>
      <w:bookmarkEnd w:id="42"/>
    </w:p>
    <w:p>
      <w:pPr>
        <w:pStyle w:val="FirstParagraph"/>
      </w:pPr>
      <w:r>
        <w:rPr>
          <w:b/>
        </w:rPr>
        <w:t xml:space="preserve">Finding</w:t>
      </w:r>
      <w:r>
        <w:t xml:space="preserve">: The 2024 proxy (DEF 14A filed 2025) confirms</w:t>
      </w:r>
      <w:r>
        <w:t xml:space="preserve"> </w:t>
      </w:r>
      <w:r>
        <w:t xml:space="preserve">Mr. Fenster and Ms. Jurich currently serve as Co-Executive Chairs and directors of the Company.</w:t>
      </w:r>
      <w:r>
        <w:t xml:space="preserve"> </w:t>
      </w:r>
      <w:r>
        <w:t xml:space="preserve">However, no recusal policy specific to Lunar Energy transactions, no related-party approval process for Gridshare payments, and no conflict-of-interest protocol addressing Jurich’s dual role (Sunrun Co-Chair + Lunar Board Chair) appears in the accessible proxy text. The proxy does confirm a Lead Independent Director structure:</w:t>
      </w:r>
      <w:r>
        <w:t xml:space="preserve"> </w:t>
      </w:r>
      <w:r>
        <w:t xml:space="preserve">Sunrun’s Corporate Governance Guidelines require that if they do not have an independent chairperson, they will appoint a Lead Independent Director.</w:t>
      </w:r>
      <w:r>
        <w:t xml:space="preserve"> </w:t>
      </w:r>
      <w:r>
        <w:t xml:space="preserve">This implies Alan Ferber serves as Lead Independent Director — but the proxy does not disclose whether Ferber chairs any committee evaluating Lunar-related transactions.</w:t>
      </w:r>
    </w:p>
    <w:p>
      <w:pPr>
        <w:pStyle w:val="BodyText"/>
      </w:pPr>
      <w:r>
        <w:rPr>
          <w:b/>
        </w:rPr>
        <w:t xml:space="preserve">Governance assessment</w:t>
      </w:r>
      <w:r>
        <w:t xml:space="preserve">: The structure presents a textbook related-party governance gap. Jurich chairs the board of a company that sells services to Sunrun, while serving as Sunrun’s Co-Executive Chair. Standard governance practice would require: (1) Jurich recusal from any Sunrun board decision on Gridshare/Lunar contracts, (2) audit committee approval of related-party transactions, and (3) annual disclosure of the commercial terms. None of these is publicly evidenced.</w:t>
      </w:r>
    </w:p>
    <w:p>
      <w:pPr>
        <w:pStyle w:val="Heading3"/>
      </w:pPr>
      <w:bookmarkStart w:id="43" w:name="X61c52483e5f04171034e73c6259157cba1a9d3f"/>
      <w:r>
        <w:t xml:space="preserve">Research Question 4: Sunrun’s Probability of Financial Distress Before 2028</w:t>
      </w:r>
      <w:bookmarkEnd w:id="43"/>
    </w:p>
    <w:p>
      <w:pPr>
        <w:pStyle w:val="FirstParagraph"/>
      </w:pPr>
      <w:r>
        <w:rPr>
          <w:b/>
        </w:rPr>
        <w:t xml:space="preserve">Probability estimate: LOW-TO-MODERATE (15–25% probability of Chapter 11 before 2028)</w:t>
      </w:r>
    </w:p>
    <w:p>
      <w:pPr>
        <w:pStyle w:val="Heading2"/>
      </w:pPr>
      <w:bookmarkStart w:id="44" w:name="factors-supporting-lower-probability"/>
      <w:r>
        <w:t xml:space="preserve">Factors supporting lower probability:</w:t>
      </w:r>
      <w:bookmarkEnd w:id="44"/>
    </w:p>
    <w:p>
      <w:pPr>
        <w:pStyle w:val="FirstParagraph"/>
      </w:pPr>
      <w:r>
        <w:t xml:space="preserve">No recourse debt maturities until March 2028.</w:t>
      </w:r>
    </w:p>
    <w:p>
      <w:pPr>
        <w:numPr>
          <w:ilvl w:val="0"/>
          <w:numId w:val="1004"/>
        </w:numPr>
      </w:pPr>
      <w:r>
        <w:t xml:space="preserve">Strong securitization access:</w:t>
      </w:r>
      <w:r>
        <w:t xml:space="preserve"> </w:t>
      </w:r>
      <w:r>
        <w:t xml:space="preserve">“</w:t>
      </w:r>
      <w:r>
        <w:t xml:space="preserve">Sunrun continues to show deep capital markets access, leveraging its strong relationships with both public and private investor groups.</w:t>
      </w:r>
      <w:r>
        <w:t xml:space="preserve">”</w:t>
      </w:r>
      <w:r>
        <w:t xml:space="preserve"> </w:t>
      </w:r>
      <w:r>
        <w:t xml:space="preserve">Sunrun raised more than $1.5 billion in senior and subordinated non-recourse debt financings in Q3 2025 alone.</w:t>
      </w:r>
    </w:p>
    <w:p>
      <w:pPr>
        <w:numPr>
          <w:ilvl w:val="0"/>
          <w:numId w:val="1004"/>
        </w:numPr>
      </w:pPr>
      <w:r>
        <w:t xml:space="preserve">Cash Generation expected in a range of $250 million to $450 million for full-year 2026.</w:t>
      </w:r>
    </w:p>
    <w:p>
      <w:pPr>
        <w:pStyle w:val="Heading2"/>
      </w:pPr>
      <w:bookmarkStart w:id="45" w:name="factors-supporting-higher-probability"/>
      <w:r>
        <w:t xml:space="preserve">Factors supporting higher probability:</w:t>
      </w:r>
      <w:bookmarkEnd w:id="45"/>
    </w:p>
    <w:p>
      <w:pPr>
        <w:pStyle w:val="FirstParagraph"/>
      </w:pPr>
      <w:r>
        <w:t xml:space="preserve">The Altman Z-Score of -0.47, while imperfect for this model, signals structural leverage stress.</w:t>
      </w:r>
    </w:p>
    <w:p>
      <w:pPr>
        <w:numPr>
          <w:ilvl w:val="0"/>
          <w:numId w:val="1005"/>
        </w:numPr>
      </w:pPr>
      <w:r>
        <w:t xml:space="preserve">Convertible note and working capital facility pressures:</w:t>
      </w:r>
      <w:r>
        <w:t xml:space="preserve"> </w:t>
      </w:r>
      <w:r>
        <w:t xml:space="preserve">During Q4 2025, Sunrun repaid $81 million of recourse debt, reducing borrowings under its Working Capital Facility.</w:t>
      </w:r>
    </w:p>
    <w:p>
      <w:pPr>
        <w:numPr>
          <w:ilvl w:val="0"/>
          <w:numId w:val="1005"/>
        </w:numPr>
      </w:pPr>
      <w:r>
        <w:t xml:space="preserve">The residential solar sector is in distress:</w:t>
      </w:r>
      <w:r>
        <w:t xml:space="preserve"> </w:t>
      </w:r>
      <w:r>
        <w:t xml:space="preserve">Recent major bankruptcies include Sunnova’s Chapter 11 filing in June 2025, Mosaic filing for Chapter 11 in June 2025, and SunPower Corporation’s filing in August 2024.</w:t>
      </w:r>
    </w:p>
    <w:p>
      <w:pPr>
        <w:numPr>
          <w:ilvl w:val="0"/>
          <w:numId w:val="1005"/>
        </w:numPr>
      </w:pPr>
      <w:r>
        <w:t xml:space="preserve">Q1 2025 stock price:</w:t>
      </w:r>
      <w:r>
        <w:t xml:space="preserve"> </w:t>
      </w:r>
      <w:r>
        <w:t xml:space="preserve">Sunrun plummeted 35.11% after a weak outlook and rising cash burn overshadowed a strong earnings report.</w:t>
      </w:r>
    </w:p>
    <w:p>
      <w:pPr>
        <w:numPr>
          <w:ilvl w:val="0"/>
          <w:numId w:val="1005"/>
        </w:numPr>
      </w:pPr>
      <w:r>
        <w:t xml:space="preserve">The March 2028 maturity wall is a specific, defined refinancing cliff — success depends on capital market conditions in late 2027/early 2028 that are unknowable today.</w:t>
      </w:r>
    </w:p>
    <w:p>
      <w:pPr>
        <w:pStyle w:val="FirstParagraph"/>
      </w:pPr>
      <w:r>
        <w:rPr>
          <w:b/>
        </w:rPr>
        <w:t xml:space="preserve">For Lunar’s planning purposes</w:t>
      </w:r>
      <w:r>
        <w:t xml:space="preserve">: Even a 15–25% probability of Sunrun distress, combined with a near-total dependency, creates an</w:t>
      </w:r>
      <w:r>
        <w:t xml:space="preserve"> </w:t>
      </w:r>
      <w:r>
        <w:rPr>
          <w:b/>
        </w:rPr>
        <w:t xml:space="preserve">expected value risk</w:t>
      </w:r>
      <w:r>
        <w:t xml:space="preserve"> </w:t>
      </w:r>
      <w:r>
        <w:t xml:space="preserve">that is categorically unacceptable for a company that has just raised $232M and needs to deploy capital over 18+ months.</w:t>
      </w:r>
    </w:p>
    <w:p>
      <w:pPr>
        <w:pStyle w:val="Heading3"/>
      </w:pPr>
      <w:bookmarkStart w:id="46" w:name="X88b8d32c8341d66a933e6b69587362d640a5208"/>
      <w:r>
        <w:t xml:space="preserve">Research Question 5: Alternative Distribution — Can Lunar Get Below 30% Sunrun Concentration in 18 Months?</w:t>
      </w:r>
      <w:bookmarkEnd w:id="46"/>
    </w:p>
    <w:p>
      <w:pPr>
        <w:pStyle w:val="FirstParagraph"/>
      </w:pPr>
      <w:r>
        <w:rPr>
          <w:b/>
        </w:rPr>
        <w:t xml:space="preserve">Hardware channel</w:t>
      </w:r>
      <w:r>
        <w:t xml:space="preserve">:</w:t>
      </w:r>
      <w:r>
        <w:t xml:space="preserve"> </w:t>
      </w:r>
      <w:r>
        <w:t xml:space="preserve">Greentech Renewables carries the Lunar System and describes it as engineered to be easy to install.</w:t>
      </w:r>
      <w:r>
        <w:t xml:space="preserve"> </w:t>
      </w:r>
      <w:r>
        <w:t xml:space="preserve">This is active and operational. Soligent and BayWa r.e. (the other major national distributors) were not confirmed as Lunar carriers in search results — representing an immediate expansion opportunity. Lunar’s national hardware distribution outside Sunrun currently appears to run primarily through Greentech, with direct-installer relationships in California.</w:t>
      </w:r>
    </w:p>
    <w:p>
      <w:pPr>
        <w:pStyle w:val="BodyText"/>
      </w:pPr>
      <w:r>
        <w:rPr>
          <w:b/>
        </w:rPr>
        <w:t xml:space="preserve">VPP/Software channel</w:t>
      </w:r>
      <w:r>
        <w:t xml:space="preserve">:</w:t>
      </w:r>
      <w:r>
        <w:t xml:space="preserve"> </w:t>
      </w:r>
      <w:r>
        <w:t xml:space="preserve">Ava has partnered with Lunar Energy to execute their VPP strategy, aimed at helping its 2M customers optimize their energy investments.</w:t>
      </w:r>
      <w:r>
        <w:t xml:space="preserve"> </w:t>
      </w:r>
      <w:r>
        <w:t xml:space="preserve">Peninsula Clean Energy, Silicon Valley Clean Energy, and TEPCO in Japan represent geographic and counterparty diversification for Gridshare.</w:t>
      </w:r>
    </w:p>
    <w:p>
      <w:pPr>
        <w:pStyle w:val="BodyText"/>
      </w:pPr>
      <w:r>
        <w:rPr>
          <w:b/>
        </w:rPr>
        <w:t xml:space="preserve">Assessment</w:t>
      </w:r>
      <w:r>
        <w:t xml:space="preserve">: Sub-30% Sunrun concentration in 18 months is</w:t>
      </w:r>
      <w:r>
        <w:t xml:space="preserve"> </w:t>
      </w:r>
      <w:r>
        <w:rPr>
          <w:b/>
        </w:rPr>
        <w:t xml:space="preserve">feasible but aggressive</w:t>
      </w:r>
      <w:r>
        <w:t xml:space="preserve"> </w:t>
      </w:r>
      <w:r>
        <w:t xml:space="preserve">and would require:</w:t>
      </w:r>
      <w:r>
        <w:t xml:space="preserve"> </w:t>
      </w:r>
      <w:r>
        <w:t xml:space="preserve">1. Greentech Renewables ramping to multi-hundred dealer accounts nationally</w:t>
      </w:r>
      <w:r>
        <w:t xml:space="preserve"> </w:t>
      </w:r>
      <w:r>
        <w:t xml:space="preserve">2. At least 2–3 additional utility or CCA Gridshare contracts of Sunrun-comparable scale</w:t>
      </w:r>
      <w:r>
        <w:t xml:space="preserve"> </w:t>
      </w:r>
      <w:r>
        <w:t xml:space="preserve">3. Sunrun hardware orders not growing proportionally faster than new channels</w:t>
      </w:r>
      <w:r>
        <w:t xml:space="preserve"> </w:t>
      </w:r>
      <w:r>
        <w:t xml:space="preserve">4. Successful geographic expansion from California to Sun Belt states (Florida, Texas, Arizona)</w:t>
      </w:r>
    </w:p>
    <w:p>
      <w:pPr>
        <w:pStyle w:val="BodyText"/>
      </w:pPr>
      <w:r>
        <w:t xml:space="preserve">Lunar aims to scale its battery fleet, growing from about 2,000 deployed systems today to about 10,000 by year’s end, and</w:t>
      </w:r>
      <w:r>
        <w:t xml:space="preserve"> </w:t>
      </w:r>
      <w:r>
        <w:t xml:space="preserve">“</w:t>
      </w:r>
      <w:r>
        <w:t xml:space="preserve">at least doubling</w:t>
      </w:r>
      <w:r>
        <w:t xml:space="preserve">”</w:t>
      </w:r>
      <w:r>
        <w:t xml:space="preserve"> </w:t>
      </w:r>
      <w:r>
        <w:t xml:space="preserve">every year after that.</w:t>
      </w:r>
      <w:r>
        <w:t xml:space="preserve"> </w:t>
      </w:r>
      <w:r>
        <w:t xml:space="preserve">At 2,000 current Lunar-brand systems (vs. Sunrun’s 237,000+ total storage fleet), Lunar’s own hardware penetration into Sunrun’s fleet is currently minimal — meaning hardware diversification is</w:t>
      </w:r>
      <w:r>
        <w:t xml:space="preserve"> </w:t>
      </w:r>
      <w:r>
        <w:rPr>
          <w:i/>
        </w:rPr>
        <w:t xml:space="preserve">already</w:t>
      </w:r>
      <w:r>
        <w:t xml:space="preserve"> </w:t>
      </w:r>
      <w:r>
        <w:t xml:space="preserve">somewhat diluted by the sheer scale of Sunrun’s non-Lunar battery fleet.</w:t>
      </w:r>
    </w:p>
    <w:p>
      <w:r>
        <w:pict>
          <v:rect style="width:0;height:1.5pt" o:hralign="center" o:hrstd="t" o:hr="t"/>
        </w:pict>
      </w:r>
    </w:p>
    <w:p>
      <w:pPr>
        <w:pStyle w:val="Heading2"/>
      </w:pPr>
      <w:bookmarkStart w:id="47" w:name="magnitude-estimate"/>
      <w:r>
        <w:t xml:space="preserve">5. MAGNITUDE ESTIMATE</w:t>
      </w:r>
      <w:bookmarkEnd w:id="47"/>
    </w:p>
    <w:p>
      <w:pPr>
        <w:pStyle w:val="FirstParagraph"/>
      </w:pPr>
      <w:r>
        <w:t xml:space="preserve">The following estimates are analytical constructions based on publicly available data, not disclosed financials: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Risk Vector</w:t>
            </w:r>
          </w:p>
        </w:tc>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Estimated Revenue Impact to Lunar</w:t>
            </w:r>
          </w:p>
        </w:tc>
      </w:tr>
      <w:tr>
        <w:tc>
          <w:p>
            <w:pPr>
              <w:pStyle w:val="Compact"/>
              <w:jc w:val="left"/>
            </w:pPr>
            <w:r>
              <w:t xml:space="preserve">Sunrun financial distress (Chapter 11)</w:t>
            </w:r>
          </w:p>
        </w:tc>
        <w:tc>
          <w:p>
            <w:pPr>
              <w:pStyle w:val="Compact"/>
              <w:jc w:val="left"/>
            </w:pPr>
            <w:r>
              <w:t xml:space="preserve">~20% probability before 2028</w:t>
            </w:r>
          </w:p>
        </w:tc>
        <w:tc>
          <w:p>
            <w:pPr>
              <w:pStyle w:val="Compact"/>
              <w:jc w:val="left"/>
            </w:pPr>
            <w:r>
              <w:rPr>
                <w:b/>
              </w:rPr>
              <w:t xml:space="preserve">Complete</w:t>
            </w:r>
            <w:r>
              <w:t xml:space="preserve"> </w:t>
            </w:r>
            <w:r>
              <w:t xml:space="preserve">simultaneous loss of both hardware orders and Gridshare payments; Lunar would need to survive ~12–24 months without its dominant revenue source</w:t>
            </w:r>
          </w:p>
        </w:tc>
      </w:tr>
      <w:tr>
        <w:tc>
          <w:p>
            <w:pPr>
              <w:pStyle w:val="Compact"/>
              <w:jc w:val="left"/>
            </w:pPr>
            <w:r>
              <w:t xml:space="preserve">Gridshare addressable market erosion via Tesla fleet growth</w:t>
            </w:r>
          </w:p>
        </w:tc>
        <w:tc>
          <w:p>
            <w:pPr>
              <w:pStyle w:val="Compact"/>
              <w:jc w:val="left"/>
            </w:pPr>
            <w:r>
              <w:t xml:space="preserve">High probability, gradual</w:t>
            </w:r>
          </w:p>
        </w:tc>
        <w:tc>
          <w:p>
            <w:pPr>
              <w:pStyle w:val="Compact"/>
              <w:jc w:val="left"/>
            </w:pPr>
            <w:r>
              <w:t xml:space="preserve">Gridshare’s software revenue ceiling from Sunrun likely grows at 50–70% the rate of Sunrun’s total storage fleet growth, due to Tesla Powerwall exclusion from Gridshare management</w:t>
            </w:r>
          </w:p>
        </w:tc>
      </w:tr>
      <w:tr>
        <w:tc>
          <w:p>
            <w:pPr>
              <w:pStyle w:val="Compact"/>
              <w:jc w:val="left"/>
            </w:pPr>
            <w:r>
              <w:t xml:space="preserve">Payment delays (Sunrun stress but no bankruptcy)</w:t>
            </w:r>
          </w:p>
        </w:tc>
        <w:tc>
          <w:p>
            <w:pPr>
              <w:pStyle w:val="Compact"/>
              <w:jc w:val="left"/>
            </w:pPr>
            <w:r>
              <w:t xml:space="preserve">Moderate probability</w:t>
            </w:r>
          </w:p>
        </w:tc>
        <w:tc>
          <w:p>
            <w:pPr>
              <w:pStyle w:val="Compact"/>
              <w:jc w:val="left"/>
            </w:pPr>
            <w:r>
              <w:t xml:space="preserve">Net-30/45 terms become net-90/180; working capital crunch for Lunar at scale</w:t>
            </w:r>
          </w:p>
        </w:tc>
      </w:tr>
      <w:tr>
        <w:tc>
          <w:p>
            <w:pPr>
              <w:pStyle w:val="Compact"/>
              <w:jc w:val="left"/>
            </w:pPr>
            <w:r>
              <w:t xml:space="preserve">Sunrun M&amp;A (acquisition by SolarCity/Tesla or financial buyer)</w:t>
            </w:r>
          </w:p>
        </w:tc>
        <w:tc>
          <w:p>
            <w:pPr>
              <w:pStyle w:val="Compact"/>
              <w:jc w:val="left"/>
            </w:pPr>
            <w:r>
              <w:t xml:space="preserve">Low-moderate probability</w:t>
            </w:r>
          </w:p>
        </w:tc>
        <w:tc>
          <w:p>
            <w:pPr>
              <w:pStyle w:val="Compact"/>
              <w:jc w:val="left"/>
            </w:pPr>
            <w:r>
              <w:t xml:space="preserve">New owner may have own software stack or renegotiate Gridshare at lower rates</w:t>
            </w:r>
          </w:p>
        </w:tc>
      </w:tr>
    </w:tbl>
    <w:p>
      <w:pPr>
        <w:pStyle w:val="BodyText"/>
      </w:pPr>
      <w:r>
        <w:rPr>
          <w:b/>
        </w:rPr>
        <w:t xml:space="preserve">Aggregate magnitude</w:t>
      </w:r>
      <w:r>
        <w:t xml:space="preserve">: If Sunrun represents even 50–70% of Lunar’s total revenue (hardware + software) — a plausible range given that Sunrun is Lunar’s only confirmed national installer and largest VPP software customer — then any Sunrun disruption scenario represents an</w:t>
      </w:r>
      <w:r>
        <w:t xml:space="preserve"> </w:t>
      </w:r>
      <w:r>
        <w:rPr>
          <w:b/>
        </w:rPr>
        <w:t xml:space="preserve">existential liquidity event</w:t>
      </w:r>
      <w:r>
        <w:t xml:space="preserve"> </w:t>
      </w:r>
      <w:r>
        <w:t xml:space="preserve">for Lunar within 6–18 months. The $232M raise provides a capital buffer, but at a burn rate consistent with a 226-person company scaling from 2,000 to 10,000 units, runway may be 18–30 months.</w:t>
      </w:r>
    </w:p>
    <w:p>
      <w:r>
        <w:pict>
          <v:rect style="width:0;height:1.5pt" o:hralign="center" o:hrstd="t" o:hr="t"/>
        </w:pict>
      </w:r>
    </w:p>
    <w:p>
      <w:pPr>
        <w:pStyle w:val="Heading2"/>
      </w:pPr>
      <w:bookmarkStart w:id="48" w:name="confidence-assessment"/>
      <w:r>
        <w:t xml:space="preserve">6. CONFIDENCE ASSESSMENT</w:t>
      </w:r>
      <w:bookmarkEnd w:id="4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Analytical Claim</w:t>
            </w:r>
          </w:p>
        </w:tc>
        <w:tc>
          <w:tcPr>
            <w:tcBorders>
              <w:bottom w:val="single"/>
            </w:tcBorders>
            <w:vAlign w:val="bottom"/>
          </w:tcPr>
          <w:p>
            <w:pPr>
              <w:pStyle w:val="Compact"/>
              <w:jc w:val="left"/>
            </w:pPr>
            <w:r>
              <w:t xml:space="preserve">Confidence</w:t>
            </w:r>
          </w:p>
        </w:tc>
        <w:tc>
          <w:tcPr>
            <w:tcBorders>
              <w:bottom w:val="single"/>
            </w:tcBorders>
            <w:vAlign w:val="bottom"/>
          </w:tcPr>
          <w:p>
            <w:pPr>
              <w:pStyle w:val="Compact"/>
              <w:jc w:val="left"/>
            </w:pPr>
            <w:r>
              <w:t xml:space="preserve">Evidence Quality</w:t>
            </w:r>
          </w:p>
        </w:tc>
      </w:tr>
      <w:tr>
        <w:tc>
          <w:p>
            <w:pPr>
              <w:pStyle w:val="Compact"/>
              <w:jc w:val="left"/>
            </w:pPr>
            <w:r>
              <w:t xml:space="preserve">Sunrun owns ~37% of Lunar</w:t>
            </w:r>
          </w:p>
        </w:tc>
        <w:tc>
          <w:p>
            <w:pPr>
              <w:pStyle w:val="Compact"/>
              <w:jc w:val="left"/>
            </w:pPr>
            <w:r>
              <w:rPr>
                <w:b/>
              </w:rPr>
              <w:t xml:space="preserve">High</w:t>
            </w:r>
            <w:r>
              <w:t xml:space="preserve"> </w:t>
            </w:r>
            <w:r>
              <w:t xml:space="preserve">(75%)</w:t>
            </w:r>
          </w:p>
        </w:tc>
        <w:tc>
          <w:p>
            <w:pPr>
              <w:pStyle w:val="Compact"/>
              <w:jc w:val="left"/>
            </w:pPr>
            <w:r>
              <w:t xml:space="preserve">Bloomberg/trade press reporting, consistent with founding round disclosures</w:t>
            </w:r>
          </w:p>
        </w:tc>
      </w:tr>
      <w:tr>
        <w:tc>
          <w:p>
            <w:pPr>
              <w:pStyle w:val="Compact"/>
              <w:jc w:val="left"/>
            </w:pPr>
            <w:r>
              <w:t xml:space="preserve">Sunrun is Lunar’s dominant revenue source</w:t>
            </w:r>
          </w:p>
        </w:tc>
        <w:tc>
          <w:p>
            <w:pPr>
              <w:pStyle w:val="Compact"/>
              <w:jc w:val="left"/>
            </w:pPr>
            <w:r>
              <w:rPr>
                <w:b/>
              </w:rPr>
              <w:t xml:space="preserve">High</w:t>
            </w:r>
            <w:r>
              <w:t xml:space="preserve"> </w:t>
            </w:r>
            <w:r>
              <w:t xml:space="preserve">(80%)</w:t>
            </w:r>
          </w:p>
        </w:tc>
        <w:tc>
          <w:p>
            <w:pPr>
              <w:pStyle w:val="Compact"/>
              <w:jc w:val="left"/>
            </w:pPr>
            <w:r>
              <w:t xml:space="preserve">Confirmed primary installer, confirmed largest Gridshare customer, no other installer of comparable scale disclosed</w:t>
            </w:r>
          </w:p>
        </w:tc>
      </w:tr>
      <w:tr>
        <w:tc>
          <w:p>
            <w:pPr>
              <w:pStyle w:val="Compact"/>
              <w:jc w:val="left"/>
            </w:pPr>
            <w:r>
              <w:t xml:space="preserve">CalReady runs on Tesla hardware, not Gridshare</w:t>
            </w:r>
          </w:p>
        </w:tc>
        <w:tc>
          <w:p>
            <w:pPr>
              <w:pStyle w:val="Compact"/>
              <w:jc w:val="left"/>
            </w:pPr>
            <w:r>
              <w:rPr>
                <w:b/>
              </w:rPr>
              <w:t xml:space="preserve">Very High</w:t>
            </w:r>
            <w:r>
              <w:t xml:space="preserve"> </w:t>
            </w:r>
            <w:r>
              <w:t xml:space="preserve">(95%)</w:t>
            </w:r>
          </w:p>
        </w:tc>
        <w:tc>
          <w:p>
            <w:pPr>
              <w:pStyle w:val="Compact"/>
              <w:jc w:val="left"/>
            </w:pPr>
            <w:r>
              <w:t xml:space="preserve">Confirmed by Sunrun’s own customer-facing page and trade press</w:t>
            </w:r>
          </w:p>
        </w:tc>
      </w:tr>
      <w:tr>
        <w:tc>
          <w:p>
            <w:pPr>
              <w:pStyle w:val="Compact"/>
              <w:jc w:val="left"/>
            </w:pPr>
            <w:r>
              <w:t xml:space="preserve">Gridshare manages ~130,000 Sunrun batteries</w:t>
            </w:r>
          </w:p>
        </w:tc>
        <w:tc>
          <w:p>
            <w:pPr>
              <w:pStyle w:val="Compact"/>
              <w:jc w:val="left"/>
            </w:pPr>
            <w:r>
              <w:rPr>
                <w:b/>
              </w:rPr>
              <w:t xml:space="preserve">High</w:t>
            </w:r>
            <w:r>
              <w:t xml:space="preserve"> </w:t>
            </w:r>
            <w:r>
              <w:t xml:space="preserve">(80%)</w:t>
            </w:r>
          </w:p>
        </w:tc>
        <w:tc>
          <w:p>
            <w:pPr>
              <w:pStyle w:val="Compact"/>
              <w:jc w:val="left"/>
            </w:pPr>
            <w:r>
              <w:t xml:space="preserve">Heatmap News citing Lunar CEO</w:t>
            </w:r>
          </w:p>
        </w:tc>
      </w:tr>
      <w:tr>
        <w:tc>
          <w:p>
            <w:pPr>
              <w:pStyle w:val="Compact"/>
              <w:jc w:val="left"/>
            </w:pPr>
            <w:r>
              <w:t xml:space="preserve">Sunrun’s Z-Score signals true imminent bankruptcy</w:t>
            </w:r>
          </w:p>
        </w:tc>
        <w:tc>
          <w:p>
            <w:pPr>
              <w:pStyle w:val="Compact"/>
              <w:jc w:val="left"/>
            </w:pPr>
            <w:r>
              <w:rPr>
                <w:b/>
              </w:rPr>
              <w:t xml:space="preserve">Low</w:t>
            </w:r>
            <w:r>
              <w:t xml:space="preserve"> </w:t>
            </w:r>
            <w:r>
              <w:t xml:space="preserve">(20%)</w:t>
            </w:r>
          </w:p>
        </w:tc>
        <w:tc>
          <w:p>
            <w:pPr>
              <w:pStyle w:val="Compact"/>
              <w:jc w:val="left"/>
            </w:pPr>
            <w:r>
              <w:t xml:space="preserve">Z-Score is structurally inappropriate for ABS-financed subscription companies</w:t>
            </w:r>
          </w:p>
        </w:tc>
      </w:tr>
      <w:tr>
        <w:tc>
          <w:p>
            <w:pPr>
              <w:pStyle w:val="Compact"/>
              <w:jc w:val="left"/>
            </w:pPr>
            <w:r>
              <w:t xml:space="preserve">Sunrun will reach March 2028 maturity without Chapter 11</w:t>
            </w:r>
          </w:p>
        </w:tc>
        <w:tc>
          <w:p>
            <w:pPr>
              <w:pStyle w:val="Compact"/>
              <w:jc w:val="left"/>
            </w:pPr>
            <w:r>
              <w:rPr>
                <w:b/>
              </w:rPr>
              <w:t xml:space="preserve">High</w:t>
            </w:r>
            <w:r>
              <w:t xml:space="preserve"> </w:t>
            </w:r>
            <w:r>
              <w:t xml:space="preserve">(75–85%)</w:t>
            </w:r>
          </w:p>
        </w:tc>
        <w:tc>
          <w:p>
            <w:pPr>
              <w:pStyle w:val="Compact"/>
              <w:jc w:val="left"/>
            </w:pPr>
            <w:r>
              <w:t xml:space="preserve">Cash generation, securitization access, no near-term recourse maturity</w:t>
            </w:r>
          </w:p>
        </w:tc>
      </w:tr>
      <w:tr>
        <w:tc>
          <w:p>
            <w:pPr>
              <w:pStyle w:val="Compact"/>
              <w:jc w:val="left"/>
            </w:pPr>
            <w:r>
              <w:t xml:space="preserve">Gridshare addressable fleet at Sunrun is shrinking as % of total</w:t>
            </w:r>
          </w:p>
        </w:tc>
        <w:tc>
          <w:p>
            <w:pPr>
              <w:pStyle w:val="Compact"/>
              <w:jc w:val="left"/>
            </w:pPr>
            <w:r>
              <w:rPr>
                <w:b/>
              </w:rPr>
              <w:t xml:space="preserve">High</w:t>
            </w:r>
            <w:r>
              <w:t xml:space="preserve"> </w:t>
            </w:r>
            <w:r>
              <w:t xml:space="preserve">(75%)</w:t>
            </w:r>
          </w:p>
        </w:tc>
        <w:tc>
          <w:p>
            <w:pPr>
              <w:pStyle w:val="Compact"/>
              <w:jc w:val="left"/>
            </w:pPr>
            <w:r>
              <w:t xml:space="preserve">CalReady Tesla fleet data, Tesla native software for Powerwall</w:t>
            </w:r>
          </w:p>
        </w:tc>
      </w:tr>
      <w:tr>
        <w:tc>
          <w:p>
            <w:pPr>
              <w:pStyle w:val="Compact"/>
              <w:jc w:val="left"/>
            </w:pPr>
            <w:r>
              <w:t xml:space="preserve">Lunar’s Series D raised without disclosing concentration risk</w:t>
            </w:r>
          </w:p>
        </w:tc>
        <w:tc>
          <w:p>
            <w:pPr>
              <w:pStyle w:val="Compact"/>
              <w:jc w:val="left"/>
            </w:pPr>
            <w:r>
              <w:rPr>
                <w:b/>
              </w:rPr>
              <w:t xml:space="preserve">High</w:t>
            </w:r>
            <w:r>
              <w:t xml:space="preserve"> </w:t>
            </w:r>
            <w:r>
              <w:t xml:space="preserve">(85%)</w:t>
            </w:r>
          </w:p>
        </w:tc>
        <w:tc>
          <w:p>
            <w:pPr>
              <w:pStyle w:val="Compact"/>
              <w:jc w:val="left"/>
            </w:pPr>
            <w:r>
              <w:t xml:space="preserve">Press releases contain no revenue concentration disclosure</w:t>
            </w:r>
          </w:p>
        </w:tc>
      </w:tr>
      <w:tr>
        <w:tc>
          <w:p>
            <w:pPr>
              <w:pStyle w:val="Compact"/>
              <w:jc w:val="left"/>
            </w:pPr>
            <w:r>
              <w:t xml:space="preserve">Sunrun proxy discloses specific Jurich/Lunar recusal protocol</w:t>
            </w:r>
          </w:p>
        </w:tc>
        <w:tc>
          <w:p>
            <w:pPr>
              <w:pStyle w:val="Compact"/>
              <w:jc w:val="left"/>
            </w:pPr>
            <w:r>
              <w:rPr>
                <w:b/>
              </w:rPr>
              <w:t xml:space="preserve">Very Low</w:t>
            </w:r>
            <w:r>
              <w:t xml:space="preserve"> </w:t>
            </w:r>
            <w:r>
              <w:t xml:space="preserve">(5%)</w:t>
            </w:r>
          </w:p>
        </w:tc>
        <w:tc>
          <w:p>
            <w:pPr>
              <w:pStyle w:val="Compact"/>
              <w:jc w:val="left"/>
            </w:pPr>
            <w:r>
              <w:t xml:space="preserve">No such disclosure found in accessible DEF 14A text</w:t>
            </w:r>
          </w:p>
        </w:tc>
      </w:tr>
      <w:tr>
        <w:tc>
          <w:p>
            <w:pPr>
              <w:pStyle w:val="Compact"/>
              <w:jc w:val="left"/>
            </w:pPr>
            <w:r>
              <w:t xml:space="preserve">Greentech Renewables is an active Lunar distributor</w:t>
            </w:r>
          </w:p>
        </w:tc>
        <w:tc>
          <w:p>
            <w:pPr>
              <w:pStyle w:val="Compact"/>
              <w:jc w:val="left"/>
            </w:pPr>
            <w:r>
              <w:rPr>
                <w:b/>
              </w:rPr>
              <w:t xml:space="preserve">Very High</w:t>
            </w:r>
            <w:r>
              <w:t xml:space="preserve"> </w:t>
            </w:r>
            <w:r>
              <w:t xml:space="preserve">(99%)</w:t>
            </w:r>
          </w:p>
        </w:tc>
        <w:tc>
          <w:p>
            <w:pPr>
              <w:pStyle w:val="Compact"/>
              <w:jc w:val="left"/>
            </w:pPr>
            <w:r>
              <w:t xml:space="preserve">Active product listings confirmed</w:t>
            </w:r>
          </w:p>
        </w:tc>
      </w:tr>
    </w:tbl>
    <w:p>
      <w:r>
        <w:pict>
          <v:rect style="width:0;height:1.5pt" o:hralign="center" o:hrstd="t" o:hr="t"/>
        </w:pict>
      </w:r>
    </w:p>
    <w:p>
      <w:pPr>
        <w:pStyle w:val="Heading2"/>
      </w:pPr>
      <w:bookmarkStart w:id="49" w:name="citations"/>
      <w:r>
        <w:t xml:space="preserve">7. CITATIONS</w:t>
      </w:r>
      <w:bookmarkEnd w:id="49"/>
    </w:p>
    <w:p>
      <w:pPr>
        <w:pStyle w:val="FirstParagraph"/>
      </w:pPr>
      <w:r>
        <w:t xml:space="preserve">Key source citations are embedded throughout the analysis above. Primary sources used:</w:t>
      </w:r>
    </w:p>
    <w:p>
      <w:pPr>
        <w:numPr>
          <w:ilvl w:val="0"/>
          <w:numId w:val="1006"/>
        </w:numPr>
      </w:pPr>
      <w:r>
        <w:t xml:space="preserve">Bloomberg/EnergyNow reporting on Sunrun’s 37% stake and preferential access.</w:t>
      </w:r>
    </w:p>
    <w:p>
      <w:pPr>
        <w:numPr>
          <w:ilvl w:val="0"/>
          <w:numId w:val="1006"/>
        </w:numPr>
      </w:pPr>
      <w:r>
        <w:t xml:space="preserve">Sunrun DEF 14A (2024) confirming Lynn Jurich and Ed Fenster as Co-Executive Chairs.</w:t>
      </w:r>
    </w:p>
    <w:p>
      <w:pPr>
        <w:numPr>
          <w:ilvl w:val="0"/>
          <w:numId w:val="1006"/>
        </w:numPr>
      </w:pPr>
      <w:r>
        <w:t xml:space="preserve">Sunrun Q4/FY2025 earnings release confirming no recourse maturities until March 2028 and working capital facility extension.</w:t>
      </w:r>
    </w:p>
    <w:p>
      <w:pPr>
        <w:numPr>
          <w:ilvl w:val="0"/>
          <w:numId w:val="1006"/>
        </w:numPr>
      </w:pPr>
      <w:r>
        <w:t xml:space="preserve">Sunrun FY2025 Cash Generation of $377 million.</w:t>
      </w:r>
    </w:p>
    <w:p>
      <w:pPr>
        <w:numPr>
          <w:ilvl w:val="0"/>
          <w:numId w:val="1006"/>
        </w:numPr>
      </w:pPr>
      <w:r>
        <w:t xml:space="preserve">GuruFocus Altman Z-Score analysis for Sunrun (−0.47).</w:t>
      </w:r>
    </w:p>
    <w:p>
      <w:pPr>
        <w:numPr>
          <w:ilvl w:val="0"/>
          <w:numId w:val="1006"/>
        </w:numPr>
      </w:pPr>
      <w:r>
        <w:t xml:space="preserve">Sunrun Q3 2025 earnings: $2.8B of non-recourse debt raised year-to-date.</w:t>
      </w:r>
    </w:p>
    <w:p>
      <w:pPr>
        <w:numPr>
          <w:ilvl w:val="0"/>
          <w:numId w:val="1006"/>
        </w:numPr>
      </w:pPr>
      <w:r>
        <w:t xml:space="preserve">Greentech Renewables confirmed Lunar Energy product listings.</w:t>
      </w:r>
    </w:p>
    <w:p>
      <w:pPr>
        <w:numPr>
          <w:ilvl w:val="0"/>
          <w:numId w:val="1006"/>
        </w:numPr>
      </w:pPr>
      <w:r>
        <w:t xml:space="preserve">Lunar Energy Series D press release confirming Gridshare deployed in 12+ Sunrun markets.</w:t>
      </w:r>
    </w:p>
    <w:p>
      <w:pPr>
        <w:numPr>
          <w:ilvl w:val="0"/>
          <w:numId w:val="1006"/>
        </w:numPr>
      </w:pPr>
      <w:r>
        <w:t xml:space="preserve">Heatmap News confirming Gridshare manages ~130,000 Sunrun batteries.</w:t>
      </w:r>
    </w:p>
    <w:p>
      <w:pPr>
        <w:numPr>
          <w:ilvl w:val="0"/>
          <w:numId w:val="1006"/>
        </w:numPr>
      </w:pPr>
      <w:r>
        <w:t xml:space="preserve">Energy-Storage.News confirming CalReady = 75,000 installations using Tesla Powerwall 3.</w:t>
      </w:r>
    </w:p>
    <w:p>
      <w:pPr>
        <w:numPr>
          <w:ilvl w:val="0"/>
          <w:numId w:val="1006"/>
        </w:numPr>
      </w:pPr>
      <w:r>
        <w:t xml:space="preserve">SolarReviews confirming SunPower Chapter 11 filing August 2024 and cessation of PPA support.</w:t>
      </w:r>
    </w:p>
    <w:p>
      <w:pPr>
        <w:numPr>
          <w:ilvl w:val="0"/>
          <w:numId w:val="1006"/>
        </w:numPr>
      </w:pPr>
      <w:r>
        <w:t xml:space="preserve">GreenLancer confirming legacy workmanship warranties not assumed by Complete Solaria post-SunPower bankruptcy.</w:t>
      </w:r>
    </w:p>
    <w:p>
      <w:pPr>
        <w:numPr>
          <w:ilvl w:val="0"/>
          <w:numId w:val="1006"/>
        </w:numPr>
      </w:pPr>
      <w:r>
        <w:t xml:space="preserve">PitchBook confirming Lunar has raised $532M total.</w:t>
      </w:r>
    </w:p>
    <w:p>
      <w:pPr>
        <w:numPr>
          <w:ilvl w:val="0"/>
          <w:numId w:val="1006"/>
        </w:numPr>
      </w:pPr>
      <w:r>
        <w:t xml:space="preserve">PV Magazine confirming Series D = $102M (B Capital/Prelude) + Series C = $130M (Activate Capital).</w:t>
      </w:r>
    </w:p>
    <w:p>
      <w:r>
        <w:pict>
          <v:rect style="width:0;height:1.5pt" o:hralign="center" o:hrstd="t" o:hr="t"/>
        </w:pict>
      </w:r>
    </w:p>
    <w:p>
      <w:pPr>
        <w:pStyle w:val="Heading2"/>
      </w:pPr>
      <w:bookmarkStart w:id="50" w:name="executive-summary"/>
      <w:r>
        <w:t xml:space="preserve">EXECUTIVE SUMMARY</w:t>
      </w:r>
      <w:bookmarkEnd w:id="50"/>
    </w:p>
    <w:p>
      <w:pPr>
        <w:pStyle w:val="FirstParagraph"/>
      </w:pPr>
      <w:r>
        <w:t xml:space="preserve">The hypothesis is</w:t>
      </w:r>
      <w:r>
        <w:t xml:space="preserve"> </w:t>
      </w:r>
      <w:r>
        <w:rPr>
          <w:b/>
        </w:rPr>
        <w:t xml:space="preserve">substantially confirmed on governance and structural grounds, but materially overstated on immediate financial distress probability</w:t>
      </w:r>
      <w:r>
        <w:t xml:space="preserve">. The concentration risk is real, deep, and undisclosed to Series D investors. However, Sunrun is more likely to be a</w:t>
      </w:r>
      <w:r>
        <w:t xml:space="preserve"> </w:t>
      </w:r>
      <w:r>
        <w:rPr>
          <w:b/>
        </w:rPr>
        <w:t xml:space="preserve">slow-bleed counterparty</w:t>
      </w:r>
      <w:r>
        <w:t xml:space="preserve"> </w:t>
      </w:r>
      <w:r>
        <w:t xml:space="preserve">(delayed payments, reduced orders, Gridshare market share erosion) than an</w:t>
      </w:r>
      <w:r>
        <w:t xml:space="preserve"> </w:t>
      </w:r>
      <w:r>
        <w:rPr>
          <w:b/>
        </w:rPr>
        <w:t xml:space="preserve">acute bankruptcy event</w:t>
      </w:r>
      <w:r>
        <w:t xml:space="preserve"> </w:t>
      </w:r>
      <w:r>
        <w:t xml:space="preserve">before 2028. The greater near-term threat is not Sunrun bankruptcy — it is the structural erosion of Gridshare’s addressable fleet as Tesla Powerwall dominates new Sunrun installations. A Sunrun that remains solvent but installs 80%+ Tesla Powerwalls is just as dangerous to Gridshare’s long-term revenue trajectory as a bankrupt Sunrun, and this scenario carries a substantially higher probability. Lunar’s board and Series D investors should treat sub-30% Sunrun concentration as a</w:t>
      </w:r>
      <w:r>
        <w:t xml:space="preserve"> </w:t>
      </w:r>
      <w:r>
        <w:rPr>
          <w:b/>
        </w:rPr>
        <w:t xml:space="preserve">survivability threshold</w:t>
      </w:r>
      <w:r>
        <w:t xml:space="preserve">, not merely an optimization target, and should demand immediate disclosure of payment terms and contract renewal provisions in any board-level governance review.</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2026-02-28T04:44:28Z</dcterms:created>
  <dcterms:modified xsi:type="dcterms:W3CDTF">2026-02-28T04:44:28Z</dcterms:modified>
</cp:coreProperties>
</file>

<file path=docProps/custom.xml><?xml version="1.0" encoding="utf-8"?>
<Properties xmlns="http://schemas.openxmlformats.org/officeDocument/2006/custom-properties" xmlns:vt="http://schemas.openxmlformats.org/officeDocument/2006/docPropsVTypes"/>
</file>