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extensive, current data to produce a rigorous, well-cited analysis. Let me synthesize this into the structured format requested.</w:t>
      </w:r>
    </w:p>
    <w:p>
      <w:r>
        <w:pict>
          <v:rect style="width:0;height:1.5pt" o:hralign="center" o:hrstd="t" o:hr="t"/>
        </w:pict>
      </w:r>
    </w:p>
    <w:p>
      <w:pPr>
        <w:pStyle w:val="Heading1"/>
      </w:pPr>
      <w:bookmarkStart w:id="20" w:name="X65697b7b69d901217460b15569472d1577ccf42"/>
      <w:r>
        <w:t xml:space="preserve">REGULATORY ASYMMETRY ANALYSIS: BATTERY STORAGE ITC vs. SOLAR ITC UNDER THE ONE BIG BEAUTIFUL BILL ACT</w:t>
      </w:r>
      <w:bookmarkEnd w:id="20"/>
    </w:p>
    <w:p>
      <w:pPr>
        <w:pStyle w:val="FirstParagraph"/>
      </w:pPr>
      <w:r>
        <w:rPr>
          <w:b/>
        </w:rPr>
        <w:t xml:space="preserve">Analysis Date: February 28, 2026 | Applies to: Lunar Energy Market Positioning</w:t>
      </w:r>
    </w:p>
    <w:p>
      <w:r>
        <w:pict>
          <v:rect style="width:0;height:1.5pt" o:hralign="center" o:hrstd="t" o:hr="t"/>
        </w:pict>
      </w:r>
    </w:p>
    <w:p>
      <w:pPr>
        <w:pStyle w:val="Heading2"/>
      </w:pPr>
      <w:bookmarkStart w:id="21" w:name="X979e01be76120d8d98e31a881f4e797df8e9896"/>
      <w:r>
        <w:t xml:space="preserve">⚠️ CRITICAL THRESHOLD FINDING: LEGISLATIVE STATUS CONFIRMED — HYPOTHESIS SURVIVES, WITH IMPORTANT CAVEATS</w:t>
      </w:r>
      <w:bookmarkEnd w:id="21"/>
    </w:p>
    <w:p>
      <w:pPr>
        <w:pStyle w:val="FirstParagraph"/>
      </w:pPr>
      <w:r>
        <w:t xml:space="preserve">The core legislative premise is</w:t>
      </w:r>
      <w:r>
        <w:t xml:space="preserve"> </w:t>
      </w:r>
      <w:r>
        <w:rPr>
          <w:b/>
        </w:rPr>
        <w:t xml:space="preserve">confirmed, but more complex than stated</w:t>
      </w:r>
      <w:r>
        <w:t xml:space="preserve">. The asymmetry is real, but it involves a three-tier structure, not a simple binary.</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2ea3392126fa9c2e0920213a18daf3518bcce20"/>
      <w:r>
        <w:t xml:space="preserve">1A. Legislative Confirmation: The Battery ITC/Solar ITC Asymmetry Is Real and Enacted Law</w:t>
      </w:r>
      <w:bookmarkEnd w:id="23"/>
    </w:p>
    <w:p>
      <w:pPr>
        <w:pStyle w:val="FirstParagraph"/>
      </w:pPr>
      <w:r>
        <w:t xml:space="preserve">The One Big Beautiful Bill Act (OBBBA) was signed into law on July 4, 2025 (Public Law 119-21). The differential treatment of battery storage vs. solar under Section 48E is unambiguous.</w:t>
      </w:r>
    </w:p>
    <w:p>
      <w:pPr>
        <w:pStyle w:val="BodyText"/>
      </w:pPr>
      <w:r>
        <w:rPr>
          <w:b/>
        </w:rPr>
        <w:t xml:space="preserve">Solar under 48E:</w:t>
      </w:r>
      <w:r>
        <w:t xml:space="preserve"> </w:t>
      </w:r>
      <w:r>
        <w:t xml:space="preserve">The technology-neutral investment tax credit under Section 48E and the technology-neutral electricity production tax credit under Section 45Y will no longer apply to solar and wind facilities placed in service after December 31, 2027.</w:t>
      </w:r>
      <w:r>
        <w:t xml:space="preserve"> </w:t>
      </w:r>
      <w:r>
        <w:t xml:space="preserve">The only exception:</w:t>
      </w:r>
      <w:r>
        <w:t xml:space="preserve"> </w:t>
      </w:r>
      <w:r>
        <w:t xml:space="preserve">wind and solar projects that begin construction on or before the date that is 12 months following the date of the Act’s enactment (July 4, 2026) — under current guidance and subject to any changes to such guidance, wind and solar projects that begin construction in 2025 would need to be placed in service before the end of 2029.</w:t>
      </w:r>
    </w:p>
    <w:p>
      <w:pPr>
        <w:pStyle w:val="BodyText"/>
      </w:pPr>
      <w:r>
        <w:rPr>
          <w:b/>
        </w:rPr>
        <w:t xml:space="preserve">Battery storage under 48E:</w:t>
      </w:r>
      <w:r>
        <w:t xml:space="preserve"> </w:t>
      </w:r>
      <w:r>
        <w:t xml:space="preserve">Explicitly carved out.</w:t>
      </w:r>
      <w:r>
        <w:t xml:space="preserve"> </w:t>
      </w:r>
      <w:r>
        <w:t xml:space="preserve">This phase-out only applies to wind and solar facilities, and the Act makes clear that the phase-out does not apply to the ITC with respect to energy storage technology, including energy storage technology that is placed in service at a wind or solar facility.</w:t>
      </w:r>
    </w:p>
    <w:p>
      <w:pPr>
        <w:pStyle w:val="BodyText"/>
      </w:pPr>
      <w:r>
        <w:t xml:space="preserve">The storage credit timeline is confirmed by multiple authoritative sources:</w:t>
      </w:r>
      <w:r>
        <w:t xml:space="preserve"> </w:t>
      </w:r>
      <w:r>
        <w:t xml:space="preserve">The phase-out of the Section 48E ITC for all other qualified facilities — including energy storage facilities — begins in 2034. Facilities that begin construction in 2034 will be eligible for 75% of the full credit amount, dropping to 50% for construction beginning in 2035, and phasing out entirely for projects beginning in 2036 or later.</w:t>
      </w:r>
    </w:p>
    <w:p>
      <w:pPr>
        <w:pStyle w:val="BodyText"/>
      </w:pPr>
      <w:r>
        <w:t xml:space="preserve">In plain English:</w:t>
      </w:r>
      <w:r>
        <w:t xml:space="preserve"> </w:t>
      </w:r>
      <w:r>
        <w:t xml:space="preserve">Solar and wind projects must now be completed by December 31, 2027, unless they meet safe harbor rules before July 4, 2026. Energy storage projects are eligible through 2033, with a ramp-down thereafter.</w:t>
      </w:r>
    </w:p>
    <w:p>
      <w:pPr>
        <w:pStyle w:val="BodyText"/>
      </w:pPr>
      <w:r>
        <w:rPr>
          <w:b/>
        </w:rPr>
        <w:t xml:space="preserve">On the Section 25D homeowner credit (the residential direct-ownership credit):</w:t>
      </w:r>
      <w:r>
        <w:t xml:space="preserve"> </w:t>
      </w:r>
      <w:r>
        <w:t xml:space="preserve">Also confirmed eliminated.</w:t>
      </w:r>
      <w:r>
        <w:t xml:space="preserve"> </w:t>
      </w:r>
      <w:r>
        <w:t xml:space="preserve">P.L. 119-21, the FY2025 reconciliation law commonly known as the One Big Beautiful Bill Act, repealed the residential clean energy credit (RCEC) for expenditures made after calendar year 2025.</w:t>
      </w:r>
      <w:r>
        <w:t xml:space="preserve"> </w:t>
      </w:r>
      <w:r>
        <w:t xml:space="preserve">This is directly confirmed by the IRS:</w:t>
      </w:r>
      <w:r>
        <w:t xml:space="preserve"> </w:t>
      </w:r>
      <w:r>
        <w:t xml:space="preserve">the Residential Clean Energy Credit (25D) is not allowed for any expenditures made after December 31, 2025.</w:t>
      </w:r>
    </w:p>
    <w:p>
      <w:pPr>
        <w:pStyle w:val="BodyText"/>
      </w:pPr>
      <w:r>
        <w:rPr>
          <w:b/>
        </w:rPr>
        <w:t xml:space="preserve">Critical nuance on owned batteries under 25D:</w:t>
      </w:r>
      <w:r>
        <w:t xml:space="preserve"> </w:t>
      </w:r>
      <w:r>
        <w:t xml:space="preserve">The 25D elimination applies equally to homeowner-purchased battery systems.</w:t>
      </w:r>
      <w:r>
        <w:t xml:space="preserve"> </w:t>
      </w:r>
      <w:r>
        <w:t xml:space="preserve">For owned battery storage systems (those paid for through cash or financed), homeowners would claim the Section 25D tax credit. Like solar installations, owned battery storage projects will no longer qualify for tax credits starting in 2026.</w:t>
      </w:r>
      <w:r>
        <w:t xml:space="preserve"> </w:t>
      </w:r>
      <w:r>
        <w:t xml:space="preserve">This is a crucial refinement:</w:t>
      </w:r>
      <w:r>
        <w:t xml:space="preserve"> </w:t>
      </w:r>
      <w:r>
        <w:rPr>
          <w:b/>
        </w:rPr>
        <w:t xml:space="preserve">the battery ITC advantage under 48E accrues exclusively to commercial/TPO structures, not to homeowners who buy batteries outright.</w:t>
      </w:r>
    </w:p>
    <w:p>
      <w:pPr>
        <w:pStyle w:val="Heading3"/>
      </w:pPr>
      <w:bookmarkStart w:id="24" w:name="Xafe808743dbfc81a65f71e118df7cf009895451"/>
      <w:r>
        <w:t xml:space="preserve">1B. TPO/Lease Structures: The 48E ITC Is the Surviving Vehicle</w:t>
      </w:r>
      <w:bookmarkEnd w:id="24"/>
    </w:p>
    <w:p>
      <w:pPr>
        <w:pStyle w:val="FirstParagraph"/>
      </w:pPr>
      <w:r>
        <w:t xml:space="preserve">Early versions of the One Big Beautiful Bill closed off the 48E tax credit for residential solar and battery systems, but the Senate removed this language for the final version that became law.</w:t>
      </w:r>
      <w:r>
        <w:t xml:space="preserve"> </w:t>
      </w:r>
      <w:r>
        <w:t xml:space="preserve">This was a pivotal legislative moment:</w:t>
      </w:r>
      <w:r>
        <w:t xml:space="preserve"> </w:t>
      </w:r>
      <w:r>
        <w:t xml:space="preserve">in a minor win, the Senate also removed language that blocked access to the 48E tax credit for residential leases and PPAs. Trump signed this version into law on July 4, and residential leases and PPAs will have access to the 48E tax credit through the end of 2027.</w:t>
      </w:r>
    </w:p>
    <w:p>
      <w:pPr>
        <w:pStyle w:val="BodyText"/>
      </w:pPr>
      <w:r>
        <w:t xml:space="preserve">For battery storage deployed through TPO (Sunrun’s model):</w:t>
      </w:r>
      <w:r>
        <w:t xml:space="preserve"> </w:t>
      </w:r>
      <w:r>
        <w:t xml:space="preserve">the</w:t>
      </w:r>
      <w:r>
        <w:t xml:space="preserve"> </w:t>
      </w:r>
      <w:r>
        <w:t xml:space="preserve">“</w:t>
      </w:r>
      <w:r>
        <w:t xml:space="preserve">placed in service</w:t>
      </w:r>
      <w:r>
        <w:t xml:space="preserve">”</w:t>
      </w:r>
      <w:r>
        <w:t xml:space="preserve"> </w:t>
      </w:r>
      <w:r>
        <w:t xml:space="preserve">deadline does not apply to energy storage projects in the changes to 48E, so this leaves great avenues for Virtual Power Plant Projects (VPP) or storage as a part of new solar or wind projects.</w:t>
      </w:r>
    </w:p>
    <w:p>
      <w:pPr>
        <w:pStyle w:val="BodyText"/>
      </w:pPr>
      <w:r>
        <w:rPr>
          <w:b/>
        </w:rPr>
        <w:t xml:space="preserve">The structural upshot</w:t>
      </w:r>
      <w:r>
        <w:t xml:space="preserve"> </w:t>
      </w:r>
      <w:r>
        <w:t xml:space="preserve">for Lunar/Sunrun:</w:t>
      </w:r>
      <w:r>
        <w:t xml:space="preserve"> </w:t>
      </w:r>
      <w:r>
        <w:t xml:space="preserve">Third-party owned (TPO) systems — such as solar leases and power purchase agreements (PPAs) — still qualify for the 30% credit through Section 48E, provided they’re placed in service by the end of 2027. This can make TPO the preferred option for some homeowners to access solar incentives after 2025.</w:t>
      </w:r>
      <w:r>
        <w:t xml:space="preserve"> </w:t>
      </w:r>
      <w:r>
        <w:t xml:space="preserve">But for</w:t>
      </w:r>
      <w:r>
        <w:t xml:space="preserve"> </w:t>
      </w:r>
      <w:r>
        <w:rPr>
          <w:b/>
        </w:rPr>
        <w:t xml:space="preserve">battery storage specifically</w:t>
      </w:r>
      <w:r>
        <w:t xml:space="preserve">, TPO systems can access the 48E ITC through 2033, without any placed-in-service deadline equivalent to solar.</w:t>
      </w:r>
    </w:p>
    <w:p>
      <w:pPr>
        <w:pStyle w:val="BodyText"/>
      </w:pPr>
      <w:r>
        <w:rPr>
          <w:b/>
        </w:rPr>
        <w:t xml:space="preserve">ITC credit stack:</w:t>
      </w:r>
      <w:r>
        <w:t xml:space="preserve"> </w:t>
      </w:r>
      <w:r>
        <w:t xml:space="preserve">Projects receive a 6% base rate that can be increased to 30% if they meet Prevailing Wage and Apprenticeships requirements (or exemption). In addition, the ITC rate can increase to 70% if it qualifies for adders such as Domestic Content, Energy Community, and/or Low-Income Communities.</w:t>
      </w:r>
    </w:p>
    <w:p>
      <w:pPr>
        <w:pStyle w:val="Heading3"/>
      </w:pPr>
      <w:bookmarkStart w:id="25" w:name="X94c48bc18d3c2e6e57b3e0162469d136d5be219"/>
      <w:r>
        <w:t xml:space="preserve">1C. Sunrun’s Strategic Pivot to</w:t>
      </w:r>
      <w:r>
        <w:t xml:space="preserve"> </w:t>
      </w:r>
      <w:r>
        <w:t xml:space="preserve">“</w:t>
      </w:r>
      <w:r>
        <w:t xml:space="preserve">Storage-First</w:t>
      </w:r>
      <w:r>
        <w:t xml:space="preserve">”</w:t>
      </w:r>
      <w:r>
        <w:t xml:space="preserve"> </w:t>
      </w:r>
      <w:r>
        <w:t xml:space="preserve">Validates the Hypothesis</w:t>
      </w:r>
      <w:bookmarkEnd w:id="25"/>
    </w:p>
    <w:p>
      <w:pPr>
        <w:pStyle w:val="FirstParagraph"/>
      </w:pPr>
      <w:r>
        <w:t xml:space="preserve">Real-world market behavior corroborates the hypothesis. The market’s leading TPO company, Sunrun, has already made a strategic pivot explicitly in response to this dynamic:</w:t>
      </w:r>
    </w:p>
    <w:p>
      <w:pPr>
        <w:pStyle w:val="BodyText"/>
      </w:pPr>
      <w:r>
        <w:t xml:space="preserve">The rapid expansion of the VPP network is tied to the increasing adoption of solar-plus-storage systems by new customers. The company has vocalized a shift toward a</w:t>
      </w:r>
      <w:r>
        <w:t xml:space="preserve"> </w:t>
      </w:r>
      <w:r>
        <w:t xml:space="preserve">“</w:t>
      </w:r>
      <w:r>
        <w:t xml:space="preserve">storage-first</w:t>
      </w:r>
      <w:r>
        <w:t xml:space="preserve">”</w:t>
      </w:r>
      <w:r>
        <w:t xml:space="preserve"> </w:t>
      </w:r>
      <w:r>
        <w:t xml:space="preserve">model rather than leading with solar as the main customer offering.</w:t>
      </w:r>
    </w:p>
    <w:p>
      <w:pPr>
        <w:pStyle w:val="BodyText"/>
      </w:pPr>
      <w:r>
        <w:t xml:space="preserve">Sunrun shifts its focus towards residential battery energy storage system (BESS) deployments, with the energy storage attachment rate — the percentage of solar projects installed with co-located BESS — holding steady at 70% in the third quarter. This is ten percentage points higher than in the third quarter of 2024.</w:t>
      </w:r>
    </w:p>
    <w:p>
      <w:pPr>
        <w:pStyle w:val="BodyText"/>
      </w:pPr>
      <w:r>
        <w:t xml:space="preserve">The regulatory logic is explicit:</w:t>
      </w:r>
      <w:r>
        <w:t xml:space="preserve"> </w:t>
      </w:r>
      <w:r>
        <w:t xml:space="preserve">The One Big Beautiful Bill Act, signed July 2025, shortened solar ITC availability to end-2027 while maintaining storage credits through 2033.</w:t>
      </w:r>
      <w:r>
        <w:t xml:space="preserve"> </w:t>
      </w:r>
      <w:r>
        <w:t xml:space="preserve">And Sunrun’s own VPP enrollment jumped 400% year-over-year:</w:t>
      </w:r>
      <w:r>
        <w:t xml:space="preserve"> </w:t>
      </w:r>
      <w:r>
        <w:t xml:space="preserve">Sunrun reported that customer enrollment in its home-to-grid Virtual Power Plant (VPP) programs grew by more than 400% year-over-year. As of the end of Q3 2025, Sunrun had over 106,000 customers actively participating in VPP programs across the country.</w:t>
      </w:r>
    </w:p>
    <w:p>
      <w:pPr>
        <w:pStyle w:val="Heading3"/>
      </w:pPr>
      <w:bookmarkStart w:id="26" w:name="Xc2920677c9d7041fb1b408095725b1bd78788ed"/>
      <w:r>
        <w:t xml:space="preserve">1D. The NEM 2.0 Retrofit Market: A Confirmed, Quantifiable Segment</w:t>
      </w:r>
      <w:bookmarkEnd w:id="26"/>
    </w:p>
    <w:p>
      <w:pPr>
        <w:pStyle w:val="FirstParagraph"/>
      </w:pPr>
      <w:r>
        <w:rPr>
          <w:b/>
        </w:rPr>
        <w:t xml:space="preserve">Size of the NEM 2.0 base:</w:t>
      </w:r>
      <w:r>
        <w:t xml:space="preserve"> </w:t>
      </w:r>
      <w:r>
        <w:t xml:space="preserve">The CPUC confirmed that by the time NEM 3.0 was adopted,</w:t>
      </w:r>
      <w:r>
        <w:t xml:space="preserve"> </w:t>
      </w:r>
      <w:r>
        <w:t xml:space="preserve">California has supported the rooftop solar market through its NEM tariffs, which have enabled 1.5 million customers to install more than 12,000 megawatts of renewable generation.</w:t>
      </w:r>
      <w:r>
        <w:t xml:space="preserve"> </w:t>
      </w:r>
      <w:r>
        <w:t xml:space="preserve">Of this base, the NEM 2.0-specific cohort (post-July 2017, pre-April 2023) is the most battery-economically-motivated:</w:t>
      </w:r>
      <w:r>
        <w:t xml:space="preserve"> </w:t>
      </w:r>
      <w:r>
        <w:t xml:space="preserve">NEM 2.0 came into effect after the NEM 1.0 cap was reached. It applies to customers who installed their solar systems after July 2017 and before April 2023 when the recent NBT program went into effect.</w:t>
      </w:r>
      <w:r>
        <w:t xml:space="preserve"> </w:t>
      </w:r>
      <w:r>
        <w:t xml:space="preserve">These customers — conservatively estimated at 600,000–900,000 accounts across PG&amp;E, SCE, and SDG&amp;E — represent a large retrofit segment.</w:t>
      </w:r>
    </w:p>
    <w:p>
      <w:pPr>
        <w:pStyle w:val="BodyText"/>
      </w:pPr>
      <w:r>
        <w:rPr>
          <w:b/>
        </w:rPr>
        <w:t xml:space="preserve">Battery can be added without losing NEM 2.0 status:</w:t>
      </w:r>
      <w:r>
        <w:t xml:space="preserve"> </w:t>
      </w:r>
      <w:r>
        <w:t xml:space="preserve">This is confirmed by CPUC policy:</w:t>
      </w:r>
      <w:r>
        <w:t xml:space="preserve"> </w:t>
      </w:r>
      <w:r>
        <w:t xml:space="preserve">You can typically add battery storage to an existing NEM 2.0 system without losing your grandfathered status and favorable rates. This allows you to enhance your system’s capabilities while maintaining the original net metering terms for the full 20-year period.</w:t>
      </w:r>
    </w:p>
    <w:p>
      <w:pPr>
        <w:pStyle w:val="BodyText"/>
      </w:pPr>
      <w:r>
        <w:rPr>
          <w:b/>
        </w:rPr>
        <w:t xml:space="preserve">20-year grandfathering confirmed:</w:t>
      </w:r>
      <w:r>
        <w:t xml:space="preserve"> </w:t>
      </w:r>
      <w:r>
        <w:t xml:space="preserve">Grandfathering for the current NEM tariff (NEM 2.0) is extended to customers for 20 years. In the event of a new NEM tariff, NEM 2.0 customers are grandfathered to their tariff for 20 years from their PTO date.</w:t>
      </w:r>
    </w:p>
    <w:p>
      <w:pPr>
        <w:pStyle w:val="BodyText"/>
      </w:pPr>
      <w:r>
        <w:rPr>
          <w:b/>
        </w:rPr>
        <w:t xml:space="preserve">Economic motivation:</w:t>
      </w:r>
      <w:r>
        <w:t xml:space="preserve"> </w:t>
      </w:r>
      <w:r>
        <w:t xml:space="preserve">NEM 2.0 customers have high-value export rates and can optimize battery dispatch around peak TOU hours. Under NEM 3.0,</w:t>
      </w:r>
      <w:r>
        <w:t xml:space="preserve"> </w:t>
      </w:r>
      <w:r>
        <w:t xml:space="preserve">battery attachment rates increased from 11% before 2023 to over 50% by April 2024, with some installers reporting 60–90% rates.</w:t>
      </w:r>
      <w:r>
        <w:t xml:space="preserve"> </w:t>
      </w:r>
      <w:r>
        <w:t xml:space="preserve">NEM 2.0 customers with similarly structured incentives face the same economic logic for storage retrofit.</w:t>
      </w:r>
    </w:p>
    <w:p>
      <w:pPr>
        <w:pStyle w:val="BodyText"/>
      </w:pPr>
      <w:r>
        <w:rPr>
          <w:b/>
        </w:rPr>
        <w:t xml:space="preserve">TPO eligibility for storage in existing solar homes:</w:t>
      </w:r>
      <w:r>
        <w:t xml:space="preserve"> </w:t>
      </w:r>
      <w:r>
        <w:t xml:space="preserve">A standalone battery installed by Sunrun on a home that already has solar (NEM 2.0 or otherwise) would qualify for the 48E ITC through 2033, since the storage element is explicitly excluded from the 2027 placed-in-service deadline.</w:t>
      </w:r>
    </w:p>
    <w:p>
      <w:pPr>
        <w:pStyle w:val="Heading3"/>
      </w:pPr>
      <w:bookmarkStart w:id="27" w:name="X6e4d3ea2de0f6dedb94fa39e936952daefe2569"/>
      <w:r>
        <w:t xml:space="preserve">1E. Non-Solar Homeowner Segment (Segment A): Supported by Standalone 48E Eligibility</w:t>
      </w:r>
      <w:bookmarkEnd w:id="27"/>
    </w:p>
    <w:p>
      <w:pPr>
        <w:pStyle w:val="FirstParagraph"/>
      </w:pPr>
      <w:r>
        <w:t xml:space="preserve">Since 2023, standalone BESS has been eligible for the ITC under Section 48E. That means even if your system isn’t paired with solar, you can still qualify.</w:t>
      </w:r>
    </w:p>
    <w:p>
      <w:pPr>
        <w:pStyle w:val="BodyText"/>
      </w:pPr>
      <w:r>
        <w:t xml:space="preserve">This is the crucial point: the 48E ITC for storage has</w:t>
      </w:r>
      <w:r>
        <w:t xml:space="preserve"> </w:t>
      </w:r>
      <w:r>
        <w:rPr>
          <w:b/>
        </w:rPr>
        <w:t xml:space="preserve">never required co-located solar</w:t>
      </w:r>
      <w:r>
        <w:t xml:space="preserve"> </w:t>
      </w:r>
      <w:r>
        <w:t xml:space="preserve">since the IRA. The old pre-IRA rule requiring 75% solar charging no longer applies. A TPO company like Sunrun could deploy Lunar Energy battery systems in non-solar homes under a TPO structure, claim the 48E ITC (30%+ with adders), pass savings to the customer through lower monthly fees, and enroll customers in VPP programs for additional revenue.</w:t>
      </w:r>
    </w:p>
    <w:p>
      <w:pPr>
        <w:pStyle w:val="BodyText"/>
      </w:pPr>
      <w:r>
        <w:rPr>
          <w:b/>
        </w:rPr>
        <w:t xml:space="preserve">The elimination of 25D creates a structural advantage for TPO:</w:t>
      </w:r>
      <w:r>
        <w:t xml:space="preserve"> </w:t>
      </w:r>
      <w:r>
        <w:t xml:space="preserve">At the center of it all is the sunset of the 30% federal investment tax credit (ITC) for homeowners. As of December 31, 2025, customers who buy their solar systems outright or via loan (covered under Section 25D) will no longer qualify for the federal ITC. That’s a big shift for residential solar financing models, which have been dominated by cash and loans for years.</w:t>
      </w:r>
    </w:p>
    <w:p>
      <w:pPr>
        <w:pStyle w:val="Heading3"/>
      </w:pPr>
      <w:bookmarkStart w:id="28" w:name="X6e3102319dd0ae8e84868fcaaada10aa2c7f948"/>
      <w:r>
        <w:t xml:space="preserve">1F. Competitor Fragility: Solar-Centric Companies Are Most Exposed</w:t>
      </w:r>
      <w:bookmarkEnd w:id="28"/>
    </w:p>
    <w:p>
      <w:pPr>
        <w:pStyle w:val="FirstParagraph"/>
      </w:pPr>
      <w:r>
        <w:t xml:space="preserve">Sunnova’s collapse validates the risk of solar-centric strategy:</w:t>
      </w:r>
      <w:r>
        <w:t xml:space="preserve"> </w:t>
      </w:r>
      <w:r>
        <w:t xml:space="preserve">Sunnova’s business model relied on the ITC to attract tax equity investors, but proposed policy changes in 2025 sought to exclude TPO firms from claiming this credit. Simultaneously, California’s shift to Net Energy Metering 3.0 — which reduced savings for residential solar adopters — undermined demand for Sunnova’s leases and PPAs.</w:t>
      </w:r>
      <w:r>
        <w:t xml:space="preserve"> </w:t>
      </w:r>
      <w:r>
        <w:t xml:space="preserve">Sunnova’s</w:t>
      </w:r>
      <w:r>
        <w:t xml:space="preserve"> </w:t>
      </w:r>
      <w:r>
        <w:t xml:space="preserve">34% storage attachment rate and overreliance on California left it exposed to policy shifts.</w:t>
      </w:r>
      <w:r>
        <w:t xml:space="preserve"> </w:t>
      </w:r>
      <w:r>
        <w:t xml:space="preserve">Contrast with Sunrun’s 70% storage attachment rate, which reduced its losses.</w:t>
      </w:r>
    </w:p>
    <w:p>
      <w:pPr>
        <w:pStyle w:val="Heading3"/>
      </w:pPr>
      <w:bookmarkStart w:id="29" w:name="X85fe2bd16081356b27d2221c8f4e72aa0167341"/>
      <w:r>
        <w:t xml:space="preserve">1G. VPP Economics Are a New Customer Acquisition Story</w:t>
      </w:r>
      <w:bookmarkEnd w:id="29"/>
    </w:p>
    <w:p>
      <w:pPr>
        <w:pStyle w:val="FirstParagraph"/>
      </w:pPr>
      <w:r>
        <w:t xml:space="preserve">The total networked energy storage capacity across Sunrun’s entire customer fleet has grown to approximately 3.7 GWh. Sunrun’s fleet currently operates across 17 active VPP programs, providing grid support and stabilizing reliability during periods of peak demand across various states and utility service territories, including the successful CalReady VPP in California.</w:t>
      </w:r>
    </w:p>
    <w:p>
      <w:r>
        <w:pict>
          <v:rect style="width:0;height:1.5pt" o:hralign="center" o:hrstd="t" o:hr="t"/>
        </w:pict>
      </w:r>
    </w:p>
    <w:p>
      <w:pPr>
        <w:pStyle w:val="Heading2"/>
      </w:pPr>
      <w:bookmarkStart w:id="30" w:name="evidence-against-the-hypothesis"/>
      <w:r>
        <w:t xml:space="preserve">2. EVIDENCE AGAINST THE HYPOTHESIS</w:t>
      </w:r>
      <w:bookmarkEnd w:id="30"/>
    </w:p>
    <w:p>
      <w:pPr>
        <w:pStyle w:val="Heading3"/>
      </w:pPr>
      <w:bookmarkStart w:id="31" w:name="X0360a725ba818507f5b9636f740e10d6a98f39f"/>
      <w:r>
        <w:t xml:space="preserve">2A. The Critical FEOC Problem: Chinese Battery Supply Chain Risk</w:t>
      </w:r>
      <w:bookmarkEnd w:id="31"/>
    </w:p>
    <w:p>
      <w:pPr>
        <w:pStyle w:val="FirstParagraph"/>
      </w:pPr>
      <w:r>
        <w:t xml:space="preserve">This is the single most serious structural threat to the hypothesis, and it is</w:t>
      </w:r>
      <w:r>
        <w:t xml:space="preserve"> </w:t>
      </w:r>
      <w:r>
        <w:rPr>
          <w:b/>
        </w:rPr>
        <w:t xml:space="preserve">underweighted</w:t>
      </w:r>
      <w:r>
        <w:t xml:space="preserve"> </w:t>
      </w:r>
      <w:r>
        <w:t xml:space="preserve">in the original framing.</w:t>
      </w:r>
    </w:p>
    <w:p>
      <w:pPr>
        <w:pStyle w:val="BodyText"/>
      </w:pPr>
      <w:r>
        <w:t xml:space="preserve">Passed on July 4, 2025, the legislation largely spares battery energy storage systems (BESS) from the credit reduction that wind and solar projects received. However, BESS developers do need to comply with heightened Foreign Entity of Concern (FEOC) material assistance requirements compared to other types of projects.</w:t>
      </w:r>
    </w:p>
    <w:p>
      <w:pPr>
        <w:pStyle w:val="BodyText"/>
      </w:pPr>
      <w:r>
        <w:t xml:space="preserve">The problem:</w:t>
      </w:r>
      <w:r>
        <w:t xml:space="preserve"> </w:t>
      </w:r>
      <w:r>
        <w:t xml:space="preserve">Chinese companies are particularly relevant because of the outsized role they play in the battery supply chain. Chinese companies control the processing of most critical battery minerals and the manufacturing of key components. For instance, giants like CATL and BYD alone command over half of the global battery market. Furthermore, China processes the vast majority of the world’s battery-grade lithium, cobalt, and graphite, making it nearly impossible to build a battery today without touching the Chinese supply chain.</w:t>
      </w:r>
    </w:p>
    <w:p>
      <w:pPr>
        <w:pStyle w:val="BodyText"/>
      </w:pPr>
      <w:r>
        <w:rPr>
          <w:b/>
        </w:rPr>
        <w:t xml:space="preserve">FEOC thresholds for storage specifically are more demanding than for solar:</w:t>
      </w:r>
      <w:r>
        <w:t xml:space="preserve"> </w:t>
      </w:r>
      <w:r>
        <w:t xml:space="preserve">For storage projects, 55% of the value must be non-FEOC for projects beginning construction in 2026, increasing to 75% for projects starting in 2030.</w:t>
      </w:r>
      <w:r>
        <w:t xml:space="preserve"> </w:t>
      </w:r>
      <w:r>
        <w:t xml:space="preserve">This compares to 40% for solar in 2026.</w:t>
      </w:r>
    </w:p>
    <w:p>
      <w:pPr>
        <w:pStyle w:val="BodyText"/>
      </w:pPr>
      <w:r>
        <w:rPr>
          <w:b/>
        </w:rPr>
        <w:t xml:space="preserve">The 10-year recapture risk for 48E is severe:</w:t>
      </w:r>
      <w:r>
        <w:t xml:space="preserve"> </w:t>
      </w:r>
      <w:r>
        <w:t xml:space="preserve">In the case of 48E specifically, if any of these payments are made within 10 years after the facility is placed into service, the taxpayer would be forced to pay back the entire value of the previously claimed tax credit.</w:t>
      </w:r>
      <w:r>
        <w:t xml:space="preserve"> </w:t>
      </w:r>
      <w:r>
        <w:t xml:space="preserve">This recapture risk — if a battery system’s supply chain later becomes FEOC-contaminated through replacement parts, warranty repairs, or sub-component sourcing — creates ongoing compliance exposure that is not present in solar panel installations (which have no moving parts).</w:t>
      </w:r>
    </w:p>
    <w:p>
      <w:pPr>
        <w:pStyle w:val="BodyText"/>
      </w:pPr>
      <w:r>
        <w:t xml:space="preserve">The main concern is that Chinese-sourced batteries and sub-components could trigger tax credit clawbacks due to routine maintenance and warranty repairs after December 31, 2025.</w:t>
      </w:r>
    </w:p>
    <w:p>
      <w:pPr>
        <w:pStyle w:val="BodyText"/>
      </w:pPr>
      <w:r>
        <w:rPr>
          <w:b/>
        </w:rPr>
        <w:t xml:space="preserve">Critical implication for Lunar Energy specifically:</w:t>
      </w:r>
      <w:r>
        <w:t xml:space="preserve"> </w:t>
      </w:r>
      <w:r>
        <w:t xml:space="preserve">Lunar’s battery hardware sourcing must be scrupulously documented. If Lunar’s cells or sub-components come from CATL, BYD, Gotion, or other FEOC-linked suppliers, the 48E ITC availability for Sunrun’s TPO deployments could be compromised — destroying the core financial thesis.</w:t>
      </w:r>
    </w:p>
    <w:p>
      <w:pPr>
        <w:pStyle w:val="Heading3"/>
      </w:pPr>
      <w:bookmarkStart w:id="32" w:name="X58ff41a28b3607db0edc4a353da2da692061bf1"/>
      <w:r>
        <w:t xml:space="preserve">2B. The 25D Elimination Hurts Owned Battery Sales Too, Shrinking One Market Segment</w:t>
      </w:r>
      <w:bookmarkEnd w:id="32"/>
    </w:p>
    <w:p>
      <w:pPr>
        <w:pStyle w:val="FirstParagraph"/>
      </w:pPr>
      <w:r>
        <w:t xml:space="preserve">While the hypothesis focuses on TPO, it’s worth noting that the 25D elimination removes the 30% credit for homeowners who would buy (not lease) a standalone battery. This eliminates a customer segment and could actually dampen total battery market growth, partly offsetting the TPO advantage.</w:t>
      </w:r>
      <w:r>
        <w:t xml:space="preserve"> </w:t>
      </w:r>
      <w:r>
        <w:t xml:space="preserve">The overarching effect of losing the solar tax credit will be that it will make solar energy less affordable for homeowners to purchase. We may see more companies turning to TPO products, but especially in recent months/years, some large TPO providers have been experiencing financial trouble.</w:t>
      </w:r>
    </w:p>
    <w:p>
      <w:pPr>
        <w:pStyle w:val="Heading3"/>
      </w:pPr>
      <w:bookmarkStart w:id="33" w:name="Xc95848c85561ffd5421c66f5292bbb142047760"/>
      <w:r>
        <w:t xml:space="preserve">2C. Solar TPO (48E for Solar) Survives Through 2027 — The Asymmetry Window Is Shorter Than It Appears</w:t>
      </w:r>
      <w:bookmarkEnd w:id="33"/>
    </w:p>
    <w:p>
      <w:pPr>
        <w:pStyle w:val="FirstParagraph"/>
      </w:pPr>
      <w:r>
        <w:t xml:space="preserve">The hypothesis describes a</w:t>
      </w:r>
      <w:r>
        <w:t xml:space="preserve"> </w:t>
      </w:r>
      <w:r>
        <w:t xml:space="preserve">“</w:t>
      </w:r>
      <w:r>
        <w:t xml:space="preserve">7+ year</w:t>
      </w:r>
      <w:r>
        <w:t xml:space="preserve">”</w:t>
      </w:r>
      <w:r>
        <w:t xml:space="preserve"> </w:t>
      </w:r>
      <w:r>
        <w:t xml:space="preserve">battery-storage ITC advantage. But this requires careful unpacking. Solar TPO (48E for solar leases/PPAs) remains available through end-2027 — not already expired.</w:t>
      </w:r>
      <w:r>
        <w:t xml:space="preserve"> </w:t>
      </w:r>
      <w:r>
        <w:t xml:space="preserve">The business-claimed 48E tax credit for residential solar leases, PPAs, and prepaid solar products remains in effect through the end of 2027.</w:t>
      </w:r>
      <w:r>
        <w:t xml:space="preserve"> </w:t>
      </w:r>
      <w:r>
        <w:t xml:space="preserve">So the</w:t>
      </w:r>
      <w:r>
        <w:t xml:space="preserve"> </w:t>
      </w:r>
      <w:r>
        <w:rPr>
          <w:b/>
        </w:rPr>
        <w:t xml:space="preserve">net asymmetry period</w:t>
      </w:r>
      <w:r>
        <w:t xml:space="preserve"> </w:t>
      </w:r>
      <w:r>
        <w:t xml:space="preserve">where batteries-only get ITC but solar does not begins in 2028, not today. The period from now (early 2026) through end-2027 is a</w:t>
      </w:r>
      <w:r>
        <w:t xml:space="preserve"> </w:t>
      </w:r>
      <w:r>
        <w:rPr>
          <w:b/>
        </w:rPr>
        <w:t xml:space="preserve">transition zone</w:t>
      </w:r>
      <w:r>
        <w:t xml:space="preserve"> </w:t>
      </w:r>
      <w:r>
        <w:t xml:space="preserve">where both solar and storage TPO qualify, though storage qualifies further into the future.</w:t>
      </w:r>
    </w:p>
    <w:p>
      <w:pPr>
        <w:pStyle w:val="Heading3"/>
      </w:pPr>
      <w:bookmarkStart w:id="34" w:name="X2de1b35789c64b2dc2d53672a58f03ea9478028"/>
      <w:r>
        <w:t xml:space="preserve">2D. The Battery-Only Value Proposition Still Requires Customer Education</w:t>
      </w:r>
      <w:bookmarkEnd w:id="34"/>
    </w:p>
    <w:p>
      <w:pPr>
        <w:pStyle w:val="FirstParagraph"/>
      </w:pPr>
      <w:r>
        <w:t xml:space="preserve">For non-solar homeowners, a standalone battery system (Segment A) offers backup power and VPP earnings but no solar bill reduction. The payback period for a standalone battery in a non-solar home is materially longer than for solar+storage. Without a dramatic increase in VPP compensation rates, the economics remain challenging outside of high-reliability-risk markets (wildfire zones, areas with PSPS events, etc.).</w:t>
      </w:r>
    </w:p>
    <w:p>
      <w:pPr>
        <w:pStyle w:val="Heading3"/>
      </w:pPr>
      <w:bookmarkStart w:id="35" w:name="X07ab63195b8f758ca0f09610e0c38cd595ce59a"/>
      <w:r>
        <w:t xml:space="preserve">2E. TPO Company Financial Stress Is a Distribution Risk</w:t>
      </w:r>
      <w:bookmarkEnd w:id="35"/>
    </w:p>
    <w:p>
      <w:pPr>
        <w:pStyle w:val="FirstParagraph"/>
      </w:pPr>
      <w:r>
        <w:t xml:space="preserve">Sunrun itself carries enormous financial leverage:</w:t>
      </w:r>
      <w:r>
        <w:t xml:space="preserve"> </w:t>
      </w:r>
      <w:r>
        <w:t xml:space="preserve">net debt/EBITDA ~78× and interest coverage below 1× expose Sunrun to refinancing risks if credit markets tighten; large scheduled debt repayments could strain cash flow if cash-generation targets fall short.</w:t>
      </w:r>
      <w:r>
        <w:t xml:space="preserve"> </w:t>
      </w:r>
      <w:r>
        <w:t xml:space="preserve">A Sunrun financial distress scenario — similar to Sunnova’s collapse — would be existential for Lunar’s primary distribution channel.</w:t>
      </w:r>
    </w:p>
    <w:p>
      <w:pPr>
        <w:pStyle w:val="Heading3"/>
      </w:pPr>
      <w:bookmarkStart w:id="36" w:name="Xbf93eb241ca1f9974938163b4e76de0a1068d5d"/>
      <w:r>
        <w:t xml:space="preserve">2F. The</w:t>
      </w:r>
      <w:r>
        <w:t xml:space="preserve"> </w:t>
      </w:r>
      <w:r>
        <w:t xml:space="preserve">“</w:t>
      </w:r>
      <w:r>
        <w:t xml:space="preserve">Placed-in-Service</w:t>
      </w:r>
      <w:r>
        <w:t xml:space="preserve">”</w:t>
      </w:r>
      <w:r>
        <w:t xml:space="preserve"> </w:t>
      </w:r>
      <w:r>
        <w:t xml:space="preserve">Cliff for Storage at Solar Facilities Needs Clarification</w:t>
      </w:r>
      <w:bookmarkEnd w:id="36"/>
    </w:p>
    <w:p>
      <w:pPr>
        <w:pStyle w:val="FirstParagraph"/>
      </w:pPr>
      <w:r>
        <w:t xml:space="preserve">One open question:</w:t>
      </w:r>
      <w:r>
        <w:t xml:space="preserve"> </w:t>
      </w:r>
      <w:r>
        <w:t xml:space="preserve">with the solar 48E commercial ITC expiring after December 31, 2027, the question arises of whether batteries paired with solar installed in 2028 and beyond can qualify for the 48E commercial ITC. Current speculation is a simple</w:t>
      </w:r>
      <w:r>
        <w:t xml:space="preserve"> </w:t>
      </w:r>
      <w:r>
        <w:t xml:space="preserve">“</w:t>
      </w:r>
      <w:r>
        <w:t xml:space="preserve">no.</w:t>
      </w:r>
      <w:r>
        <w:t xml:space="preserve">”</w:t>
      </w:r>
      <w:r>
        <w:t xml:space="preserve"> </w:t>
      </w:r>
      <w:r>
        <w:t xml:space="preserve">There appears to be a direct attack on solar and wind, and all indications point to solar and wind costs being ineligible for the 48E ITC after the deadline, even when paired with storage technology.</w:t>
      </w:r>
      <w:r>
        <w:t xml:space="preserve"> </w:t>
      </w:r>
      <w:r>
        <w:t xml:space="preserve">This matters for hybrid solar+battery deployments post-2027.</w:t>
      </w:r>
    </w:p>
    <w:p>
      <w:pPr>
        <w:pStyle w:val="Heading3"/>
      </w:pPr>
      <w:bookmarkStart w:id="37" w:name="X6c76d70d53dd4e1234d55d73854fd1bc9871e27"/>
      <w:r>
        <w:t xml:space="preserve">2G. NEM 2.0 Homeowners Already Have Solar — Retrofit Complexity</w:t>
      </w:r>
      <w:bookmarkEnd w:id="37"/>
    </w:p>
    <w:p>
      <w:pPr>
        <w:pStyle w:val="FirstParagraph"/>
      </w:pPr>
      <w:r>
        <w:t xml:space="preserve">NEM 2.0 homeowners who add battery storage will, in most cases, have existing solar from another vendor. Lunar’s system must integrate with third-party solar inverters (Enphase, SolarEdge, string inverters), which is achievable but adds installation complexity. Enphase and Tesla have ecosystem lock-in advantages for their own panel customers that Lunar lacks.</w:t>
      </w:r>
    </w:p>
    <w:p>
      <w:pPr>
        <w:pStyle w:val="Heading3"/>
      </w:pPr>
      <w:bookmarkStart w:id="38" w:name="X2eb5eaec43ceec35a301a43efffbd0953acc779"/>
      <w:r>
        <w:t xml:space="preserve">2H. The 48E ITC May Require Prevailing Wage/Apprenticeship for the 30% Rate</w:t>
      </w:r>
      <w:bookmarkEnd w:id="38"/>
    </w:p>
    <w:p>
      <w:pPr>
        <w:pStyle w:val="FirstParagraph"/>
      </w:pPr>
      <w:r>
        <w:t xml:space="preserve">Projects receive a 6% base rate that can be increased to 30% if they meet Prevailing Wage and Apprenticeships requirements (or exemption).</w:t>
      </w:r>
      <w:r>
        <w:t xml:space="preserve"> </w:t>
      </w:r>
      <w:r>
        <w:t xml:space="preserve">For residential battery installations through Sunrun, the prevailing wage requirements apply unless the system is under 1 MW (which all residential systems are). The IRS has specific residential-scale exemptions, but this adds compliance complexity that larger TPO operators must manage at scale.</w:t>
      </w:r>
    </w:p>
    <w:p>
      <w:r>
        <w:pict>
          <v:rect style="width:0;height:1.5pt" o:hralign="center" o:hrstd="t" o:hr="t"/>
        </w:pict>
      </w:r>
    </w:p>
    <w:p>
      <w:pPr>
        <w:pStyle w:val="Heading2"/>
      </w:pPr>
      <w:bookmarkStart w:id="39" w:name="comparable-examples"/>
      <w:r>
        <w:t xml:space="preserve">3. COMPARABLE EXAMPLES</w:t>
      </w:r>
      <w:bookmarkEnd w:id="39"/>
    </w:p>
    <w:p>
      <w:pPr>
        <w:pStyle w:val="Heading3"/>
      </w:pPr>
      <w:bookmarkStart w:id="40" w:name="Xa570bc8d994727b9458f82ed69d77fae1fec0a2"/>
      <w:r>
        <w:t xml:space="preserve">3A. The Solar Leasing Playbook (2010–2015): TPO as ITC Monetization</w:t>
      </w:r>
      <w:bookmarkEnd w:id="40"/>
    </w:p>
    <w:p>
      <w:pPr>
        <w:pStyle w:val="FirstParagraph"/>
      </w:pPr>
      <w:r>
        <w:t xml:space="preserve">Sunrun, SolarCity (now Tesla), and Vivint Solar all built multi-billion-dollar businesses by exploiting the ITC gap between institutional investors (who could use the ITC) and retail homeowners (who often couldn’t due to AMT or insufficient tax liability). The result: TPO grew to 70%+ of the residential solar market by 2015 before loan/ownership models overtook it. The 25D elimination functionally recreates 2010 conditions: homeowners lose direct credit access, TPO operators retain commercial credit access, and the gap incentivizes leasing again.</w:t>
      </w:r>
      <w:r>
        <w:t xml:space="preserve"> </w:t>
      </w:r>
      <w:r>
        <w:t xml:space="preserve">When the federal ITC begins to phase out after 2025, TPO models are expected to retain relevance, particularly for middle-income households that cannot finance large upfront investments.</w:t>
      </w:r>
    </w:p>
    <w:p>
      <w:pPr>
        <w:pStyle w:val="Heading3"/>
      </w:pPr>
      <w:bookmarkStart w:id="41" w:name="Xee0ef1ead7b42fc2d9c8241af3dbad23aa2838d"/>
      <w:r>
        <w:t xml:space="preserve">3B. NEM 2.0 → NEM 3.0 Transition Created a Battery Surge</w:t>
      </w:r>
      <w:bookmarkEnd w:id="41"/>
    </w:p>
    <w:p>
      <w:pPr>
        <w:pStyle w:val="FirstParagraph"/>
      </w:pPr>
      <w:r>
        <w:t xml:space="preserve">California’s 2023 NEM 3.0 shift is the closest structural analogue: it reduced solar-only value, dramatically increased storage attachment rates.</w:t>
      </w:r>
      <w:r>
        <w:t xml:space="preserve"> </w:t>
      </w:r>
      <w:r>
        <w:t xml:space="preserve">Despite initial industry disruption with 17,000 job cuts, battery attachment rates have surged from 11% to over 50% by 2024, demonstrating successful market adaptation to NEM 3.0’s economics.</w:t>
      </w:r>
      <w:r>
        <w:t xml:space="preserve"> </w:t>
      </w:r>
      <w:r>
        <w:t xml:space="preserve">The OBBBA creates a federal-level version of this dynamic.</w:t>
      </w:r>
    </w:p>
    <w:p>
      <w:pPr>
        <w:pStyle w:val="Heading3"/>
      </w:pPr>
      <w:bookmarkStart w:id="42" w:name="Xabb4bd46bd95623dcbee5a5ad0bea24810208a2"/>
      <w:r>
        <w:t xml:space="preserve">3C. Sonnen’s Battery-First Strategy in Europe</w:t>
      </w:r>
      <w:bookmarkEnd w:id="42"/>
    </w:p>
    <w:p>
      <w:pPr>
        <w:pStyle w:val="FirstParagraph"/>
      </w:pPr>
      <w:r>
        <w:t xml:space="preserve">German company Sonnen successfully repositioned as a</w:t>
      </w:r>
      <w:r>
        <w:t xml:space="preserve"> </w:t>
      </w:r>
      <w:r>
        <w:t xml:space="preserve">“</w:t>
      </w:r>
      <w:r>
        <w:t xml:space="preserve">virtual energy community</w:t>
      </w:r>
      <w:r>
        <w:t xml:space="preserve">”</w:t>
      </w:r>
      <w:r>
        <w:t xml:space="preserve"> </w:t>
      </w:r>
      <w:r>
        <w:t xml:space="preserve">provider — selling batteries first, integrating VPP earnings, and building community-based energy trading. This is architecturally similar to what Lunar+Sunrun could execute. Sonnen was acquired by Shell and expanded to the US, operating a community solar model in California.</w:t>
      </w:r>
    </w:p>
    <w:p>
      <w:pPr>
        <w:pStyle w:val="Heading3"/>
      </w:pPr>
      <w:bookmarkStart w:id="43" w:name="X1d203aa1bed5f11ed77629a5b956a6882adc1d2"/>
      <w:r>
        <w:t xml:space="preserve">3D. SunPower/Sunnova vs. Sunrun: The Divergence of Storage-Led vs. Solar-Led</w:t>
      </w:r>
      <w:bookmarkEnd w:id="43"/>
    </w:p>
    <w:p>
      <w:pPr>
        <w:pStyle w:val="FirstParagraph"/>
      </w:pPr>
      <w:r>
        <w:t xml:space="preserve">SunPower’s 2024 bankruptcy and Sunnova’s 2025 collapse show that policy myopia is fatal.</w:t>
      </w:r>
      <w:r>
        <w:t xml:space="preserve"> </w:t>
      </w:r>
      <w:r>
        <w:t xml:space="preserve">Both companies had solar-heavy strategies and lower storage attachment rates. Sunrun’s storage-first pivot preserved its financial stability comparatively:</w:t>
      </w:r>
      <w:r>
        <w:t xml:space="preserve"> </w:t>
      </w:r>
      <w:r>
        <w:t xml:space="preserve">this regulatory</w:t>
      </w:r>
      <w:r>
        <w:t xml:space="preserve"> </w:t>
      </w:r>
      <w:r>
        <w:t xml:space="preserve">“</w:t>
      </w:r>
      <w:r>
        <w:t xml:space="preserve">whiplash</w:t>
      </w:r>
      <w:r>
        <w:t xml:space="preserve">”</w:t>
      </w:r>
      <w:r>
        <w:t xml:space="preserve"> </w:t>
      </w:r>
      <w:r>
        <w:t xml:space="preserve">hit Sunnova harder than competitors like Sunrun, which diversified into energy storage (62% of contracts include batteries) and broader geographic markets.</w:t>
      </w:r>
    </w:p>
    <w:p>
      <w:r>
        <w:pict>
          <v:rect style="width:0;height:1.5pt" o:hralign="center" o:hrstd="t" o:hr="t"/>
        </w:pict>
      </w:r>
    </w:p>
    <w:p>
      <w:pPr>
        <w:pStyle w:val="Heading2"/>
      </w:pPr>
      <w:bookmarkStart w:id="44" w:name="feasibility-assessment"/>
      <w:r>
        <w:t xml:space="preserve">4. FEASIBILITY ASSESSMENT</w:t>
      </w:r>
      <w:bookmarkEnd w:id="44"/>
    </w:p>
    <w:p>
      <w:pPr>
        <w:pStyle w:val="Heading3"/>
      </w:pPr>
      <w:bookmarkStart w:id="45" w:name="Xc8d7be8bcad7ba023e56b5d9e4e2482fe399c25"/>
      <w:r>
        <w:t xml:space="preserve">4A. The TPO Battery Mechanics Work — With FEOC Caveats</w:t>
      </w:r>
      <w:bookmarkEnd w:id="45"/>
    </w:p>
    <w:p>
      <w:pPr>
        <w:pStyle w:val="FirstParagraph"/>
      </w:pPr>
      <w:r>
        <w:t xml:space="preserve">The 48E ITC structure for TPO battery-only deployments is legally sound. Sunrun deploys systems, claims the 30% ITC (potentially up to 70% with adders), monetizes via transferability (selling credits to tax equity investors), and passes savings to customers through reduced monthly rates. This is proven at scale for solar+storage. The standalone-battery-only variant is mechanically identical — the storage system is the eligible property, and no co-located solar is required.</w:t>
      </w:r>
    </w:p>
    <w:p>
      <w:pPr>
        <w:pStyle w:val="BodyText"/>
      </w:pPr>
      <w:r>
        <w:rPr>
          <w:b/>
        </w:rPr>
        <w:t xml:space="preserve">The key feasibility question is FEOC compliance.</w:t>
      </w:r>
      <w:r>
        <w:t xml:space="preserve"> </w:t>
      </w:r>
      <w:r>
        <w:t xml:space="preserve">If Lunar’s cells are sourced from CATL or other PFE-linked manufacturers, the ITC is unavailable. Lunar must demonstrate a FEOC-compliant supply chain. Given that</w:t>
      </w:r>
      <w:r>
        <w:t xml:space="preserve"> </w:t>
      </w:r>
      <w:r>
        <w:t xml:space="preserve">battery pack prices for stationary storage fell to $70/kWh in 2025, a 45% decrease from 2024, making stationary storage the cheapest category for the first time</w:t>
      </w:r>
      <w:r>
        <w:t xml:space="preserve"> </w:t>
      </w:r>
      <w:r>
        <w:t xml:space="preserve">— and this cost drop is largely driven by Chinese manufacturers — building a FEOC-compliant supply chain at competitive cost is a genuine challenge.</w:t>
      </w:r>
    </w:p>
    <w:p>
      <w:pPr>
        <w:pStyle w:val="Heading3"/>
      </w:pPr>
      <w:bookmarkStart w:id="46" w:name="X7e2d17ae75e17b8e4651d78073e87c56542ba7c"/>
      <w:r>
        <w:t xml:space="preserve">4B. Repositioning from</w:t>
      </w:r>
      <w:r>
        <w:t xml:space="preserve"> </w:t>
      </w:r>
      <w:r>
        <w:t xml:space="preserve">“</w:t>
      </w:r>
      <w:r>
        <w:t xml:space="preserve">Solar Battery</w:t>
      </w:r>
      <w:r>
        <w:t xml:space="preserve">”</w:t>
      </w:r>
      <w:r>
        <w:t xml:space="preserve"> </w:t>
      </w:r>
      <w:r>
        <w:t xml:space="preserve">to</w:t>
      </w:r>
      <w:r>
        <w:t xml:space="preserve"> </w:t>
      </w:r>
      <w:r>
        <w:t xml:space="preserve">“</w:t>
      </w:r>
      <w:r>
        <w:t xml:space="preserve">Battery-First</w:t>
      </w:r>
      <w:r>
        <w:t xml:space="preserve">”</w:t>
      </w:r>
      <w:r>
        <w:t xml:space="preserve"> </w:t>
      </w:r>
      <w:r>
        <w:t xml:space="preserve">Is Credible</w:t>
      </w:r>
      <w:bookmarkEnd w:id="46"/>
    </w:p>
    <w:p>
      <w:pPr>
        <w:pStyle w:val="FirstParagraph"/>
      </w:pPr>
      <w:r>
        <w:t xml:space="preserve">Lunar’s hardware design (standalone smart panel + battery) is already architected for non-solar deployment. The product does not require solar. The repositioning would require:</w:t>
      </w:r>
      <w:r>
        <w:t xml:space="preserve"> </w:t>
      </w:r>
      <w:r>
        <w:t xml:space="preserve">- New marketing messaging (backup power, VPP earnings, energy management)</w:t>
      </w:r>
      <w:r>
        <w:t xml:space="preserve"> </w:t>
      </w:r>
      <w:r>
        <w:t xml:space="preserve">- New customer acquisition channels (non-solar homeowner lists, utilities, insurance companies post-wildfire)</w:t>
      </w:r>
      <w:r>
        <w:t xml:space="preserve"> </w:t>
      </w:r>
      <w:r>
        <w:t xml:space="preserve">- Potential new TPO partners beyond Sunrun (though Sunrun’s scale is a significant advantage)</w:t>
      </w:r>
      <w:r>
        <w:t xml:space="preserve"> </w:t>
      </w:r>
      <w:r>
        <w:t xml:space="preserve">- Supply chain certification for FEOC compliance</w:t>
      </w:r>
    </w:p>
    <w:p>
      <w:pPr>
        <w:pStyle w:val="Heading3"/>
      </w:pPr>
      <w:bookmarkStart w:id="47" w:name="X987d35aa3034e83840006321ef5377874236638"/>
      <w:r>
        <w:t xml:space="preserve">4C. The NEM 2.0 Retrofit Channel Is Operationally Straightforward</w:t>
      </w:r>
      <w:bookmarkEnd w:id="47"/>
    </w:p>
    <w:p>
      <w:pPr>
        <w:pStyle w:val="FirstParagraph"/>
      </w:pPr>
      <w:r>
        <w:t xml:space="preserve">Adding battery to an existing NEM 2.0 solar home is a well-established installation workflow. Sunrun already installs retrofits. The challenge is sales economics: the customer already made their</w:t>
      </w:r>
      <w:r>
        <w:t xml:space="preserve"> </w:t>
      </w:r>
      <w:r>
        <w:t xml:space="preserve">“</w:t>
      </w:r>
      <w:r>
        <w:t xml:space="preserve">clean energy decision</w:t>
      </w:r>
      <w:r>
        <w:t xml:space="preserve">”</w:t>
      </w:r>
      <w:r>
        <w:t xml:space="preserve"> </w:t>
      </w:r>
      <w:r>
        <w:t xml:space="preserve">when installing solar. Battery retrofit requires a second sales conversation. However, the retained NEM 2.0 status (20-year protection) combined with the 48E ITC benefit through Sunrun TPO creates a compelling pitch:</w:t>
      </w:r>
      <w:r>
        <w:t xml:space="preserve"> </w:t>
      </w:r>
      <w:r>
        <w:t xml:space="preserve">“</w:t>
      </w:r>
      <w:r>
        <w:t xml:space="preserve">add storage, keep your favorable rates, reduce your effective cost by 30%+.</w:t>
      </w:r>
      <w:r>
        <w:t xml:space="preserve">”</w:t>
      </w:r>
    </w:p>
    <w:p>
      <w:r>
        <w:pict>
          <v:rect style="width:0;height:1.5pt" o:hralign="center" o:hrstd="t" o:hr="t"/>
        </w:pict>
      </w:r>
    </w:p>
    <w:p>
      <w:pPr>
        <w:pStyle w:val="Heading2"/>
      </w:pPr>
      <w:bookmarkStart w:id="48" w:name="magnitude-estimate"/>
      <w:r>
        <w:t xml:space="preserve">5. MAGNITUDE ESTIMATE</w:t>
      </w:r>
      <w:bookmarkEnd w:id="48"/>
    </w:p>
    <w:p>
      <w:pPr>
        <w:pStyle w:val="Heading3"/>
      </w:pPr>
      <w:bookmarkStart w:id="49" w:name="a.-nem-2.0-retrofit-tam-segment-b"/>
      <w:r>
        <w:t xml:space="preserve">5A. NEM 2.0 Retrofit TAM (Segment B)</w:t>
      </w:r>
      <w:bookmarkEnd w:id="49"/>
    </w:p>
    <w:p>
      <w:pPr>
        <w:numPr>
          <w:ilvl w:val="0"/>
          <w:numId w:val="1001"/>
        </w:numPr>
      </w:pPr>
      <w:r>
        <w:t xml:space="preserve">Total NEM 1.0 + NEM 2.0 California customers:</w:t>
      </w:r>
      <w:r>
        <w:t xml:space="preserve"> </w:t>
      </w:r>
      <w:r>
        <w:t xml:space="preserve">1.5 million customers with more than 12,000 megawatts of renewable generation.</w:t>
      </w:r>
    </w:p>
    <w:p>
      <w:pPr>
        <w:numPr>
          <w:ilvl w:val="0"/>
          <w:numId w:val="1001"/>
        </w:numPr>
      </w:pPr>
      <w:r>
        <w:t xml:space="preserve">NEM 2.0-specific cohort (post-July 2017, pre-April 2023): estimated 600,000–900,000 accounts (the NEM 1.0 cohort originated pre-2017 and is largely already captured or aging out)</w:t>
      </w:r>
    </w:p>
    <w:p>
      <w:pPr>
        <w:numPr>
          <w:ilvl w:val="0"/>
          <w:numId w:val="1001"/>
        </w:numPr>
      </w:pPr>
      <w:r>
        <w:t xml:space="preserve">Battery attachment rate at time of NEM 2.0 solar install: historically ~10–15% (before NEM 3.0 economics took hold)</w:t>
      </w:r>
    </w:p>
    <w:p>
      <w:pPr>
        <w:numPr>
          <w:ilvl w:val="0"/>
          <w:numId w:val="1001"/>
        </w:numPr>
      </w:pPr>
      <w:r>
        <w:t xml:space="preserve">Residual retrofit opportunity: 500,000–800,000 NEM 2.0 solar homes without battery</w:t>
      </w:r>
    </w:p>
    <w:p>
      <w:pPr>
        <w:numPr>
          <w:ilvl w:val="0"/>
          <w:numId w:val="1001"/>
        </w:numPr>
      </w:pPr>
      <w:r>
        <w:t xml:space="preserve">Capture rate realistic for Lunar/Sunrun given TPO economics and 48E ITC: 5–15% over 5 years =</w:t>
      </w:r>
      <w:r>
        <w:t xml:space="preserve"> </w:t>
      </w:r>
      <w:r>
        <w:rPr>
          <w:b/>
        </w:rPr>
        <w:t xml:space="preserve">25,000–120,000 systems</w:t>
      </w:r>
    </w:p>
    <w:p>
      <w:pPr>
        <w:numPr>
          <w:ilvl w:val="0"/>
          <w:numId w:val="1001"/>
        </w:numPr>
      </w:pPr>
      <w:r>
        <w:t xml:space="preserve">Revenue per system (TPO present value): ~$12,000–$18,000 ASP equivalent</w:t>
      </w:r>
    </w:p>
    <w:p>
      <w:pPr>
        <w:numPr>
          <w:ilvl w:val="0"/>
          <w:numId w:val="1001"/>
        </w:numPr>
      </w:pPr>
      <w:r>
        <w:rPr>
          <w:b/>
        </w:rPr>
        <w:t xml:space="preserve">Segment B TAM (California alone): $300M–$2.2B over 5 years</w:t>
      </w:r>
    </w:p>
    <w:p>
      <w:pPr>
        <w:pStyle w:val="Heading3"/>
      </w:pPr>
      <w:bookmarkStart w:id="50" w:name="b.-non-solar-homeowner-tam-segment-a"/>
      <w:r>
        <w:t xml:space="preserve">5B. Non-Solar Homeowner TAM (Segment A)</w:t>
      </w:r>
      <w:bookmarkEnd w:id="50"/>
    </w:p>
    <w:p>
      <w:pPr>
        <w:pStyle w:val="FirstParagraph"/>
      </w:pPr>
      <w:r>
        <w:t xml:space="preserve">This segment is harder to size precisely. Key inputs:</w:t>
      </w:r>
      <w:r>
        <w:t xml:space="preserve"> </w:t>
      </w:r>
      <w:r>
        <w:t xml:space="preserve">- California total single-family homes: ~8.5 million</w:t>
      </w:r>
      <w:r>
        <w:t xml:space="preserve"> </w:t>
      </w:r>
      <w:r>
        <w:t xml:space="preserve">- Homes without solar: ~7 million (roughly 1.5M have solar of various kinds)</w:t>
      </w:r>
      <w:r>
        <w:t xml:space="preserve"> </w:t>
      </w:r>
      <w:r>
        <w:t xml:space="preserve">- Homes economically motivated for standalone battery (high utility rates, wildfire risk, TOU arbitrage, VPP interest): estimated at 10–20% of non-solar homes =</w:t>
      </w:r>
      <w:r>
        <w:t xml:space="preserve"> </w:t>
      </w:r>
      <w:r>
        <w:rPr>
          <w:b/>
        </w:rPr>
        <w:t xml:space="preserve">700,000–1.4M homes</w:t>
      </w:r>
      <w:r>
        <w:t xml:space="preserve"> </w:t>
      </w:r>
      <w:r>
        <w:t xml:space="preserve">- Near-term capture potential without strong VPP economics: 1–3% =</w:t>
      </w:r>
      <w:r>
        <w:t xml:space="preserve"> </w:t>
      </w:r>
      <w:r>
        <w:rPr>
          <w:b/>
        </w:rPr>
        <w:t xml:space="preserve">7,000–42,000 systems</w:t>
      </w:r>
      <w:r>
        <w:t xml:space="preserve"> </w:t>
      </w:r>
      <w:r>
        <w:t xml:space="preserve">- At $15,000–$20,000 installed cost per 20 kWh system</w:t>
      </w:r>
      <w:r>
        <w:t xml:space="preserve"> </w:t>
      </w:r>
      <w:r>
        <w:t xml:space="preserve">-</w:t>
      </w:r>
      <w:r>
        <w:t xml:space="preserve"> </w:t>
      </w:r>
      <w:r>
        <w:rPr>
          <w:b/>
        </w:rPr>
        <w:t xml:space="preserve">Segment A TAM (California alone, 5-year): $100M–$840M</w:t>
      </w:r>
    </w:p>
    <w:p>
      <w:pPr>
        <w:pStyle w:val="BodyText"/>
      </w:pPr>
      <w:r>
        <w:rPr>
          <w:b/>
        </w:rPr>
        <w:t xml:space="preserve">Aggregate California TAM estimate (Segments A+B combined, 5 years): $400M–$3B</w:t>
      </w:r>
    </w:p>
    <w:p>
      <w:pPr>
        <w:pStyle w:val="BodyText"/>
      </w:pPr>
      <w:r>
        <w:t xml:space="preserve">Nationally (California typically represents 30–40% of residential battery market):</w:t>
      </w:r>
      <w:r>
        <w:t xml:space="preserve"> </w:t>
      </w:r>
      <w:r>
        <w:rPr>
          <w:b/>
        </w:rPr>
        <w:t xml:space="preserve">$1B–$7.5B national TAM</w:t>
      </w:r>
    </w:p>
    <w:p>
      <w:pPr>
        <w:pStyle w:val="BodyText"/>
      </w:pPr>
      <w:r>
        <w:t xml:space="preserve">The</w:t>
      </w:r>
      <w:r>
        <w:t xml:space="preserve"> </w:t>
      </w:r>
      <w:r>
        <w:t xml:space="preserve">“</w:t>
      </w:r>
      <w:r>
        <w:t xml:space="preserve">3–5x larger than solar+battery</w:t>
      </w:r>
      <w:r>
        <w:t xml:space="preserve">”</w:t>
      </w:r>
      <w:r>
        <w:t xml:space="preserve"> </w:t>
      </w:r>
      <w:r>
        <w:t xml:space="preserve">claim in the hypothesis is plausible for the retrofit segment but overstates the immediate Segment A opportunity given current standalone battery economics.</w:t>
      </w:r>
    </w:p>
    <w:p>
      <w:pPr>
        <w:pStyle w:val="Heading3"/>
      </w:pPr>
      <w:bookmarkStart w:id="51" w:name="Xc3c224fe5dcbe9722bd507dc96a9df149fde455"/>
      <w:r>
        <w:t xml:space="preserve">5C. The Economic Model for Non-Solar Homeowner Battery</w:t>
      </w:r>
      <w:bookmarkEnd w:id="51"/>
    </w:p>
    <w:p>
      <w:pPr>
        <w:pStyle w:val="FirstParagraph"/>
      </w:pPr>
      <w:r>
        <w:t xml:space="preserve">Here is a modeled payback for the</w:t>
      </w:r>
      <w:r>
        <w:t xml:space="preserve"> </w:t>
      </w:r>
      <w:r>
        <w:rPr>
          <w:b/>
        </w:rPr>
        <w:t xml:space="preserve">homeowner</w:t>
      </w:r>
      <w:r>
        <w:t xml:space="preserve"> </w:t>
      </w:r>
      <w:r>
        <w:t xml:space="preserve">in a TPO/lease structure: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System: 20 kWh Lunar battery + smart panel</w:t>
            </w:r>
          </w:p>
        </w:tc>
        <w:tc>
          <w:p>
            <w:pPr>
              <w:pStyle w:val="Compact"/>
              <w:jc w:val="left"/>
            </w:pPr>
            <w:r>
              <w:t xml:space="preserve">~$20,000 installed cost</w:t>
            </w:r>
          </w:p>
        </w:tc>
      </w:tr>
      <w:tr>
        <w:tc>
          <w:p>
            <w:pPr>
              <w:pStyle w:val="Compact"/>
              <w:jc w:val="left"/>
            </w:pPr>
            <w:r>
              <w:t xml:space="preserve">48E ITC benefit (passed through via TPO pricing)</w:t>
            </w:r>
          </w:p>
        </w:tc>
        <w:tc>
          <w:p>
            <w:pPr>
              <w:pStyle w:val="Compact"/>
              <w:jc w:val="left"/>
            </w:pPr>
            <w:r>
              <w:t xml:space="preserve">~$6,000 (30%)</w:t>
            </w:r>
          </w:p>
        </w:tc>
      </w:tr>
      <w:tr>
        <w:tc>
          <w:p>
            <w:pPr>
              <w:pStyle w:val="Compact"/>
              <w:jc w:val="left"/>
            </w:pPr>
            <w:r>
              <w:t xml:space="preserve">Net effective cost to deploy</w:t>
            </w:r>
          </w:p>
        </w:tc>
        <w:tc>
          <w:p>
            <w:pPr>
              <w:pStyle w:val="Compact"/>
              <w:jc w:val="left"/>
            </w:pPr>
            <w:r>
              <w:t xml:space="preserve">~$14,000</w:t>
            </w:r>
          </w:p>
        </w:tc>
      </w:tr>
      <w:tr>
        <w:tc>
          <w:p>
            <w:pPr>
              <w:pStyle w:val="Compact"/>
              <w:jc w:val="left"/>
            </w:pPr>
            <w:r>
              <w:t xml:space="preserve">TPO structure: monthly lease payment</w:t>
            </w:r>
          </w:p>
        </w:tc>
        <w:tc>
          <w:p>
            <w:pPr>
              <w:pStyle w:val="Compact"/>
              <w:jc w:val="left"/>
            </w:pPr>
            <w:r>
              <w:t xml:space="preserve">~$80–120/month (vs. owning at $20K)</w:t>
            </w:r>
          </w:p>
        </w:tc>
      </w:tr>
      <w:tr>
        <w:tc>
          <w:p>
            <w:pPr>
              <w:pStyle w:val="Compact"/>
              <w:jc w:val="left"/>
            </w:pPr>
            <w:r>
              <w:t xml:space="preserve">VPP earnings (CalReady or equivalent, 106K+ homes enrolled by Sunrun)</w:t>
            </w:r>
          </w:p>
        </w:tc>
        <w:tc>
          <w:p>
            <w:pPr>
              <w:pStyle w:val="Compact"/>
              <w:jc w:val="left"/>
            </w:pPr>
            <w:r>
              <w:t xml:space="preserve">$150–$300/year</w:t>
            </w:r>
          </w:p>
        </w:tc>
      </w:tr>
      <w:tr>
        <w:tc>
          <w:p>
            <w:pPr>
              <w:pStyle w:val="Compact"/>
              <w:jc w:val="left"/>
            </w:pPr>
            <w:r>
              <w:t xml:space="preserve">Backup power value (insurance premium offset, peace of mind)</w:t>
            </w:r>
          </w:p>
        </w:tc>
        <w:tc>
          <w:p>
            <w:pPr>
              <w:pStyle w:val="Compact"/>
              <w:jc w:val="left"/>
            </w:pPr>
            <w:r>
              <w:t xml:space="preserve">Unquantified but real</w:t>
            </w:r>
          </w:p>
        </w:tc>
      </w:tr>
      <w:tr>
        <w:tc>
          <w:p>
            <w:pPr>
              <w:pStyle w:val="Compact"/>
              <w:jc w:val="left"/>
            </w:pPr>
            <w:r>
              <w:t xml:space="preserve">TOU arbitrage savings (charge cheap/discharge expensive, California rates 30¢+/kWh)</w:t>
            </w:r>
          </w:p>
        </w:tc>
        <w:tc>
          <w:p>
            <w:pPr>
              <w:pStyle w:val="Compact"/>
              <w:jc w:val="left"/>
            </w:pPr>
            <w:r>
              <w:t xml:space="preserve">$200–$600/year</w:t>
            </w:r>
          </w:p>
        </w:tc>
      </w:tr>
      <w:tr>
        <w:tc>
          <w:p>
            <w:pPr>
              <w:pStyle w:val="Compact"/>
              <w:jc w:val="left"/>
            </w:pPr>
            <w:r>
              <w:rPr>
                <w:b/>
              </w:rPr>
              <w:t xml:space="preserve">Total annual benefit (TPO vs. grid-only)</w:t>
            </w:r>
          </w:p>
        </w:tc>
        <w:tc>
          <w:p>
            <w:pPr>
              <w:pStyle w:val="Compact"/>
              <w:jc w:val="left"/>
            </w:pPr>
            <w:r>
              <w:rPr>
                <w:b/>
              </w:rPr>
              <w:t xml:space="preserve">$350–$900/year in savings + VPP</w:t>
            </w:r>
          </w:p>
        </w:tc>
      </w:tr>
      <w:tr>
        <w:tc>
          <w:p>
            <w:pPr>
              <w:pStyle w:val="Compact"/>
              <w:jc w:val="left"/>
            </w:pPr>
            <w:r>
              <w:rPr>
                <w:b/>
              </w:rPr>
              <w:t xml:space="preserve">Effective TPO payback for operator</w:t>
            </w:r>
          </w:p>
        </w:tc>
        <w:tc>
          <w:p>
            <w:pPr>
              <w:pStyle w:val="Compact"/>
              <w:jc w:val="left"/>
            </w:pPr>
            <w:r>
              <w:rPr>
                <w:b/>
              </w:rPr>
              <w:t xml:space="preserve">~8–12 years</w:t>
            </w:r>
            <w:r>
              <w:t xml:space="preserve"> </w:t>
            </w:r>
            <w:r>
              <w:t xml:space="preserve">(within 20-year TPO contract lifecycle)</w:t>
            </w:r>
          </w:p>
        </w:tc>
      </w:tr>
    </w:tbl>
    <w:p>
      <w:pPr>
        <w:pStyle w:val="BodyText"/>
      </w:pPr>
      <w:r>
        <w:t xml:space="preserve">The economics are marginal for non-solar homeowners in mild climates. They become compelling in:</w:t>
      </w:r>
      <w:r>
        <w:t xml:space="preserve"> </w:t>
      </w:r>
      <w:r>
        <w:t xml:space="preserve">- High wildfire/PSPS risk areas (backup power premium)</w:t>
      </w:r>
      <w:r>
        <w:t xml:space="preserve"> </w:t>
      </w:r>
      <w:r>
        <w:t xml:space="preserve">- High-TOU electricity markets (PG&amp;E, SDG&amp;E 30–40¢/kWh peaks)</w:t>
      </w:r>
      <w:r>
        <w:t xml:space="preserve"> </w:t>
      </w:r>
      <w:r>
        <w:t xml:space="preserve">- Strong VPP programs with performance-based payments</w:t>
      </w:r>
      <w:r>
        <w:t xml:space="preserve"> </w:t>
      </w:r>
      <w:r>
        <w:t xml:space="preserve">- Areas where electricity rates continue to escalate (California trajectory)</w:t>
      </w:r>
    </w:p>
    <w:p>
      <w:r>
        <w:pict>
          <v:rect style="width:0;height:1.5pt" o:hralign="center" o:hrstd="t" o:hr="t"/>
        </w:pict>
      </w:r>
    </w:p>
    <w:p>
      <w:pPr>
        <w:pStyle w:val="Heading2"/>
      </w:pPr>
      <w:bookmarkStart w:id="52" w:name="confidence-assessment"/>
      <w:r>
        <w:t xml:space="preserve">6. CONFIDENCE ASSESSMENT</w:t>
      </w:r>
      <w:bookmarkEnd w:id="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Claim</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Basis</w:t>
            </w:r>
          </w:p>
        </w:tc>
      </w:tr>
      <w:tr>
        <w:tc>
          <w:p>
            <w:pPr>
              <w:pStyle w:val="Compact"/>
              <w:jc w:val="left"/>
            </w:pPr>
            <w:r>
              <w:t xml:space="preserve">Battery 48E ITC preserved through 2033</w:t>
            </w:r>
          </w:p>
        </w:tc>
        <w:tc>
          <w:p>
            <w:pPr>
              <w:pStyle w:val="Compact"/>
              <w:jc w:val="left"/>
            </w:pPr>
            <w:r>
              <w:rPr>
                <w:b/>
              </w:rPr>
              <w:t xml:space="preserve">Very High (95%)</w:t>
            </w:r>
          </w:p>
        </w:tc>
        <w:tc>
          <w:p>
            <w:pPr>
              <w:pStyle w:val="Compact"/>
              <w:jc w:val="left"/>
            </w:pPr>
            <w:r>
              <w:t xml:space="preserve">Enacted law, confirmed by IRS, multiple law firm analyses, SEIA</w:t>
            </w:r>
          </w:p>
        </w:tc>
      </w:tr>
      <w:tr>
        <w:tc>
          <w:p>
            <w:pPr>
              <w:pStyle w:val="Compact"/>
              <w:jc w:val="left"/>
            </w:pPr>
            <w:r>
              <w:t xml:space="preserve">Solar 48E terminated for new projects after 2027</w:t>
            </w:r>
          </w:p>
        </w:tc>
        <w:tc>
          <w:p>
            <w:pPr>
              <w:pStyle w:val="Compact"/>
              <w:jc w:val="left"/>
            </w:pPr>
            <w:r>
              <w:rPr>
                <w:b/>
              </w:rPr>
              <w:t xml:space="preserve">Very High (95%)</w:t>
            </w:r>
          </w:p>
        </w:tc>
        <w:tc>
          <w:p>
            <w:pPr>
              <w:pStyle w:val="Compact"/>
              <w:jc w:val="left"/>
            </w:pPr>
            <w:r>
              <w:t xml:space="preserve">Same as above</w:t>
            </w:r>
          </w:p>
        </w:tc>
      </w:tr>
      <w:tr>
        <w:tc>
          <w:p>
            <w:pPr>
              <w:pStyle w:val="Compact"/>
              <w:jc w:val="left"/>
            </w:pPr>
            <w:r>
              <w:t xml:space="preserve">25D eliminated for homeowners at end-of-2025</w:t>
            </w:r>
          </w:p>
        </w:tc>
        <w:tc>
          <w:p>
            <w:pPr>
              <w:pStyle w:val="Compact"/>
              <w:jc w:val="left"/>
            </w:pPr>
            <w:r>
              <w:rPr>
                <w:b/>
              </w:rPr>
              <w:t xml:space="preserve">Very High (99%)</w:t>
            </w:r>
          </w:p>
        </w:tc>
        <w:tc>
          <w:p>
            <w:pPr>
              <w:pStyle w:val="Compact"/>
              <w:jc w:val="left"/>
            </w:pPr>
            <w:r>
              <w:t xml:space="preserve">Enacted law, IRS FAQ directly confirms</w:t>
            </w:r>
          </w:p>
        </w:tc>
      </w:tr>
      <w:tr>
        <w:tc>
          <w:p>
            <w:pPr>
              <w:pStyle w:val="Compact"/>
              <w:jc w:val="left"/>
            </w:pPr>
            <w:r>
              <w:t xml:space="preserve">TPO battery qualifies for 48E ITC without solar</w:t>
            </w:r>
          </w:p>
        </w:tc>
        <w:tc>
          <w:p>
            <w:pPr>
              <w:pStyle w:val="Compact"/>
              <w:jc w:val="left"/>
            </w:pPr>
            <w:r>
              <w:rPr>
                <w:b/>
              </w:rPr>
              <w:t xml:space="preserve">High (85%)</w:t>
            </w:r>
          </w:p>
        </w:tc>
        <w:tc>
          <w:p>
            <w:pPr>
              <w:pStyle w:val="Compact"/>
              <w:jc w:val="left"/>
            </w:pPr>
            <w:r>
              <w:t xml:space="preserve">Confirmed by multiple sources; FEOC compliance is the variable</w:t>
            </w:r>
          </w:p>
        </w:tc>
      </w:tr>
      <w:tr>
        <w:tc>
          <w:p>
            <w:pPr>
              <w:pStyle w:val="Compact"/>
              <w:jc w:val="left"/>
            </w:pPr>
            <w:r>
              <w:t xml:space="preserve">FEOC compliance is achievable for residential battery scale</w:t>
            </w:r>
          </w:p>
        </w:tc>
        <w:tc>
          <w:p>
            <w:pPr>
              <w:pStyle w:val="Compact"/>
              <w:jc w:val="left"/>
            </w:pPr>
            <w:r>
              <w:rPr>
                <w:b/>
              </w:rPr>
              <w:t xml:space="preserve">Medium (55%)</w:t>
            </w:r>
          </w:p>
        </w:tc>
        <w:tc>
          <w:p>
            <w:pPr>
              <w:pStyle w:val="Compact"/>
              <w:jc w:val="left"/>
            </w:pPr>
            <w:r>
              <w:t xml:space="preserve">Depends on Lunar’s supply chain; China dominates cell manufacturing</w:t>
            </w:r>
          </w:p>
        </w:tc>
      </w:tr>
      <w:tr>
        <w:tc>
          <w:p>
            <w:pPr>
              <w:pStyle w:val="Compact"/>
              <w:jc w:val="left"/>
            </w:pPr>
            <w:r>
              <w:t xml:space="preserve">10-year FEOC recapture risk is manageable for TPO</w:t>
            </w:r>
          </w:p>
        </w:tc>
        <w:tc>
          <w:p>
            <w:pPr>
              <w:pStyle w:val="Compact"/>
              <w:jc w:val="left"/>
            </w:pPr>
            <w:r>
              <w:rPr>
                <w:b/>
              </w:rPr>
              <w:t xml:space="preserve">Medium-Low (45%)</w:t>
            </w:r>
          </w:p>
        </w:tc>
        <w:tc>
          <w:p>
            <w:pPr>
              <w:pStyle w:val="Compact"/>
              <w:jc w:val="left"/>
            </w:pPr>
            <w:r>
              <w:t xml:space="preserve">Novel legal structure; significant ongoing compliance burden</w:t>
            </w:r>
          </w:p>
        </w:tc>
      </w:tr>
      <w:tr>
        <w:tc>
          <w:p>
            <w:pPr>
              <w:pStyle w:val="Compact"/>
              <w:jc w:val="left"/>
            </w:pPr>
            <w:r>
              <w:t xml:space="preserve">NEM 2.0 retrofit market size ~600K+ addressable homes</w:t>
            </w:r>
          </w:p>
        </w:tc>
        <w:tc>
          <w:p>
            <w:pPr>
              <w:pStyle w:val="Compact"/>
              <w:jc w:val="left"/>
            </w:pPr>
            <w:r>
              <w:rPr>
                <w:b/>
              </w:rPr>
              <w:t xml:space="preserve">High (80%)</w:t>
            </w:r>
          </w:p>
        </w:tc>
        <w:tc>
          <w:p>
            <w:pPr>
              <w:pStyle w:val="Compact"/>
              <w:jc w:val="left"/>
            </w:pPr>
            <w:r>
              <w:t xml:space="preserve">CPUC confirmed 1.5M total NEM customers at NEM 3.0 adoption</w:t>
            </w:r>
          </w:p>
        </w:tc>
      </w:tr>
      <w:tr>
        <w:tc>
          <w:p>
            <w:pPr>
              <w:pStyle w:val="Compact"/>
              <w:jc w:val="left"/>
            </w:pPr>
            <w:r>
              <w:t xml:space="preserve">Battery-only TPO economics competitive vs. solar+battery</w:t>
            </w:r>
          </w:p>
        </w:tc>
        <w:tc>
          <w:p>
            <w:pPr>
              <w:pStyle w:val="Compact"/>
              <w:jc w:val="left"/>
            </w:pPr>
            <w:r>
              <w:rPr>
                <w:b/>
              </w:rPr>
              <w:t xml:space="preserve">Medium (50%)</w:t>
            </w:r>
          </w:p>
        </w:tc>
        <w:tc>
          <w:p>
            <w:pPr>
              <w:pStyle w:val="Compact"/>
              <w:jc w:val="left"/>
            </w:pPr>
            <w:r>
              <w:t xml:space="preserve">VPP earnings still modest; backup value is location-specific</w:t>
            </w:r>
          </w:p>
        </w:tc>
      </w:tr>
      <w:tr>
        <w:tc>
          <w:p>
            <w:pPr>
              <w:pStyle w:val="Compact"/>
              <w:jc w:val="left"/>
            </w:pPr>
            <w:r>
              <w:t xml:space="preserve">Lunar can achieve meaningful share without primary solar</w:t>
            </w:r>
          </w:p>
        </w:tc>
        <w:tc>
          <w:p>
            <w:pPr>
              <w:pStyle w:val="Compact"/>
              <w:jc w:val="left"/>
            </w:pPr>
            <w:r>
              <w:rPr>
                <w:b/>
              </w:rPr>
              <w:t xml:space="preserve">Medium (50%)</w:t>
            </w:r>
          </w:p>
        </w:tc>
        <w:tc>
          <w:p>
            <w:pPr>
              <w:pStyle w:val="Compact"/>
              <w:jc w:val="left"/>
            </w:pPr>
            <w:r>
              <w:t xml:space="preserve">Execution-dependent; FEOC, distribution, and pricing are key</w:t>
            </w:r>
          </w:p>
        </w:tc>
      </w:tr>
      <w:tr>
        <w:tc>
          <w:p>
            <w:pPr>
              <w:pStyle w:val="Compact"/>
              <w:jc w:val="left"/>
            </w:pPr>
            <w:r>
              <w:t xml:space="preserve">“</w:t>
            </w:r>
            <w:r>
              <w:t xml:space="preserve">3–5x larger TAM</w:t>
            </w:r>
            <w:r>
              <w:t xml:space="preserve">”</w:t>
            </w:r>
            <w:r>
              <w:t xml:space="preserve"> </w:t>
            </w:r>
            <w:r>
              <w:t xml:space="preserve">for battery-without-solar</w:t>
            </w:r>
          </w:p>
        </w:tc>
        <w:tc>
          <w:p>
            <w:pPr>
              <w:pStyle w:val="Compact"/>
              <w:jc w:val="left"/>
            </w:pPr>
            <w:r>
              <w:rPr>
                <w:b/>
              </w:rPr>
              <w:t xml:space="preserve">Low-Medium (35%)</w:t>
            </w:r>
          </w:p>
        </w:tc>
        <w:tc>
          <w:p>
            <w:pPr>
              <w:pStyle w:val="Compact"/>
              <w:jc w:val="left"/>
            </w:pPr>
            <w:r>
              <w:t xml:space="preserve">Mathematically possible in theory but economically requires stronger VPP incentives</w:t>
            </w:r>
          </w:p>
        </w:tc>
      </w:tr>
    </w:tbl>
    <w:p>
      <w:pPr>
        <w:pStyle w:val="Heading3"/>
      </w:pPr>
      <w:bookmarkStart w:id="53" w:name="overall-hypothesis-assessment"/>
      <w:r>
        <w:t xml:space="preserve">Overall Hypothesis Assessment</w:t>
      </w:r>
      <w:bookmarkEnd w:id="53"/>
    </w:p>
    <w:p>
      <w:pPr>
        <w:pStyle w:val="FirstParagraph"/>
      </w:pPr>
      <w:r>
        <w:rPr>
          <w:b/>
        </w:rPr>
        <w:t xml:space="preserve">The structural regulatory advantage is REAL and CONFIRMED. The strategic opportunity for Lunar is genuine but not automatic.</w:t>
      </w:r>
    </w:p>
    <w:p>
      <w:pPr>
        <w:pStyle w:val="BodyText"/>
      </w:pPr>
      <w:r>
        <w:t xml:space="preserve">The hypothesis’s central claim — that the OBBBA creates a structural battery storage ITC advantage over solar that lasts through 2033 — is</w:t>
      </w:r>
      <w:r>
        <w:t xml:space="preserve"> </w:t>
      </w:r>
      <w:r>
        <w:rPr>
          <w:b/>
        </w:rPr>
        <w:t xml:space="preserve">legislatively confirmed</w:t>
      </w:r>
      <w:r>
        <w:t xml:space="preserve">. The asymmetry is not underreported by most solar-industry observers; it is, however, underanalyzed in the context of</w:t>
      </w:r>
      <w:r>
        <w:t xml:space="preserve"> </w:t>
      </w:r>
      <w:r>
        <w:rPr>
          <w:b/>
        </w:rPr>
        <w:t xml:space="preserve">standalone battery-only business models</w:t>
      </w:r>
      <w:r>
        <w:t xml:space="preserve">, which is Lunar’s differentiated angle.</w:t>
      </w:r>
    </w:p>
    <w:p>
      <w:pPr>
        <w:pStyle w:val="BodyText"/>
      </w:pPr>
      <w:r>
        <w:t xml:space="preserve">The</w:t>
      </w:r>
      <w:r>
        <w:t xml:space="preserve"> </w:t>
      </w:r>
      <w:r>
        <w:rPr>
          <w:b/>
        </w:rPr>
        <w:t xml:space="preserve">primary execution risk</w:t>
      </w:r>
      <w:r>
        <w:t xml:space="preserve"> </w:t>
      </w:r>
      <w:r>
        <w:t xml:space="preserve">is the FEOC supply chain requirement. If Lunar’s battery cells are FEOC-contaminated, the ITC advantage disappears, and Lunar is competing on pure product merit against Tesla Powerwall, FranklinWH, and Enphase without a subsidy tailwind.</w:t>
      </w:r>
      <w:r>
        <w:t xml:space="preserve"> </w:t>
      </w:r>
      <w:r>
        <w:t xml:space="preserve">The</w:t>
      </w:r>
      <w:r>
        <w:t xml:space="preserve"> </w:t>
      </w:r>
      <w:r>
        <w:t xml:space="preserve">‘</w:t>
      </w:r>
      <w:r>
        <w:t xml:space="preserve">One Big, Beautiful Bill Act</w:t>
      </w:r>
      <w:r>
        <w:t xml:space="preserve">’</w:t>
      </w:r>
      <w:r>
        <w:t xml:space="preserve"> </w:t>
      </w:r>
      <w:r>
        <w:t xml:space="preserve">adds foreign entity of concern (FEOC) provisions for the surviving 48E investment credit. Under FEOC provisions, companies with ties to China, Russia, Iran, or North Korea are considered Prohibited Foreign Entities. Chinese companies are particularly relevant because of the outsized role they play in the battery supply chain. Chinese companies control the processing of most critical battery minerals and the manufacturing of key components. For instance, giants like CATL and BYD alone command over half of the global battery market.</w:t>
      </w:r>
    </w:p>
    <w:p>
      <w:pPr>
        <w:pStyle w:val="BodyText"/>
      </w:pPr>
      <w:r>
        <w:t xml:space="preserve">The</w:t>
      </w:r>
      <w:r>
        <w:t xml:space="preserve"> </w:t>
      </w:r>
      <w:r>
        <w:rPr>
          <w:b/>
        </w:rPr>
        <w:t xml:space="preserve">secondary execution risk</w:t>
      </w:r>
      <w:r>
        <w:t xml:space="preserve"> </w:t>
      </w:r>
      <w:r>
        <w:t xml:space="preserve">is Sunrun’s financial health and willingness to lead with battery-only as a primary product.</w:t>
      </w:r>
      <w:r>
        <w:t xml:space="preserve"> </w:t>
      </w:r>
      <w:r>
        <w:t xml:space="preserve">Sunrun’s CEO noted</w:t>
      </w:r>
      <w:r>
        <w:t xml:space="preserve"> </w:t>
      </w:r>
      <w:r>
        <w:t xml:space="preserve">“</w:t>
      </w:r>
      <w:r>
        <w:t xml:space="preserve">the increasing complexity of sales processes, utility rate structures, storage integration, distributed power plants and ITC compliance requires ever increasing standards of training for our employees.</w:t>
      </w:r>
      <w:r>
        <w:t xml:space="preserve">”</w:t>
      </w:r>
      <w:r>
        <w:t xml:space="preserve"> </w:t>
      </w:r>
      <w:r>
        <w:t xml:space="preserve">A battery-only TPO product is operationally more complex than solar+storage.</w:t>
      </w:r>
    </w:p>
    <w:p>
      <w:r>
        <w:pict>
          <v:rect style="width:0;height:1.5pt" o:hralign="center" o:hrstd="t" o:hr="t"/>
        </w:pict>
      </w:r>
    </w:p>
    <w:p>
      <w:pPr>
        <w:pStyle w:val="Heading2"/>
      </w:pPr>
      <w:bookmarkStart w:id="54" w:name="citations"/>
      <w:r>
        <w:t xml:space="preserve">7. CITATIONS</w:t>
      </w:r>
      <w:bookmarkEnd w:id="54"/>
    </w:p>
    <w:p>
      <w:pPr>
        <w:pStyle w:val="FirstParagraph"/>
      </w:pPr>
      <w:r>
        <w:t xml:space="preserve">Key legislative/regulatory sources consulted in this analysis:</w:t>
      </w:r>
    </w:p>
    <w:p>
      <w:pPr>
        <w:numPr>
          <w:ilvl w:val="0"/>
          <w:numId w:val="1002"/>
        </w:numPr>
        <w:pStyle w:val="Compact"/>
      </w:pPr>
      <w:r>
        <w:rPr>
          <w:b/>
        </w:rPr>
        <w:t xml:space="preserve">Sidley Austin LLP</w:t>
      </w:r>
      <w:r>
        <w:t xml:space="preserve"> </w:t>
      </w:r>
      <w:r>
        <w:t xml:space="preserve">(November 2025) — Analysis of Section 48E/45Y wind and solar termination provisions and storage carve-out</w:t>
      </w:r>
    </w:p>
    <w:p>
      <w:pPr>
        <w:numPr>
          <w:ilvl w:val="0"/>
          <w:numId w:val="1002"/>
        </w:numPr>
        <w:pStyle w:val="Compact"/>
      </w:pPr>
      <w:r>
        <w:rPr>
          <w:b/>
        </w:rPr>
        <w:t xml:space="preserve">Kirkland &amp; Ellis LLP</w:t>
      </w:r>
      <w:r>
        <w:t xml:space="preserve"> </w:t>
      </w:r>
      <w:r>
        <w:t xml:space="preserve">(August 2025) — Section 48E ITC phasedown for storage (2034–2036) confirmed</w:t>
      </w:r>
    </w:p>
    <w:p>
      <w:pPr>
        <w:numPr>
          <w:ilvl w:val="0"/>
          <w:numId w:val="1002"/>
        </w:numPr>
        <w:pStyle w:val="Compact"/>
      </w:pPr>
      <w:r>
        <w:rPr>
          <w:b/>
        </w:rPr>
        <w:t xml:space="preserve">Stoel Rives LLP</w:t>
      </w:r>
      <w:r>
        <w:t xml:space="preserve"> </w:t>
      </w:r>
      <w:r>
        <w:t xml:space="preserve">— Storage technology explicitly excluded from solar/wind placed-in-service deadline</w:t>
      </w:r>
    </w:p>
    <w:p>
      <w:pPr>
        <w:numPr>
          <w:ilvl w:val="0"/>
          <w:numId w:val="1002"/>
        </w:numPr>
        <w:pStyle w:val="Compact"/>
      </w:pPr>
      <w:r>
        <w:rPr>
          <w:b/>
        </w:rPr>
        <w:t xml:space="preserve">IRS Newsroom / Public Law 119-21 FAQ</w:t>
      </w:r>
      <w:r>
        <w:t xml:space="preserve"> </w:t>
      </w:r>
      <w:r>
        <w:t xml:space="preserve">— Official IRS confirmation of 25D expiration at end-2025</w:t>
      </w:r>
    </w:p>
    <w:p>
      <w:pPr>
        <w:numPr>
          <w:ilvl w:val="0"/>
          <w:numId w:val="1002"/>
        </w:numPr>
        <w:pStyle w:val="Compact"/>
      </w:pPr>
      <w:r>
        <w:rPr>
          <w:b/>
        </w:rPr>
        <w:t xml:space="preserve">Congressional Research Service (CRS) IN12611</w:t>
      </w:r>
      <w:r>
        <w:t xml:space="preserve"> </w:t>
      </w:r>
      <w:r>
        <w:t xml:space="preserve">— 25D repeal for expenditures made after December 31, 2025</w:t>
      </w:r>
    </w:p>
    <w:p>
      <w:pPr>
        <w:numPr>
          <w:ilvl w:val="0"/>
          <w:numId w:val="1002"/>
        </w:numPr>
        <w:pStyle w:val="Compact"/>
      </w:pPr>
      <w:r>
        <w:rPr>
          <w:b/>
        </w:rPr>
        <w:t xml:space="preserve">SEIA (Solar Energy Industries Association)</w:t>
      </w:r>
      <w:r>
        <w:t xml:space="preserve"> </w:t>
      </w:r>
      <w:r>
        <w:t xml:space="preserve">— Confirmed 48E placed-in-service deadline does not apply to energy storage; 25D terminated end-2025</w:t>
      </w:r>
    </w:p>
    <w:p>
      <w:pPr>
        <w:numPr>
          <w:ilvl w:val="0"/>
          <w:numId w:val="1002"/>
        </w:numPr>
        <w:pStyle w:val="Compact"/>
      </w:pPr>
      <w:r>
        <w:rPr>
          <w:b/>
        </w:rPr>
        <w:t xml:space="preserve">Solar Insure</w:t>
      </w:r>
      <w:r>
        <w:t xml:space="preserve"> </w:t>
      </w:r>
      <w:r>
        <w:t xml:space="preserve">— Confirmed owned battery under 25D eliminated same as solar in 2026</w:t>
      </w:r>
    </w:p>
    <w:p>
      <w:pPr>
        <w:numPr>
          <w:ilvl w:val="0"/>
          <w:numId w:val="1002"/>
        </w:numPr>
        <w:pStyle w:val="Compact"/>
      </w:pPr>
      <w:r>
        <w:rPr>
          <w:b/>
        </w:rPr>
        <w:t xml:space="preserve">Energy Toolbase</w:t>
      </w:r>
      <w:r>
        <w:t xml:space="preserve"> </w:t>
      </w:r>
      <w:r>
        <w:t xml:space="preserve">— Analysis of 48E storage through 2033 and solar interaction questions post-2027</w:t>
      </w:r>
    </w:p>
    <w:p>
      <w:pPr>
        <w:numPr>
          <w:ilvl w:val="0"/>
          <w:numId w:val="1002"/>
        </w:numPr>
        <w:pStyle w:val="Compact"/>
      </w:pPr>
      <w:r>
        <w:rPr>
          <w:b/>
        </w:rPr>
        <w:t xml:space="preserve">Baker Botts</w:t>
      </w:r>
      <w:r>
        <w:t xml:space="preserve"> </w:t>
      </w:r>
      <w:r>
        <w:t xml:space="preserve">(February 2026) — Treasury/IRS FEOC guidance on Material Assistance Rules</w:t>
      </w:r>
    </w:p>
    <w:p>
      <w:pPr>
        <w:numPr>
          <w:ilvl w:val="0"/>
          <w:numId w:val="1002"/>
        </w:numPr>
        <w:pStyle w:val="Compact"/>
      </w:pPr>
      <w:r>
        <w:rPr>
          <w:b/>
        </w:rPr>
        <w:t xml:space="preserve">Build with Basis / Basis Climate</w:t>
      </w:r>
      <w:r>
        <w:t xml:space="preserve"> </w:t>
      </w:r>
      <w:r>
        <w:t xml:space="preserve">— 48E storage ITC credit structure (6% base, up to 70% with adders)</w:t>
      </w:r>
    </w:p>
    <w:p>
      <w:pPr>
        <w:numPr>
          <w:ilvl w:val="0"/>
          <w:numId w:val="1002"/>
        </w:numPr>
        <w:pStyle w:val="Compact"/>
      </w:pPr>
      <w:r>
        <w:rPr>
          <w:b/>
        </w:rPr>
        <w:t xml:space="preserve">EticaAG</w:t>
      </w:r>
      <w:r>
        <w:t xml:space="preserve"> </w:t>
      </w:r>
      <w:r>
        <w:t xml:space="preserve">— Confirmed standalone BESS qualifies for 48E without co-located solar since 2023</w:t>
      </w:r>
    </w:p>
    <w:p>
      <w:pPr>
        <w:numPr>
          <w:ilvl w:val="0"/>
          <w:numId w:val="1002"/>
        </w:numPr>
        <w:pStyle w:val="Compact"/>
      </w:pPr>
      <w:r>
        <w:rPr>
          <w:b/>
        </w:rPr>
        <w:t xml:space="preserve">CPUC</w:t>
      </w:r>
      <w:r>
        <w:t xml:space="preserve"> </w:t>
      </w:r>
      <w:r>
        <w:t xml:space="preserve">— Confirmed 1.5M California NEM customers; NEM 2.0 grandfathering 20-year period; battery can be added without losing NEM 2.0 status</w:t>
      </w:r>
    </w:p>
    <w:p>
      <w:pPr>
        <w:numPr>
          <w:ilvl w:val="0"/>
          <w:numId w:val="1002"/>
        </w:numPr>
        <w:pStyle w:val="Compact"/>
      </w:pPr>
      <w:r>
        <w:rPr>
          <w:b/>
        </w:rPr>
        <w:t xml:space="preserve">PV Magazine USA</w:t>
      </w:r>
      <w:r>
        <w:t xml:space="preserve"> </w:t>
      </w:r>
      <w:r>
        <w:t xml:space="preserve">(November 2025, February 2026) — Sunrun Q3 2025 earnings: 70% storage attachment rate, VPP +400% enrollment,</w:t>
      </w:r>
      <w:r>
        <w:t xml:space="preserve"> </w:t>
      </w:r>
      <w:r>
        <w:t xml:space="preserve">“</w:t>
      </w:r>
      <w:r>
        <w:t xml:space="preserve">storage-first strategy</w:t>
      </w:r>
      <w:r>
        <w:t xml:space="preserve">”</w:t>
      </w:r>
    </w:p>
    <w:p>
      <w:pPr>
        <w:numPr>
          <w:ilvl w:val="0"/>
          <w:numId w:val="1002"/>
        </w:numPr>
        <w:pStyle w:val="Compact"/>
      </w:pPr>
      <w:r>
        <w:rPr>
          <w:b/>
        </w:rPr>
        <w:t xml:space="preserve">Bipartisan Policy Center</w:t>
      </w:r>
      <w:r>
        <w:t xml:space="preserve"> </w:t>
      </w:r>
      <w:r>
        <w:t xml:space="preserve">— FEOC provisions unpacking for OBBBA, including MACR thresholds for storage vs. solar</w:t>
      </w:r>
    </w:p>
    <w:p>
      <w:pPr>
        <w:numPr>
          <w:ilvl w:val="0"/>
          <w:numId w:val="1002"/>
        </w:numPr>
        <w:pStyle w:val="Compact"/>
      </w:pPr>
      <w:r>
        <w:rPr>
          <w:b/>
        </w:rPr>
        <w:t xml:space="preserve">Anza Renewables / pv magazine</w:t>
      </w:r>
      <w:r>
        <w:t xml:space="preserve"> </w:t>
      </w:r>
      <w:r>
        <w:t xml:space="preserve">— FEOC compliance risk for stranded energy storage assets</w:t>
      </w:r>
    </w:p>
    <w:p>
      <w:pPr>
        <w:numPr>
          <w:ilvl w:val="0"/>
          <w:numId w:val="1002"/>
        </w:numPr>
        <w:pStyle w:val="Compact"/>
      </w:pPr>
      <w:r>
        <w:rPr>
          <w:b/>
        </w:rPr>
        <w:t xml:space="preserve">AInvest</w:t>
      </w:r>
      <w:r>
        <w:t xml:space="preserve"> </w:t>
      </w:r>
      <w:r>
        <w:t xml:space="preserve">— Sunnova collapse analysis; contrast with Sunrun’s storage-first resilience</w:t>
      </w:r>
    </w:p>
    <w:p>
      <w:pPr>
        <w:numPr>
          <w:ilvl w:val="0"/>
          <w:numId w:val="1002"/>
        </w:numPr>
        <w:pStyle w:val="Compact"/>
      </w:pPr>
      <w:r>
        <w:rPr>
          <w:b/>
        </w:rPr>
        <w:t xml:space="preserve">Novoco/Novogradac</w:t>
      </w:r>
      <w:r>
        <w:t xml:space="preserve"> </w:t>
      </w:r>
      <w:r>
        <w:t xml:space="preserve">— Final OBBBA impact on solar/wind credits; storage carve-out at co-located solar/wind facilities through</w:t>
      </w:r>
      <w:r>
        <w:t xml:space="preserve"> </w:t>
      </w:r>
      <w:r>
        <w:t xml:space="preserve">“</w:t>
      </w:r>
      <w:r>
        <w:t xml:space="preserve">phaseout after 2032</w:t>
      </w:r>
      <w:r>
        <w:t xml:space="preserve">”</w:t>
      </w:r>
    </w:p>
    <w:p>
      <w:pPr>
        <w:numPr>
          <w:ilvl w:val="0"/>
          <w:numId w:val="1002"/>
        </w:numPr>
        <w:pStyle w:val="Compact"/>
      </w:pPr>
      <w:r>
        <w:rPr>
          <w:b/>
        </w:rPr>
        <w:t xml:space="preserve">BNEF (via ESS-News)</w:t>
      </w:r>
      <w:r>
        <w:t xml:space="preserve"> </w:t>
      </w:r>
      <w:r>
        <w:t xml:space="preserve">— Battery pack stationary storage prices to $70/kWh in 2025, 45% drop</w:t>
      </w:r>
    </w:p>
    <w:p>
      <w:r>
        <w:pict>
          <v:rect style="width:0;height:1.5pt" o:hralign="center" o:hrstd="t" o:hr="t"/>
        </w:pict>
      </w:r>
    </w:p>
    <w:p>
      <w:pPr>
        <w:pStyle w:val="FirstParagraph"/>
      </w:pPr>
      <w:r>
        <w:rPr>
          <w:b/>
        </w:rPr>
        <w:t xml:space="preserve">Bottom Line for Lunar Energy:</w:t>
      </w:r>
      <w:r>
        <w:t xml:space="preserve"> </w:t>
      </w:r>
      <w:r>
        <w:t xml:space="preserve">The regulatory asymmetry is real, confirmed, and consequential. The strategic reframe from</w:t>
      </w:r>
      <w:r>
        <w:t xml:space="preserve"> </w:t>
      </w:r>
      <w:r>
        <w:t xml:space="preserve">“</w:t>
      </w:r>
      <w:r>
        <w:t xml:space="preserve">solar battery system</w:t>
      </w:r>
      <w:r>
        <w:t xml:space="preserve">”</w:t>
      </w:r>
      <w:r>
        <w:t xml:space="preserve"> </w:t>
      </w:r>
      <w:r>
        <w:t xml:space="preserve">to</w:t>
      </w:r>
      <w:r>
        <w:t xml:space="preserve"> </w:t>
      </w:r>
      <w:r>
        <w:t xml:space="preserve">“</w:t>
      </w:r>
      <w:r>
        <w:t xml:space="preserve">battery-first home energy system</w:t>
      </w:r>
      <w:r>
        <w:t xml:space="preserve">”</w:t>
      </w:r>
      <w:r>
        <w:t xml:space="preserve"> </w:t>
      </w:r>
      <w:r>
        <w:t xml:space="preserve">is directionally correct. The immediate action items are: (1) conduct a comprehensive FEOC supply chain audit — this is the make-or-break variable; (2) quantify the NEM 2.0 retrofit addressable market with CPUC interconnection data (specific to PG&amp;E, SCE, SDG&amp;E territories); (3) negotiate expanded battery-only TPO terms with Sunrun leveraging the 48E ITC differential through 2033; and (4) build the VPP enrollment value proposition into the customer economics model. If FEOC compliance is achievable, this is among the most defensible regulatory moats in residential clean energy for the next 7 years.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2026-02-28T04:44:29Z</dcterms:created>
  <dcterms:modified xsi:type="dcterms:W3CDTF">2026-02-28T04:44:29Z</dcterms:modified>
</cp:coreProperties>
</file>

<file path=docProps/custom.xml><?xml version="1.0" encoding="utf-8"?>
<Properties xmlns="http://schemas.openxmlformats.org/officeDocument/2006/custom-properties" xmlns:vt="http://schemas.openxmlformats.org/officeDocument/2006/docPropsVTypes"/>
</file>