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comprehensive data across all research questions. Let me compile the full analysis.</w:t>
      </w:r>
    </w:p>
    <w:p>
      <w:r>
        <w:pict>
          <v:rect style="width:0;height:1.5pt" o:hralign="center" o:hrstd="t" o:hr="t"/>
        </w:pict>
      </w:r>
    </w:p>
    <w:p>
      <w:pPr>
        <w:pStyle w:val="Heading1"/>
      </w:pPr>
      <w:bookmarkStart w:id="20" w:name="X517f887183d03d5a5f8fe59b266fc996c169ec0"/>
      <w:r>
        <w:t xml:space="preserve">LUNAR ENERGY × TEXAS/ERCOT: MARKET ENTRY STRATEGIC ANALYSIS</w:t>
      </w:r>
      <w:bookmarkEnd w:id="20"/>
    </w:p>
    <w:p>
      <w:pPr>
        <w:pStyle w:val="Heading3"/>
      </w:pPr>
      <w:bookmarkStart w:id="21" w:name="X4b6f555044c04d97acab998912d9d6d37805b8e"/>
      <w:r>
        <w:t xml:space="preserve">A Structured Evidence Review with 6-Month Operational Roadmap</w:t>
      </w:r>
      <w:bookmarkEnd w:id="21"/>
    </w:p>
    <w:p>
      <w:r>
        <w:pict>
          <v:rect style="width:0;height:1.5pt" o:hralign="center" o:hrstd="t" o:hr="t"/>
        </w:pict>
      </w:r>
    </w:p>
    <w:p>
      <w:pPr>
        <w:pStyle w:val="Heading2"/>
      </w:pPr>
      <w:bookmarkStart w:id="22" w:name="preamble-lunar-energys-current-state"/>
      <w:r>
        <w:t xml:space="preserve">PREAMBLE: LUNAR ENERGY’S CURRENT STATE</w:t>
      </w:r>
      <w:bookmarkEnd w:id="22"/>
    </w:p>
    <w:p>
      <w:pPr>
        <w:pStyle w:val="FirstParagraph"/>
      </w:pPr>
      <w:r>
        <w:t xml:space="preserve">Lunar Energy has just raised $232 million in new capital — $102 million in a Series D led by B Capital and Prelude Ventures, plus a previously unannounced $130 million Series C led by Activate Capital — to expand its manufacturing capacity and scale its Gridshare VPP software platform.</w:t>
      </w:r>
    </w:p>
    <w:p>
      <w:pPr>
        <w:pStyle w:val="BodyText"/>
      </w:pPr>
      <w:r>
        <w:t xml:space="preserve">The Silicon Valley startup explicitly wants to enter new markets like Texas.</w:t>
      </w:r>
    </w:p>
    <w:p>
      <w:pPr>
        <w:pStyle w:val="BodyText"/>
      </w:pPr>
      <w:r>
        <w:t xml:space="preserve">CEO Kunal Girotra told Latitude Media that the company plans to quadruple its home battery manufacturing capacity in the coming years as it expands its customer base from California into other states including Illinois, Nevada, Texas, and Utah.</w:t>
      </w:r>
    </w:p>
    <w:p>
      <w:pPr>
        <w:pStyle w:val="BodyText"/>
      </w:pPr>
      <w:r>
        <w:t xml:space="preserve">The company currently produces equipment in California, Georgia, and Washington state, and has installed it in about 2,000 homes and businesses in California. It plans to increase manufacturing capacity from ~10,000 battery systems per year today to 20,000 per year by end of 2026 and 100,000 per year by end of 2028.</w:t>
      </w:r>
    </w:p>
    <w:p>
      <w:r>
        <w:pict>
          <v:rect style="width:0;height:1.5pt" o:hralign="center" o:hrstd="t" o:hr="t"/>
        </w:pict>
      </w:r>
    </w:p>
    <w:p>
      <w:pPr>
        <w:pStyle w:val="Heading2"/>
      </w:pPr>
      <w:bookmarkStart w:id="23" w:name="evidence-for-the-hypothesis"/>
      <w:r>
        <w:t xml:space="preserve">1. EVIDENCE FOR THE HYPOTHESIS</w:t>
      </w:r>
      <w:bookmarkEnd w:id="23"/>
    </w:p>
    <w:p>
      <w:pPr>
        <w:pStyle w:val="Heading3"/>
      </w:pPr>
      <w:bookmarkStart w:id="24" w:name="Xc83054a3974d5e4ce1261f97f5a4036c2d22fb6"/>
      <w:r>
        <w:t xml:space="preserve">1A. The ERCOT Market Is Structurally Exceptional for VPPs</w:t>
      </w:r>
      <w:bookmarkEnd w:id="24"/>
    </w:p>
    <w:p>
      <w:pPr>
        <w:pStyle w:val="FirstParagraph"/>
      </w:pPr>
      <w:r>
        <w:t xml:space="preserve">ERCOT has announced the successful implementation of Real-Time Co-optimization Plus Batteries (RTC+B). The RTC+B market design change is a key element in the strategic development of the current ERCOT market. It aims to provide more flexibility in real time for ERCOT to efficiently procure energy and Ancillary Services, including improvements to modeling of batteries and their state of charge. ERCOT President and CEO Pablo Vegas called it</w:t>
      </w:r>
      <w:r>
        <w:t xml:space="preserve"> </w:t>
      </w:r>
      <w:r>
        <w:t xml:space="preserve">“</w:t>
      </w:r>
      <w:r>
        <w:t xml:space="preserve">the most substantial enhancement to the Real-Time Nodal market design since its inception in 2010.</w:t>
      </w:r>
      <w:r>
        <w:t xml:space="preserve">”</w:t>
      </w:r>
    </w:p>
    <w:p>
      <w:pPr>
        <w:pStyle w:val="BodyText"/>
      </w:pPr>
      <w:r>
        <w:t xml:space="preserve">ERCOT’s Independent Market Monitor projected wholesale market savings of $2.5–$6.4 billion annually in reduced energy costs from RTC+B.</w:t>
      </w:r>
    </w:p>
    <w:p>
      <w:pPr>
        <w:pStyle w:val="BodyText"/>
      </w:pPr>
      <w:r>
        <w:t xml:space="preserve">The changes of RTC+B provide an opportunity for storage assets: batteries now have more flexibility than ever to earn revenue in the real-time market without being inhibited by ancillary service obligations agreed day-ahead.</w:t>
      </w:r>
      <w:r>
        <w:t xml:space="preserve"> </w:t>
      </w:r>
      <w:r>
        <w:t xml:space="preserve">This is the most favorable battery dispatch environment in the U.S.</w:t>
      </w:r>
    </w:p>
    <w:p>
      <w:pPr>
        <w:pStyle w:val="BodyText"/>
      </w:pPr>
      <w:r>
        <w:t xml:space="preserve">Driven by strong economic expansion and large-scale consumers such as data centers, industrial facilities, and cryptocurrency operations, the ERCOT grid is preparing for significant electricity demand growth over the next five to seven years. The December 2025 CDR projects tightening reserve margins, particularly during summer and winter peak periods, as demand growth outpaces the addition of new dispatchable resources.</w:t>
      </w:r>
      <w:r>
        <w:t xml:space="preserve"> </w:t>
      </w:r>
      <w:r>
        <w:t xml:space="preserve">This supply tightness is precisely what creates peak price spikes above $1,000/MWh — the core economic engine for residential VPPs.</w:t>
      </w:r>
    </w:p>
    <w:p>
      <w:pPr>
        <w:pStyle w:val="Heading3"/>
      </w:pPr>
      <w:bookmarkStart w:id="25" w:name="X0023efceaf8ea740430263069aacd2ca53ba7a3"/>
      <w:r>
        <w:t xml:space="preserve">1B. The REP Ecosystem Is Actively Building VPP Infrastructure</w:t>
      </w:r>
      <w:bookmarkEnd w:id="25"/>
    </w:p>
    <w:p>
      <w:pPr>
        <w:pStyle w:val="FirstParagraph"/>
      </w:pPr>
      <w:r>
        <w:t xml:space="preserve">Every major Texas REP is now racing to build VPP capability, and</w:t>
      </w:r>
      <w:r>
        <w:t xml:space="preserve"> </w:t>
      </w:r>
      <w:r>
        <w:rPr>
          <w:b/>
        </w:rPr>
        <w:t xml:space="preserve">none of them has a preferred hardware partnership with Lunar</w:t>
      </w:r>
      <w:r>
        <w:t xml:space="preserve">. This is a white-space opportunity:</w:t>
      </w:r>
    </w:p>
    <w:p>
      <w:pPr>
        <w:numPr>
          <w:ilvl w:val="0"/>
          <w:numId w:val="1001"/>
        </w:numPr>
      </w:pPr>
      <w:r>
        <w:rPr>
          <w:b/>
        </w:rPr>
        <w:t xml:space="preserve">NRG/Reliant + Sunrun</w:t>
      </w:r>
      <w:r>
        <w:t xml:space="preserve"> </w:t>
      </w:r>
      <w:r>
        <w:t xml:space="preserve">(Dec. 2025):</w:t>
      </w:r>
      <w:r>
        <w:t xml:space="preserve"> </w:t>
      </w:r>
      <w:r>
        <w:t xml:space="preserve">NRG Energy, through Reliant, will accept new and existing Sunrun customers to its VPP setup in Texas. Sunrun and NRG Energy have entered into a multi-year partnership to accelerate adoption of distributed energy, including home battery storage, delivering dispatchable capacity to meet the state’s surging energy demand. NRG stated this is</w:t>
      </w:r>
      <w:r>
        <w:t xml:space="preserve"> </w:t>
      </w:r>
      <w:r>
        <w:t xml:space="preserve">“</w:t>
      </w:r>
      <w:r>
        <w:t xml:space="preserve">a major step in achieving our goal of creating a 1 GW virtual power plant by 2035.</w:t>
      </w:r>
      <w:r>
        <w:t xml:space="preserve">”</w:t>
      </w:r>
    </w:p>
    <w:p>
      <w:pPr>
        <w:numPr>
          <w:ilvl w:val="0"/>
          <w:numId w:val="1001"/>
        </w:numPr>
      </w:pPr>
      <w:r>
        <w:rPr>
          <w:b/>
        </w:rPr>
        <w:t xml:space="preserve">NRG/Reliant + GoodLeap</w:t>
      </w:r>
      <w:r>
        <w:t xml:space="preserve"> </w:t>
      </w:r>
      <w:r>
        <w:t xml:space="preserve">(Nov. 2025):</w:t>
      </w:r>
      <w:r>
        <w:t xml:space="preserve"> </w:t>
      </w:r>
      <w:r>
        <w:t xml:space="preserve">Reliant customers can earn $40 per month by participating in the program. This partnership delivers a compelling offer to Reliant customers who use GoodLeap batteries in their homes, advancing efforts to scale residential battery participation and accelerating NRG’s VPP.</w:t>
      </w:r>
      <w:r>
        <w:t xml:space="preserve"> </w:t>
      </w:r>
      <w:r>
        <w:t xml:space="preserve">Critically,</w:t>
      </w:r>
      <w:r>
        <w:t xml:space="preserve"> </w:t>
      </w:r>
      <w:r>
        <w:t xml:space="preserve">GoodLeap also connects homeowners with qualified battery installers</w:t>
      </w:r>
      <w:r>
        <w:t xml:space="preserve"> </w:t>
      </w:r>
      <w:r>
        <w:t xml:space="preserve">— a channel Lunar could compete for.</w:t>
      </w:r>
    </w:p>
    <w:p>
      <w:pPr>
        <w:numPr>
          <w:ilvl w:val="0"/>
          <w:numId w:val="1001"/>
        </w:numPr>
      </w:pPr>
      <w:r>
        <w:rPr>
          <w:b/>
        </w:rPr>
        <w:t xml:space="preserve">TXU Energy + Sunrun</w:t>
      </w:r>
      <w:r>
        <w:t xml:space="preserve"> </w:t>
      </w:r>
      <w:r>
        <w:t xml:space="preserve">(2024):</w:t>
      </w:r>
      <w:r>
        <w:t xml:space="preserve"> </w:t>
      </w:r>
      <w:r>
        <w:t xml:space="preserve">The TXU Energy &amp; Sunrun Battery Rewards program is facilitated through Vistra’s flagship retail electricity brand, TXU Energy. TXU Energy customers who opt into the program and have installed Sunrun home solar panels and batteries receive financial incentives for their participation while retaining control during power outages.</w:t>
      </w:r>
    </w:p>
    <w:p>
      <w:pPr>
        <w:numPr>
          <w:ilvl w:val="0"/>
          <w:numId w:val="1001"/>
        </w:numPr>
      </w:pPr>
      <w:r>
        <w:rPr>
          <w:b/>
        </w:rPr>
        <w:t xml:space="preserve">Sonnen + Solrite + Abundance Energy</w:t>
      </w:r>
      <w:r>
        <w:t xml:space="preserve"> </w:t>
      </w:r>
      <w:r>
        <w:t xml:space="preserve">(2025):</w:t>
      </w:r>
      <w:r>
        <w:t xml:space="preserve"> </w:t>
      </w:r>
      <w:r>
        <w:t xml:space="preserve">In May 2025, Sonnen partnered with Abundance Energy and Energywell Technology Licensing to develop a battery-enabled VPP in Texas. The programme allowed Abundance Energy customers to use sonnenConnect residential battery installations to support grid stability. The VPP was set to have a capacity of 60 MWh with the customer base enrolled at the time of announcement.</w:t>
      </w:r>
      <w:r>
        <w:t xml:space="preserve"> </w:t>
      </w:r>
      <w:r>
        <w:t xml:space="preserve">The latest developments show</w:t>
      </w:r>
      <w:r>
        <w:t xml:space="preserve"> </w:t>
      </w:r>
      <w:r>
        <w:t xml:space="preserve">Sonnen and Solrite Energy have launched a</w:t>
      </w:r>
      <w:r>
        <w:t xml:space="preserve"> </w:t>
      </w:r>
      <w:r>
        <w:t xml:space="preserve">“</w:t>
      </w:r>
      <w:r>
        <w:t xml:space="preserve">battery only</w:t>
      </w:r>
      <w:r>
        <w:t xml:space="preserve">”</w:t>
      </w:r>
      <w:r>
        <w:t xml:space="preserve"> </w:t>
      </w:r>
      <w:r>
        <w:t xml:space="preserve">VPP programme in Texas; each home features 60 kWh of Sonnen energy storage and a flat $0.12-per-kWh rate for $20 per month. According to Sonnen, 3,000 Texas customers have enrolled, and the companies aim to add up to 10,000 new customers by end of 2026, adding 600 MWh of energy to Texas’s grid.</w:t>
      </w:r>
    </w:p>
    <w:p>
      <w:pPr>
        <w:numPr>
          <w:ilvl w:val="0"/>
          <w:numId w:val="1001"/>
        </w:numPr>
      </w:pPr>
      <w:r>
        <w:rPr>
          <w:b/>
        </w:rPr>
        <w:t xml:space="preserve">Octopus Energy</w:t>
      </w:r>
      <w:r>
        <w:t xml:space="preserve">:</w:t>
      </w:r>
      <w:r>
        <w:t xml:space="preserve"> </w:t>
      </w:r>
      <w:r>
        <w:t xml:space="preserve">Octopus Energy operates grid services programs that pay customers $20–$40 monthly for every 5 kWh of battery capacity sourced from partners such as Enphase and SolarEdge. Its Kraken software platform manages batteries, EVs, and smart thermostats as part of an integrated VPP.</w:t>
      </w:r>
    </w:p>
    <w:p>
      <w:pPr>
        <w:pStyle w:val="FirstParagraph"/>
      </w:pPr>
      <w:r>
        <w:rPr>
          <w:b/>
        </w:rPr>
        <w:t xml:space="preserve">The critical insight</w:t>
      </w:r>
      <w:r>
        <w:t xml:space="preserve">: Reliant has not locked in a single exclusive hardware partner — it has partnered with both Sunrun and GoodLeap separately. This means the REP landscape is specifically looking for hardware diversification, not consolidation. Lunar’s Gridshare platform is explicitly hardware-agnostic, which is precisely what REPs want.</w:t>
      </w:r>
    </w:p>
    <w:p>
      <w:pPr>
        <w:pStyle w:val="Heading3"/>
      </w:pPr>
      <w:bookmarkStart w:id="26" w:name="X993217c53ba11abe93bad699853c3a2414af904"/>
      <w:r>
        <w:t xml:space="preserve">1C. Lunar’s Gridshare Is Already Managing Sunrun’s Texas-Bound VPPs</w:t>
      </w:r>
      <w:bookmarkEnd w:id="26"/>
    </w:p>
    <w:p>
      <w:pPr>
        <w:pStyle w:val="FirstParagraph"/>
      </w:pPr>
      <w:r>
        <w:t xml:space="preserve">Gridshare already manages all of Sunrun’s VPPs, including nearly 130,000 home batteries — most from non-Lunar manufacturers — that can dispatch energy when the grid needs it most. This accords with Lunar’s broader philosophy that its batteries should be interoperable with all grid software, and its Gridshare platform interoperable with all batteries, whether they’re made by Lunar or not.</w:t>
      </w:r>
    </w:p>
    <w:p>
      <w:pPr>
        <w:pStyle w:val="BodyText"/>
      </w:pPr>
      <w:r>
        <w:t xml:space="preserve">Since Sunrun is now live in Texas with both TXU and Reliant,</w:t>
      </w:r>
      <w:r>
        <w:t xml:space="preserve"> </w:t>
      </w:r>
      <w:r>
        <w:t xml:space="preserve">Sunrun customers who enroll are participating in ERCOT’s Aggregated Distributed Energy Resources pilot program aimed at strengthening grid reliability by networking together customer-sited storage devices to serve as a resource for the wholesale electricity market.</w:t>
      </w:r>
      <w:r>
        <w:t xml:space="preserve"> </w:t>
      </w:r>
      <w:r>
        <w:rPr>
          <w:b/>
        </w:rPr>
        <w:t xml:space="preserve">Lunar’s Gridshare software is therefore already adjacent to the ERCOT market through Sunrun</w:t>
      </w:r>
      <w:r>
        <w:t xml:space="preserve"> </w:t>
      </w:r>
      <w:r>
        <w:t xml:space="preserve">— even though Lunar hardware is not yet installed in Texas. This is a critical underappreciated asset.</w:t>
      </w:r>
    </w:p>
    <w:p>
      <w:pPr>
        <w:pStyle w:val="Heading3"/>
      </w:pPr>
      <w:bookmarkStart w:id="27" w:name="Xc4567bbcdbf2c1ff0963a3e9c38e2317e31acba"/>
      <w:r>
        <w:t xml:space="preserve">1D. Domestic Content Positioning Creates Competitive Differentiation Against Base Power</w:t>
      </w:r>
      <w:bookmarkEnd w:id="27"/>
    </w:p>
    <w:p>
      <w:pPr>
        <w:pStyle w:val="FirstParagraph"/>
      </w:pPr>
      <w:r>
        <w:t xml:space="preserve">To support the economics of residential leases, leasing companies look for products that remain eligible for the Section 48E investment tax credit and domestic content bonus. Lunar VP of Revenue Ed Gunn noted that the company is</w:t>
      </w:r>
      <w:r>
        <w:t xml:space="preserve"> </w:t>
      </w:r>
      <w:r>
        <w:t xml:space="preserve">“</w:t>
      </w:r>
      <w:r>
        <w:t xml:space="preserve">proudly domestic content,</w:t>
      </w:r>
      <w:r>
        <w:t xml:space="preserve">”</w:t>
      </w:r>
      <w:r>
        <w:t xml:space="preserve"> </w:t>
      </w:r>
      <w:r>
        <w:t xml:space="preserve">meaning the company’s products qualify as non-FEOC and can secure the ITC and domestic content incentives.</w:t>
      </w:r>
      <w:r>
        <w:t xml:space="preserve"> </w:t>
      </w:r>
      <w:r>
        <w:t xml:space="preserve">More specifically,</w:t>
      </w:r>
      <w:r>
        <w:t xml:space="preserve"> </w:t>
      </w:r>
      <w:r>
        <w:t xml:space="preserve">Girotra added that Lunar Energy only contracts with battery manufacturers in the U.S., so the company is eligible for the investment tax credit and a domestic content bonus included in the Inflation Reduction Act and maintained by the GOP’s</w:t>
      </w:r>
      <w:r>
        <w:t xml:space="preserve"> </w:t>
      </w:r>
      <w:r>
        <w:t xml:space="preserve">“</w:t>
      </w:r>
      <w:r>
        <w:t xml:space="preserve">One Big Beautiful Bill.</w:t>
      </w:r>
      <w:r>
        <w:t xml:space="preserve">”</w:t>
      </w:r>
    </w:p>
    <w:p>
      <w:pPr>
        <w:pStyle w:val="BodyText"/>
      </w:pPr>
      <w:r>
        <w:t xml:space="preserve">Compare this to Base Power:</w:t>
      </w:r>
      <w:r>
        <w:t xml:space="preserve"> </w:t>
      </w:r>
      <w:r>
        <w:t xml:space="preserve">Currently, Base Power uses contract manufacturers to turn its residential battery designs into a physical product; some but not all of the system is assembled in China. That makes Base Power’s supply chain vulnerable to President Trump’s barrage of new tariffs, which raise the cost of imports from longstanding trading partners and geopolitical adversaries alike.</w:t>
      </w:r>
      <w:r>
        <w:t xml:space="preserve"> </w:t>
      </w:r>
      <w:r>
        <w:t xml:space="preserve">This tariff vulnerability is a structural cost disadvantage for Base Power that Lunar can exploit.</w:t>
      </w:r>
    </w:p>
    <w:p>
      <w:pPr>
        <w:pStyle w:val="Heading3"/>
      </w:pPr>
      <w:bookmarkStart w:id="28" w:name="X581dec4677a0c31688c871a7b0084fc33271721"/>
      <w:r>
        <w:t xml:space="preserve">1E. The ADER Pilot Is Expanding and Accessible</w:t>
      </w:r>
      <w:bookmarkEnd w:id="28"/>
    </w:p>
    <w:p>
      <w:pPr>
        <w:pStyle w:val="FirstParagraph"/>
      </w:pPr>
      <w:r>
        <w:t xml:space="preserve">ERCOT has increased the Total Registered System-Wide Capacity Limit of all ADERs in the Pilot from 160 MW to 200 MW; the Total Registered System-Wide Limit of all ADERs providing Non-Spinning Reserve Service from 80 MW to 100 MW; and the Total Registered System-Wide Limit of all ADERs providing ERCOT Contingency Reserve Service from 80 MW to 100 MW.</w:t>
      </w:r>
    </w:p>
    <w:p>
      <w:pPr>
        <w:pStyle w:val="BodyText"/>
      </w:pPr>
      <w:r>
        <w:t xml:space="preserve">ERCOT said it has increased these limits</w:t>
      </w:r>
      <w:r>
        <w:t xml:space="preserve"> </w:t>
      </w:r>
      <w:r>
        <w:t xml:space="preserve">“</w:t>
      </w:r>
      <w:r>
        <w:t xml:space="preserve">given the observed and anticipated increases in participation and capacity in recent months,</w:t>
      </w:r>
      <w:r>
        <w:t xml:space="preserve">”</w:t>
      </w:r>
      <w:r>
        <w:t xml:space="preserve"> </w:t>
      </w:r>
      <w:r>
        <w:t xml:space="preserve">with the new limits taking effect from October 24, 2025.</w:t>
      </w:r>
    </w:p>
    <w:p>
      <w:pPr>
        <w:pStyle w:val="BodyText"/>
      </w:pPr>
      <w:r>
        <w:t xml:space="preserve">The minimum aggregation threshold is accessible for a mid-sized installer ramp:</w:t>
      </w:r>
      <w:r>
        <w:t xml:space="preserve"> </w:t>
      </w:r>
      <w:r>
        <w:t xml:space="preserve">the aggregation must have the capability to provide at least 100 kW of response</w:t>
      </w:r>
      <w:r>
        <w:t xml:space="preserve"> </w:t>
      </w:r>
      <w:r>
        <w:t xml:space="preserve">, which at 20 kWh per Lunar System means approximately 5 coordinated homes — a trivially small initial aggregation for qualifying purposes. The economic break-even is larger, however:</w:t>
      </w:r>
      <w:r>
        <w:t xml:space="preserve"> </w:t>
      </w:r>
      <w:r>
        <w:t xml:space="preserve">ADERs have a break-even point around 15 MW to 20 MW</w:t>
      </w:r>
      <w:r>
        <w:t xml:space="preserve"> </w:t>
      </w:r>
      <w:r>
        <w:t xml:space="preserve">for QSE cost absorption, meaning Lunar would need roughly 750–1,000 homes to justify standalone ADER economics without a QSE partner absorbing costs.</w:t>
      </w:r>
    </w:p>
    <w:p>
      <w:r>
        <w:pict>
          <v:rect style="width:0;height:1.5pt" o:hralign="center" o:hrstd="t" o:hr="t"/>
        </w:pict>
      </w:r>
    </w:p>
    <w:p>
      <w:pPr>
        <w:pStyle w:val="Heading2"/>
      </w:pPr>
      <w:bookmarkStart w:id="29" w:name="evidence-against-the-hypothesis"/>
      <w:r>
        <w:t xml:space="preserve">2. EVIDENCE AGAINST THE HYPOTHESIS</w:t>
      </w:r>
      <w:bookmarkEnd w:id="29"/>
    </w:p>
    <w:p>
      <w:pPr>
        <w:pStyle w:val="Heading3"/>
      </w:pPr>
      <w:bookmarkStart w:id="30" w:name="Xcedbb7d1e0f14bb23131ad6ab3564f00e078135"/>
      <w:r>
        <w:t xml:space="preserve">2A. Base Power Has a Formidable, Entrenched First-Mover Position</w:t>
      </w:r>
      <w:bookmarkEnd w:id="30"/>
    </w:p>
    <w:p>
      <w:pPr>
        <w:pStyle w:val="FirstParagraph"/>
      </w:pPr>
      <w:r>
        <w:t xml:space="preserve">Base Power’s model is structurally different from Lunar’s — and more aligned with ERCOT’s deregulated structure:</w:t>
      </w:r>
    </w:p>
    <w:p>
      <w:pPr>
        <w:pStyle w:val="BodyText"/>
      </w:pPr>
      <w:r>
        <w:t xml:space="preserve">Base Power has secured ~$1.3B in total funding. It offers a home battery and electricity service that integrates large-format residential energy storage with a retail electricity plan. Customers receive a battery system with 25 or 50 kWh of usable capacity, exceeding the storage capacity of competing products such as Tesla’s Powerwall.</w:t>
      </w:r>
    </w:p>
    <w:p>
      <w:pPr>
        <w:pStyle w:val="BodyText"/>
      </w:pPr>
      <w:r>
        <w:t xml:space="preserve">When Dell last spoke publicly, he employed 100 people and his in-house teams were installing 20 home battery systems per day for a total of about 10 MWh in March 2025. Now Base Power employs 250 people and installs double that rate. A year from now, Dell wants to install 100 MWh per month.</w:t>
      </w:r>
    </w:p>
    <w:p>
      <w:pPr>
        <w:pStyle w:val="BodyText"/>
      </w:pPr>
      <w:r>
        <w:t xml:space="preserve">Base Power has recently qualified for Texas’s Aggregated Distributed Energy Resource (ADER) program, allowing it to pool capacity from individual home batteries and bid it into the market.</w:t>
      </w:r>
    </w:p>
    <w:p>
      <w:pPr>
        <w:pStyle w:val="BodyText"/>
      </w:pPr>
      <w:r>
        <w:t xml:space="preserve">Base Power also earned certification to deliver ancillary services, which are rapid-fire adjustments to maintain grid reliability, for which batteries are uniquely suited.</w:t>
      </w:r>
    </w:p>
    <w:p>
      <w:pPr>
        <w:pStyle w:val="BodyText"/>
      </w:pPr>
      <w:r>
        <w:t xml:space="preserve">The structural moat:</w:t>
      </w:r>
      <w:r>
        <w:t xml:space="preserve"> </w:t>
      </w:r>
      <w:r>
        <w:t xml:space="preserve">The company becomes customers’ retail power provider and installs one or two unusually large batteries on-site. Base owns the batteries, and the customers pay an installation fee starting at $695 and a small monthly rate instead of purchasing them for many thousands of dollars.</w:t>
      </w:r>
      <w:r>
        <w:t xml:space="preserve"> </w:t>
      </w:r>
      <w:r>
        <w:t xml:space="preserve">This is a vertically integrated utility model that Lunar cannot replicate without becoming a Texas REP.</w:t>
      </w:r>
    </w:p>
    <w:p>
      <w:pPr>
        <w:pStyle w:val="Heading3"/>
      </w:pPr>
      <w:bookmarkStart w:id="31" w:name="X038638e11520fa209a9634e78e8c5b9ef755940"/>
      <w:r>
        <w:t xml:space="preserve">2B. Lunar’s Per-System Cost Is Significantly Higher — and Harder to Lease in Texas</w:t>
      </w:r>
      <w:bookmarkEnd w:id="31"/>
    </w:p>
    <w:p>
      <w:pPr>
        <w:pStyle w:val="FirstParagraph"/>
      </w:pPr>
      <w:r>
        <w:t xml:space="preserve">Lunar Energy’s systems are priced on the higher end of the spectrum, with typical installation costs coming in at about a 10% premium to Tesla’s Powerwall batteries.</w:t>
      </w:r>
      <w:r>
        <w:t xml:space="preserve"> </w:t>
      </w:r>
      <w:r>
        <w:t xml:space="preserve">With Tesla Powerwall installs running $12,000–$18,000 before incentives,</w:t>
      </w:r>
      <w:r>
        <w:t xml:space="preserve"> </w:t>
      </w:r>
      <w:r>
        <w:t xml:space="preserve">Lunar’s California pricing is estimated to fall between $20,000 and $30,000 after applying incentives for California homeowners.</w:t>
      </w:r>
    </w:p>
    <w:p>
      <w:pPr>
        <w:pStyle w:val="BodyText"/>
      </w:pPr>
      <w:r>
        <w:t xml:space="preserve">By contrast, Base Power charges</w:t>
      </w:r>
      <w:r>
        <w:t xml:space="preserve"> </w:t>
      </w:r>
      <w:r>
        <w:t xml:space="preserve">between $695 and $995 upfront to install 25 kWh or 50 kWh batteries</w:t>
      </w:r>
      <w:r>
        <w:t xml:space="preserve"> </w:t>
      </w:r>
      <w:r>
        <w:t xml:space="preserve">— roughly a 20-30x difference in consumer acquisition cost.</w:t>
      </w:r>
      <w:r>
        <w:t xml:space="preserve"> </w:t>
      </w:r>
      <w:r>
        <w:t xml:space="preserve">For comparison, a Tesla Powerwall installation typically costs approximately $15,000 before incentives, whereas Base Power charges less than $1,000 upfront.</w:t>
      </w:r>
      <w:r>
        <w:t xml:space="preserve"> </w:t>
      </w:r>
      <w:r>
        <w:t xml:space="preserve">In a market where the base competitor charges sub-$1,000 upfront, Lunar’s premium pricing requires a very different consumer value proposition built primarily on backup power quality, aesthetics, and VPP returns — not price.</w:t>
      </w:r>
    </w:p>
    <w:p>
      <w:pPr>
        <w:pStyle w:val="Heading3"/>
      </w:pPr>
      <w:bookmarkStart w:id="32" w:name="X391e1de8f4e265df64b3efb64ef40dad2268cd3"/>
      <w:r>
        <w:t xml:space="preserve">2C. The ADER Registration Process Is Time-Consuming and Requires a QSE Relationship</w:t>
      </w:r>
      <w:bookmarkEnd w:id="32"/>
    </w:p>
    <w:p>
      <w:pPr>
        <w:pStyle w:val="FirstParagraph"/>
      </w:pPr>
      <w:r>
        <w:t xml:space="preserve">Joining the ADER program requires sponsorship by a Qualified Scheduling Entity (QSE). The process typically follows these steps: aggregation design and data preparation; securing acknowledgments from the Load Serving Entity (LSE) and Distribution Service Provider (DSP); submission of aggregation details to ERCOT; and ERCOT review, acceptance, and qualification testing.</w:t>
      </w:r>
    </w:p>
    <w:p>
      <w:pPr>
        <w:pStyle w:val="BodyText"/>
      </w:pPr>
      <w:r>
        <w:t xml:space="preserve">Real-time telemetry must be reported at 2-second intervals. Device-level validation ensures the aggregated output matches actual device performance within ±10%. Qualification tests confirm the aggregation can deliver the energy or reserves it promises.</w:t>
      </w:r>
    </w:p>
    <w:p>
      <w:pPr>
        <w:pStyle w:val="BodyText"/>
      </w:pPr>
      <w:r>
        <w:t xml:space="preserve">The telemetry requirement is particularly significant:</w:t>
      </w:r>
      <w:r>
        <w:t xml:space="preserve"> </w:t>
      </w:r>
      <w:r>
        <w:t xml:space="preserve">as part of the validation of ADER telemetry, QSEs participating in the Pilot Project shall provide time series data of the net MW at the Premise level and/or device-level.</w:t>
      </w:r>
      <w:r>
        <w:t xml:space="preserve"> </w:t>
      </w:r>
      <w:r>
        <w:t xml:space="preserve">Lunar must verify that its Gridshare platform can natively output 2-second ICCP telemetry streams in ERCOT’s format — which is distinct from California’s CAISO or PG&amp;E requirements.</w:t>
      </w:r>
    </w:p>
    <w:p>
      <w:pPr>
        <w:pStyle w:val="BodyText"/>
      </w:pPr>
      <w:r>
        <w:t xml:space="preserve">After the RIOO submission is complete, the QSE representing the load resource must set up Inter-Control Center Communications Protocol (ICCP) telemetry points. Owner or operator changes will follow the same 45-day timeline as submissions to register a new load resource.</w:t>
      </w:r>
      <w:r>
        <w:t xml:space="preserve"> </w:t>
      </w:r>
      <w:r>
        <w:t xml:space="preserve">This 45-day minimum timeline, combined with DSP review and qualification testing, means a realistic end-to-end registration timeline of 3–5 months minimum.</w:t>
      </w:r>
    </w:p>
    <w:p>
      <w:pPr>
        <w:pStyle w:val="Heading3"/>
      </w:pPr>
      <w:bookmarkStart w:id="33" w:name="X48f529d7bb61610df8f4e0ce93efc6a6181efa8"/>
      <w:r>
        <w:t xml:space="preserve">2D. Sunrun — Lunar’s Key Strategic Partner — Is Already Committed to Competing Hardware</w:t>
      </w:r>
      <w:bookmarkEnd w:id="33"/>
    </w:p>
    <w:p>
      <w:pPr>
        <w:pStyle w:val="FirstParagraph"/>
      </w:pPr>
      <w:r>
        <w:t xml:space="preserve">Sunrun holds an equity stake in Lunar Energy and operates Lunar’s Gridshare VPP platform. But in Texas,</w:t>
      </w:r>
      <w:r>
        <w:t xml:space="preserve"> </w:t>
      </w:r>
      <w:r>
        <w:t xml:space="preserve">Sunrun customers with solar panels combined with a Tesla Powerwall battery are eligible to participate once they choose Tesla Electric as their electricity provider.</w:t>
      </w:r>
      <w:r>
        <w:t xml:space="preserve"> </w:t>
      </w:r>
      <w:r>
        <w:t xml:space="preserve">Sunrun’s Texas VPP programs are currently built on Tesla Powerwall hardware, not Lunar hardware. While Gridshare is hardware-agnostic, Lunar’s own hardware is absent from Sunrun’s Texas channel — creating a potential channel conflict if Sunrun introduces Lunar hardware to Texas customers who have already purchased Powerwalls.</w:t>
      </w:r>
    </w:p>
    <w:p>
      <w:pPr>
        <w:pStyle w:val="Heading3"/>
      </w:pPr>
      <w:bookmarkStart w:id="34" w:name="X60e5fd909a229d20f7527c7391162d2e006259e"/>
      <w:r>
        <w:t xml:space="preserve">2E. The ADER Pilot Remains Small Relative to Market Ambitions</w:t>
      </w:r>
      <w:bookmarkEnd w:id="34"/>
    </w:p>
    <w:p>
      <w:pPr>
        <w:pStyle w:val="FirstParagraph"/>
      </w:pPr>
      <w:r>
        <w:t xml:space="preserve">As of May 2025, only 3 ADERs are qualified, with a total of 15.5 MW capability for energy, 8.6 MW for Non-Spin Reserve Service, and 8.8 MW for ERCOT Contingency Reserve Service.</w:t>
      </w:r>
    </w:p>
    <w:p>
      <w:pPr>
        <w:pStyle w:val="BodyText"/>
      </w:pPr>
      <w:r>
        <w:t xml:space="preserve">Nine additional ADERs are in various stages of registration.</w:t>
      </w:r>
      <w:r>
        <w:t xml:space="preserve"> </w:t>
      </w:r>
      <w:r>
        <w:t xml:space="preserve">The entire ADER pilot at that point represented a fraction of 1% of ERCOT’s 85 GW grid. The ADER program is strategically promising but operationally nascent — requiring Lunar to invest in registration infrastructure that may yield modest initial revenue.</w:t>
      </w:r>
    </w:p>
    <w:p>
      <w:pPr>
        <w:pStyle w:val="Heading3"/>
      </w:pPr>
      <w:bookmarkStart w:id="35" w:name="Xab416ba989cf41502958710c99d0872af0587a3"/>
      <w:r>
        <w:t xml:space="preserve">2F. Installer Channel Is Partially Locked Up</w:t>
      </w:r>
      <w:bookmarkEnd w:id="35"/>
    </w:p>
    <w:p>
      <w:pPr>
        <w:pStyle w:val="FirstParagraph"/>
      </w:pPr>
      <w:r>
        <w:t xml:space="preserve">Key Texas installers are already aligned with competing hardware brands:</w:t>
      </w:r>
    </w:p>
    <w:p>
      <w:pPr>
        <w:numPr>
          <w:ilvl w:val="0"/>
          <w:numId w:val="1002"/>
        </w:numPr>
        <w:pStyle w:val="Compact"/>
      </w:pPr>
      <w:r>
        <w:rPr>
          <w:b/>
        </w:rPr>
        <w:t xml:space="preserve">Good Faith Energy</w:t>
      </w:r>
      <w:r>
        <w:t xml:space="preserve"> </w:t>
      </w:r>
      <w:r>
        <w:t xml:space="preserve">(Dallas/Austin/Houston):</w:t>
      </w:r>
      <w:r>
        <w:t xml:space="preserve"> </w:t>
      </w:r>
      <w:r>
        <w:t xml:space="preserve">An exclusive Tesla Certified Installer that can bring Tesla products to homes, including Tesla Solar Roof and Tesla Powerwall.</w:t>
      </w:r>
    </w:p>
    <w:p>
      <w:pPr>
        <w:pStyle w:val="FirstParagraph"/>
      </w:pPr>
      <w:r>
        <w:t xml:space="preserve">The company is recognized as a Tesla Premier Installer.</w:t>
      </w:r>
    </w:p>
    <w:p>
      <w:pPr>
        <w:numPr>
          <w:ilvl w:val="0"/>
          <w:numId w:val="1003"/>
        </w:numPr>
      </w:pPr>
      <w:r>
        <w:rPr>
          <w:b/>
        </w:rPr>
        <w:t xml:space="preserve">Freedom Solar Power</w:t>
      </w:r>
      <w:r>
        <w:t xml:space="preserve"> </w:t>
      </w:r>
      <w:r>
        <w:t xml:space="preserve">(Austin/Houston/DFW/SA):</w:t>
      </w:r>
      <w:r>
        <w:t xml:space="preserve"> </w:t>
      </w:r>
      <w:r>
        <w:t xml:space="preserve">They offer energy storage options like Tesla Powerwall and Enphase IQ Battery 5P.</w:t>
      </w:r>
    </w:p>
    <w:p>
      <w:pPr>
        <w:numPr>
          <w:ilvl w:val="0"/>
          <w:numId w:val="1003"/>
        </w:numPr>
      </w:pPr>
      <w:r>
        <w:rPr>
          <w:b/>
        </w:rPr>
        <w:t xml:space="preserve">Sunrun</w:t>
      </w:r>
      <w:r>
        <w:t xml:space="preserve"> </w:t>
      </w:r>
      <w:r>
        <w:t xml:space="preserve">itself is already in Texas with its own hardware (Powerwalls) via REP partnerships.</w:t>
      </w:r>
    </w:p>
    <w:p>
      <w:r>
        <w:pict>
          <v:rect style="width:0;height:1.5pt" o:hralign="center" o:hrstd="t" o:hr="t"/>
        </w:pict>
      </w:r>
    </w:p>
    <w:p>
      <w:pPr>
        <w:pStyle w:val="Heading2"/>
      </w:pPr>
      <w:bookmarkStart w:id="36" w:name="comparable-examples"/>
      <w:r>
        <w:t xml:space="preserve">3. COMPARABLE EXAMPLES</w:t>
      </w:r>
      <w:bookmarkEnd w:id="36"/>
    </w:p>
    <w:p>
      <w:pPr>
        <w:pStyle w:val="Heading3"/>
      </w:pPr>
      <w:bookmarkStart w:id="37" w:name="Xbf58d4dc84259f22ba80c9a774ca9a0659b69e6"/>
      <w:r>
        <w:t xml:space="preserve">3A. Tesla’s ADER Qualification Path (The Benchmark)</w:t>
      </w:r>
      <w:bookmarkEnd w:id="37"/>
    </w:p>
    <w:p>
      <w:pPr>
        <w:pStyle w:val="FirstParagraph"/>
      </w:pPr>
      <w:r>
        <w:t xml:space="preserve">Tesla established the template.</w:t>
      </w:r>
      <w:r>
        <w:t xml:space="preserve"> </w:t>
      </w:r>
      <w:r>
        <w:t xml:space="preserve">The two ADERs announced at Phase 1 launch involved Tesla Electric customers who have Powerwall storage systems in their homes and have agreed to sell their surplus power in the ERCOT market.</w:t>
      </w:r>
    </w:p>
    <w:p>
      <w:pPr>
        <w:pStyle w:val="BodyText"/>
      </w:pPr>
      <w:r>
        <w:t xml:space="preserve">Two of the eight ADERs (both represented by Tesla Electric) had completed required testing and qualified to participate.</w:t>
      </w:r>
    </w:p>
    <w:p>
      <w:pPr>
        <w:pStyle w:val="BodyText"/>
      </w:pPr>
      <w:r>
        <w:t xml:space="preserve">Tesla’s advantage: it was simultaneously the hardware manufacturer, the retail electricity provider (Tesla Electric), the QSE, and the aggregator — a fully vertically integrated stack that Lunar would need to replicate through partnerships. Lunar must find a QSE partner and a REP partner, whereas Tesla built them internally.</w:t>
      </w:r>
    </w:p>
    <w:p>
      <w:pPr>
        <w:pStyle w:val="Heading3"/>
      </w:pPr>
      <w:bookmarkStart w:id="38" w:name="Xe7bca6e320e5e97325a3d8fd6771bad5f0ab68a"/>
      <w:r>
        <w:t xml:space="preserve">3B. Base Power’s ADER Qualification (The Speed Benchmark)</w:t>
      </w:r>
      <w:bookmarkEnd w:id="38"/>
    </w:p>
    <w:p>
      <w:pPr>
        <w:pStyle w:val="FirstParagraph"/>
      </w:pPr>
      <w:r>
        <w:t xml:space="preserve">Base Power recently qualified for Texas’s Aggregated Distributed Energy Resource (ADER) program, allowing it to pool capacity from individual home batteries and bid it into the market.</w:t>
      </w:r>
      <w:r>
        <w:t xml:space="preserve"> </w:t>
      </w:r>
      <w:r>
        <w:t xml:space="preserve">Base Power accomplished this as a startup that also serves as its own REP — showing that a vertically integrated model can qualify for ADER without being a legacy utility. However, Base Power took approximately 18–24 months from founding to ADER qualification.</w:t>
      </w:r>
    </w:p>
    <w:p>
      <w:pPr>
        <w:pStyle w:val="Heading3"/>
      </w:pPr>
      <w:bookmarkStart w:id="39" w:name="Xcecdce39f398e7e50c30d6aee546ae7ab47a4e6"/>
      <w:r>
        <w:t xml:space="preserve">3C. Sonnen’s Texas VPP Approach (The Partnership Model Lunar Should Emulate)</w:t>
      </w:r>
      <w:bookmarkEnd w:id="39"/>
    </w:p>
    <w:p>
      <w:pPr>
        <w:pStyle w:val="FirstParagraph"/>
      </w:pPr>
      <w:r>
        <w:t xml:space="preserve">Sonnen used a three-party structure:</w:t>
      </w:r>
      <w:r>
        <w:t xml:space="preserve"> </w:t>
      </w:r>
      <w:r>
        <w:t xml:space="preserve">Sonnen partnered with Abundance Energy and Energywell Technology Licensing to develop a battery-enabled VPP in Texas. The programme allowed Abundance Energy customers to use sonnenConnect residential battery installations to support grid stability and lower electricity costs.</w:t>
      </w:r>
      <w:r>
        <w:t xml:space="preserve"> </w:t>
      </w:r>
      <w:r>
        <w:t xml:space="preserve">This tripartite structure — hardware manufacturer (Sonnen) + retail electricity provider (Abundance Energy) + technology platform (Energywell) — is the cleanest template for Lunar, which could substitute Gridshare for Energywell and partner with an available REP.</w:t>
      </w:r>
    </w:p>
    <w:p>
      <w:pPr>
        <w:pStyle w:val="Heading3"/>
      </w:pPr>
      <w:bookmarkStart w:id="40" w:name="X2589126828d92d37b8c4c1ed47aedfcc822e134"/>
      <w:r>
        <w:t xml:space="preserve">3D. Sunrun + Tesla Electric (The REP-QSE Integration Model)</w:t>
      </w:r>
      <w:bookmarkEnd w:id="40"/>
    </w:p>
    <w:p>
      <w:pPr>
        <w:pStyle w:val="FirstParagraph"/>
      </w:pPr>
      <w:r>
        <w:t xml:space="preserve">Sunrun enhanced customer benefits through its partnership with Tesla Electric by enabling residents to receive compensation for sharing energy from their Tesla Powerwall batteries to help stabilize the electric grid. Sunrun customers who enroll are participating in ERCOT’s Aggregated Distributed Energy Resources pilot program.</w:t>
      </w:r>
      <w:r>
        <w:t xml:space="preserve"> </w:t>
      </w:r>
      <w:r>
        <w:t xml:space="preserve">This Sunrun/Tesla partnership demonstrates that a non-vertically integrated arrangement (solar installer + REP) can successfully qualify for ADER. The Lunar/[REP partner] structure would be analogous, with Gridshare replacing Tesla’s proprietary VPP management layer.</w:t>
      </w:r>
    </w:p>
    <w:p>
      <w:pPr>
        <w:pStyle w:val="Heading3"/>
      </w:pPr>
      <w:bookmarkStart w:id="41" w:name="X087eeefe1c391c0a7a89a7c9141b768eeb47bbe"/>
      <w:r>
        <w:t xml:space="preserve">3E. GVEC and Bandera Electric (The Co-op Model for Rural Expansion)</w:t>
      </w:r>
      <w:bookmarkEnd w:id="41"/>
    </w:p>
    <w:p>
      <w:pPr>
        <w:pStyle w:val="FirstParagraph"/>
      </w:pPr>
      <w:r>
        <w:t xml:space="preserve">Bandera Electric Cooperative aggregated distributed resources including batteries to demonstrate co-op-led ADER participation. GVEC (Guadalupe Valley Electric Cooperative) enrolled C&amp;I and residential customers into an aggregation, proving co-ops can create revenue streams and resilience benefits at scale.</w:t>
      </w:r>
    </w:p>
    <w:p>
      <w:pPr>
        <w:pStyle w:val="BodyText"/>
      </w:pPr>
      <w:r>
        <w:t xml:space="preserve">Base Power rolled out a co-op model in March with Bandera Electric Cooperative, a 29,000-member utility in Texas Hill Country. Bandera Electric offers its customer-owners backup power for a monthly subscription with no up-front cost; the cooperative dispatches the batteries based on its own strategy and pays Base Power for that ability.</w:t>
      </w:r>
      <w:r>
        <w:t xml:space="preserve"> </w:t>
      </w:r>
      <w:r>
        <w:t xml:space="preserve">This co-op channel is less competitive than the urban ERCOT retail market and could be a lower-friction entry point for Lunar.</w:t>
      </w:r>
    </w:p>
    <w:p>
      <w:r>
        <w:pict>
          <v:rect style="width:0;height:1.5pt" o:hralign="center" o:hrstd="t" o:hr="t"/>
        </w:pict>
      </w:r>
    </w:p>
    <w:p>
      <w:pPr>
        <w:pStyle w:val="Heading2"/>
      </w:pPr>
      <w:bookmarkStart w:id="42" w:name="feasibility-assessment"/>
      <w:r>
        <w:t xml:space="preserve">4. FEASIBILITY ASSESSMENT</w:t>
      </w:r>
      <w:bookmarkEnd w:id="42"/>
    </w:p>
    <w:p>
      <w:pPr>
        <w:pStyle w:val="Heading3"/>
      </w:pPr>
      <w:bookmarkStart w:id="43" w:name="is-the-hypothesis-feasible"/>
      <w:r>
        <w:t xml:space="preserve">Is the Hypothesis Feasible?</w:t>
      </w:r>
      <w:bookmarkEnd w:id="43"/>
    </w:p>
    <w:p>
      <w:pPr>
        <w:pStyle w:val="FirstParagraph"/>
      </w:pPr>
      <w:r>
        <w:rPr>
          <w:b/>
        </w:rPr>
        <w:t xml:space="preserve">Yes, with significant caveats.</w:t>
      </w:r>
      <w:r>
        <w:t xml:space="preserve"> </w:t>
      </w:r>
      <w:r>
        <w:t xml:space="preserve">Texas becoming Lunar’s largest market by 2028 is achievable but requires a fundamentally different go-to-market than California. The key structural barriers and their mitigation strategies are: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Barrier</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Mitigation</w:t>
            </w:r>
          </w:p>
        </w:tc>
      </w:tr>
      <w:tr>
        <w:tc>
          <w:p>
            <w:pPr>
              <w:pStyle w:val="Compact"/>
              <w:jc w:val="left"/>
            </w:pPr>
            <w:r>
              <w:t xml:space="preserve">No Texas REP relationship</w:t>
            </w:r>
          </w:p>
        </w:tc>
        <w:tc>
          <w:p>
            <w:pPr>
              <w:pStyle w:val="Compact"/>
              <w:jc w:val="left"/>
            </w:pPr>
            <w:r>
              <w:t xml:space="preserve">🔴 Critical</w:t>
            </w:r>
          </w:p>
        </w:tc>
        <w:tc>
          <w:p>
            <w:pPr>
              <w:pStyle w:val="Compact"/>
              <w:jc w:val="left"/>
            </w:pPr>
            <w:r>
              <w:t xml:space="preserve">Partner with Octopus Energy TX or an independent REP not yet committed to hardware; Gridshare’s hardware agnosticism is the pitch</w:t>
            </w:r>
          </w:p>
        </w:tc>
      </w:tr>
      <w:tr>
        <w:tc>
          <w:p>
            <w:pPr>
              <w:pStyle w:val="Compact"/>
              <w:jc w:val="left"/>
            </w:pPr>
            <w:r>
              <w:t xml:space="preserve">No ADER registration</w:t>
            </w:r>
          </w:p>
        </w:tc>
        <w:tc>
          <w:p>
            <w:pPr>
              <w:pStyle w:val="Compact"/>
              <w:jc w:val="left"/>
            </w:pPr>
            <w:r>
              <w:t xml:space="preserve">🔴 Critical</w:t>
            </w:r>
          </w:p>
        </w:tc>
        <w:tc>
          <w:p>
            <w:pPr>
              <w:pStyle w:val="Compact"/>
              <w:jc w:val="left"/>
            </w:pPr>
            <w:r>
              <w:t xml:space="preserve">Partner with an existing ADER-registered QSE (e.g., a trading firm or existing ADER participant); file own QSE registration concurrently</w:t>
            </w:r>
          </w:p>
        </w:tc>
      </w:tr>
      <w:tr>
        <w:tc>
          <w:p>
            <w:pPr>
              <w:pStyle w:val="Compact"/>
              <w:jc w:val="left"/>
            </w:pPr>
            <w:r>
              <w:t xml:space="preserve">No Texas installer network</w:t>
            </w:r>
          </w:p>
        </w:tc>
        <w:tc>
          <w:p>
            <w:pPr>
              <w:pStyle w:val="Compact"/>
              <w:jc w:val="left"/>
            </w:pPr>
            <w:r>
              <w:t xml:space="preserve">🟡 Significant</w:t>
            </w:r>
          </w:p>
        </w:tc>
        <w:tc>
          <w:p>
            <w:pPr>
              <w:pStyle w:val="Compact"/>
              <w:jc w:val="left"/>
            </w:pPr>
            <w:r>
              <w:t xml:space="preserve">Target NATiVE Solar, Longhorn Solar, Solarize, Zenith Solar — Texas-rooted companies without exclusive commitments</w:t>
            </w:r>
          </w:p>
        </w:tc>
      </w:tr>
      <w:tr>
        <w:tc>
          <w:p>
            <w:pPr>
              <w:pStyle w:val="Compact"/>
              <w:jc w:val="left"/>
            </w:pPr>
            <w:r>
              <w:t xml:space="preserve">Pricing premium vs. Base Power</w:t>
            </w:r>
          </w:p>
        </w:tc>
        <w:tc>
          <w:p>
            <w:pPr>
              <w:pStyle w:val="Compact"/>
              <w:jc w:val="left"/>
            </w:pPr>
            <w:r>
              <w:t xml:space="preserve">🟡 Significant</w:t>
            </w:r>
          </w:p>
        </w:tc>
        <w:tc>
          <w:p>
            <w:pPr>
              <w:pStyle w:val="Compact"/>
              <w:jc w:val="left"/>
            </w:pPr>
            <w:r>
              <w:t xml:space="preserve">Different consumer segment: solar-plus-storage buyers (vs. Base Power’s battery-only backup buyers); ITC + domestic content bonus partially offsets premium</w:t>
            </w:r>
          </w:p>
        </w:tc>
      </w:tr>
      <w:tr>
        <w:tc>
          <w:p>
            <w:pPr>
              <w:pStyle w:val="Compact"/>
              <w:jc w:val="left"/>
            </w:pPr>
            <w:r>
              <w:t xml:space="preserve">No Texas-specific certifications (TDLR)</w:t>
            </w:r>
          </w:p>
        </w:tc>
        <w:tc>
          <w:p>
            <w:pPr>
              <w:pStyle w:val="Compact"/>
              <w:jc w:val="left"/>
            </w:pPr>
            <w:r>
              <w:t xml:space="preserve">🟢 Manageable</w:t>
            </w:r>
          </w:p>
        </w:tc>
        <w:tc>
          <w:p>
            <w:pPr>
              <w:pStyle w:val="Compact"/>
              <w:jc w:val="left"/>
            </w:pPr>
            <w:r>
              <w:t xml:space="preserve">Certifications are installer-side, not manufacturer-side; partner installers carry TDLR licensure</w:t>
            </w:r>
          </w:p>
        </w:tc>
      </w:tr>
      <w:tr>
        <w:tc>
          <w:p>
            <w:pPr>
              <w:pStyle w:val="Compact"/>
              <w:jc w:val="left"/>
            </w:pPr>
            <w:r>
              <w:t xml:space="preserve">2-second ICCP telemetry compliance</w:t>
            </w:r>
          </w:p>
        </w:tc>
        <w:tc>
          <w:p>
            <w:pPr>
              <w:pStyle w:val="Compact"/>
              <w:jc w:val="left"/>
            </w:pPr>
            <w:r>
              <w:t xml:space="preserve">🟡 Significant</w:t>
            </w:r>
          </w:p>
        </w:tc>
        <w:tc>
          <w:p>
            <w:pPr>
              <w:pStyle w:val="Compact"/>
              <w:jc w:val="left"/>
            </w:pPr>
            <w:r>
              <w:t xml:space="preserve">Gridshare already manages CAISO-compliant VPPs; ERCOT telemetry adaptation is an engineering sprint, not a rebuild</w:t>
            </w:r>
          </w:p>
        </w:tc>
      </w:tr>
      <w:tr>
        <w:tc>
          <w:p>
            <w:pPr>
              <w:pStyle w:val="Compact"/>
              <w:jc w:val="left"/>
            </w:pPr>
            <w:r>
              <w:t xml:space="preserve">FEOC/domestic content tariff environment</w:t>
            </w:r>
          </w:p>
        </w:tc>
        <w:tc>
          <w:p>
            <w:pPr>
              <w:pStyle w:val="Compact"/>
              <w:jc w:val="left"/>
            </w:pPr>
            <w:r>
              <w:t xml:space="preserve">🟢 Advantage</w:t>
            </w:r>
          </w:p>
        </w:tc>
        <w:tc>
          <w:p>
            <w:pPr>
              <w:pStyle w:val="Compact"/>
              <w:jc w:val="left"/>
            </w:pPr>
            <w:r>
              <w:t xml:space="preserve">Lunar’s all-US manufacturing contracts are already positioned for IRA domestic content bonus — a concrete differentiator</w:t>
            </w:r>
          </w:p>
        </w:tc>
      </w:tr>
    </w:tbl>
    <w:p>
      <w:pPr>
        <w:pStyle w:val="Heading3"/>
      </w:pPr>
      <w:bookmarkStart w:id="44" w:name="X031f4b00e8b52c94f03e2d4a91d96eee9abdb6f"/>
      <w:r>
        <w:t xml:space="preserve">The Pricing Problem — Resolved Differently Than California</w:t>
      </w:r>
      <w:bookmarkEnd w:id="44"/>
    </w:p>
    <w:p>
      <w:pPr>
        <w:pStyle w:val="FirstParagraph"/>
      </w:pPr>
      <w:r>
        <w:t xml:space="preserve">Texas does</w:t>
      </w:r>
      <w:r>
        <w:t xml:space="preserve"> </w:t>
      </w:r>
      <w:r>
        <w:rPr>
          <w:b/>
        </w:rPr>
        <w:t xml:space="preserve">not</w:t>
      </w:r>
      <w:r>
        <w:t xml:space="preserve"> </w:t>
      </w:r>
      <w:r>
        <w:t xml:space="preserve">have NEM 3.0 complexity or high utility base rates that justify premium battery economics in California. Lunar must adapt its value proposition for Texas:</w:t>
      </w:r>
    </w:p>
    <w:p>
      <w:pPr>
        <w:numPr>
          <w:ilvl w:val="0"/>
          <w:numId w:val="1004"/>
        </w:numPr>
        <w:pStyle w:val="Compact"/>
      </w:pPr>
      <w:r>
        <w:rPr>
          <w:b/>
        </w:rPr>
        <w:t xml:space="preserve">Primary value driver</w:t>
      </w:r>
      <w:r>
        <w:t xml:space="preserve">: Backup power from weather/grid outages (Uri legacy anxiety remains strong)</w:t>
      </w:r>
    </w:p>
    <w:p>
      <w:pPr>
        <w:numPr>
          <w:ilvl w:val="0"/>
          <w:numId w:val="1004"/>
        </w:numPr>
        <w:pStyle w:val="Compact"/>
      </w:pPr>
      <w:r>
        <w:rPr>
          <w:b/>
        </w:rPr>
        <w:t xml:space="preserve">Secondary value driver</w:t>
      </w:r>
      <w:r>
        <w:t xml:space="preserve">: VPP revenue sharing (ERCOT peak prices &gt;&gt; California peak prices when events occur)</w:t>
      </w:r>
    </w:p>
    <w:p>
      <w:pPr>
        <w:numPr>
          <w:ilvl w:val="0"/>
          <w:numId w:val="1004"/>
        </w:numPr>
        <w:pStyle w:val="Compact"/>
      </w:pPr>
      <w:r>
        <w:rPr>
          <w:b/>
        </w:rPr>
        <w:t xml:space="preserve">Tertiary value driver</w:t>
      </w:r>
      <w:r>
        <w:t xml:space="preserve">: Domestic content ITC bonus (10% adder) makes system financing more competitive</w:t>
      </w:r>
    </w:p>
    <w:p>
      <w:pPr>
        <w:numPr>
          <w:ilvl w:val="0"/>
          <w:numId w:val="1004"/>
        </w:numPr>
        <w:pStyle w:val="Compact"/>
      </w:pPr>
      <w:r>
        <w:rPr>
          <w:b/>
        </w:rPr>
        <w:t xml:space="preserve">Lease model</w:t>
      </w:r>
      <w:r>
        <w:t xml:space="preserve">:</w:t>
      </w:r>
      <w:r>
        <w:t xml:space="preserve"> </w:t>
      </w:r>
      <w:r>
        <w:t xml:space="preserve">In most cases, Lunar systems are now being deployed through residential leases, meaning they are installed at no upfront cost to homeowners.</w:t>
      </w:r>
      <w:r>
        <w:t xml:space="preserve"> </w:t>
      </w:r>
      <w:r>
        <w:t xml:space="preserve">A lease model dramatically changes the consumer price comparison — competing not against Base Power’s $695–$995 upfront, but against an all-in monthly payment that includes backup power insurance value.</w:t>
      </w:r>
    </w:p>
    <w:p>
      <w:r>
        <w:pict>
          <v:rect style="width:0;height:1.5pt" o:hralign="center" o:hrstd="t" o:hr="t"/>
        </w:pict>
      </w:r>
    </w:p>
    <w:p>
      <w:pPr>
        <w:pStyle w:val="Heading2"/>
      </w:pPr>
      <w:bookmarkStart w:id="45" w:name="magnitude-estimate"/>
      <w:r>
        <w:t xml:space="preserve">5. MAGNITUDE ESTIMATE</w:t>
      </w:r>
      <w:bookmarkEnd w:id="45"/>
    </w:p>
    <w:p>
      <w:pPr>
        <w:pStyle w:val="Heading3"/>
      </w:pPr>
      <w:bookmarkStart w:id="46" w:name="market-sizing-for-lunar-in-texas-by-2028"/>
      <w:r>
        <w:t xml:space="preserve">Market Sizing for Lunar in Texas by 2028</w:t>
      </w:r>
      <w:bookmarkEnd w:id="46"/>
    </w:p>
    <w:p>
      <w:pPr>
        <w:pStyle w:val="FirstParagraph"/>
      </w:pPr>
      <w:r>
        <w:rPr>
          <w:b/>
        </w:rPr>
        <w:t xml:space="preserve">Scenario assumptions:</w:t>
      </w:r>
      <w:r>
        <w:t xml:space="preserve"> </w:t>
      </w:r>
      <w:r>
        <w:t xml:space="preserve">- Texas has ~11 million residential electricity customers with meaningful solar potential</w:t>
      </w:r>
      <w:r>
        <w:t xml:space="preserve"> </w:t>
      </w:r>
      <w:r>
        <w:t xml:space="preserve">- Battery attachment rate growing to 15–20% of new solar installs by 2028</w:t>
      </w:r>
      <w:r>
        <w:t xml:space="preserve"> </w:t>
      </w:r>
      <w:r>
        <w:t xml:space="preserve">- Lunar targeting premium segment: households with existing/new solar, backup anxiety, domestic content preference</w:t>
      </w:r>
      <w:r>
        <w:t xml:space="preserve"> </w:t>
      </w:r>
      <w:r>
        <w:t xml:space="preserve">- Addressable market: ~300,000–500,000 solar-equipped homes by 2028, with 20–25% battery attachment =</w:t>
      </w:r>
      <w:r>
        <w:t xml:space="preserve"> </w:t>
      </w:r>
      <w:r>
        <w:rPr>
          <w:b/>
        </w:rPr>
        <w:t xml:space="preserve">60,000–125,000</w:t>
      </w:r>
      <w:r>
        <w:t xml:space="preserve"> </w:t>
      </w:r>
      <w:r>
        <w:t xml:space="preserve">battery opportunities annually</w:t>
      </w:r>
    </w:p>
    <w:p>
      <w:pPr>
        <w:pStyle w:val="BodyText"/>
      </w:pPr>
      <w:r>
        <w:rPr>
          <w:b/>
        </w:rPr>
        <w:t xml:space="preserve">Conservative Lunar capture (5% market share):</w:t>
      </w:r>
      <w:r>
        <w:t xml:space="preserve"> </w:t>
      </w:r>
      <w:r>
        <w:t xml:space="preserve">3,000–6,000 systems/year at ~$22,000 avg installed →</w:t>
      </w:r>
      <w:r>
        <w:t xml:space="preserve"> </w:t>
      </w:r>
      <w:r>
        <w:rPr>
          <w:b/>
        </w:rPr>
        <w:t xml:space="preserve">$66M–$132M revenue</w:t>
      </w:r>
      <w:r>
        <w:t xml:space="preserve"> </w:t>
      </w:r>
      <w:r>
        <w:t xml:space="preserve">+ VPP revenue streams</w:t>
      </w:r>
    </w:p>
    <w:p>
      <w:pPr>
        <w:pStyle w:val="BodyText"/>
      </w:pPr>
      <w:r>
        <w:rPr>
          <w:b/>
        </w:rPr>
        <w:t xml:space="preserve">Bull case Lunar capture (15% market share):</w:t>
      </w:r>
      <w:r>
        <w:t xml:space="preserve"> </w:t>
      </w:r>
      <w:r>
        <w:t xml:space="preserve">9,000–18,000 systems/year →</w:t>
      </w:r>
      <w:r>
        <w:t xml:space="preserve"> </w:t>
      </w:r>
      <w:r>
        <w:rPr>
          <w:b/>
        </w:rPr>
        <w:t xml:space="preserve">$198M–$396M revenue</w:t>
      </w:r>
      <w:r>
        <w:t xml:space="preserve"> </w:t>
      </w:r>
      <w:r>
        <w:t xml:space="preserve">— which would likely exceed California by 2028 if Lunar is at California’s current scale of ~10,000 systems/year nationally</w:t>
      </w:r>
    </w:p>
    <w:p>
      <w:pPr>
        <w:pStyle w:val="BodyText"/>
      </w:pPr>
      <w:r>
        <w:rPr>
          <w:b/>
        </w:rPr>
        <w:t xml:space="preserve">VPP revenue overlay</w:t>
      </w:r>
      <w:r>
        <w:t xml:space="preserve">:</w:t>
      </w:r>
      <w:r>
        <w:t xml:space="preserve"> </w:t>
      </w:r>
      <w:r>
        <w:t xml:space="preserve">Lunar System customers earned an average of $464 last year by participating in VPP programs, a figure it claims is $338 more than for those who own systems with standard home battery operating modes.</w:t>
      </w:r>
      <w:r>
        <w:t xml:space="preserve"> </w:t>
      </w:r>
      <w:r>
        <w:t xml:space="preserve">At 10,000 Texas homes enrolled, that’s ~$4.6M/year in VPP revenue pass-through — real but not transformative at this scale. The transformative VPP revenue comes at 50,000+ homes.</w:t>
      </w:r>
    </w:p>
    <w:p>
      <w:pPr>
        <w:pStyle w:val="BodyText"/>
      </w:pPr>
      <w:r>
        <w:rPr>
          <w:b/>
        </w:rPr>
        <w:t xml:space="preserve">The 2028</w:t>
      </w:r>
      <w:r>
        <w:rPr>
          <w:b/>
        </w:rPr>
        <w:t xml:space="preserve"> </w:t>
      </w:r>
      <w:r>
        <w:rPr>
          <w:b/>
        </w:rPr>
        <w:t xml:space="preserve">“</w:t>
      </w:r>
      <w:r>
        <w:rPr>
          <w:b/>
        </w:rPr>
        <w:t xml:space="preserve">largest market</w:t>
      </w:r>
      <w:r>
        <w:rPr>
          <w:b/>
        </w:rPr>
        <w:t xml:space="preserve">”</w:t>
      </w:r>
      <w:r>
        <w:rPr>
          <w:b/>
        </w:rPr>
        <w:t xml:space="preserve"> </w:t>
      </w:r>
      <w:r>
        <w:rPr>
          <w:b/>
        </w:rPr>
        <w:t xml:space="preserve">thesis</w:t>
      </w:r>
      <w:r>
        <w:t xml:space="preserve">: Plausible if Lunar can install 5,000+ systems/year in Texas by 2027, which requires beginning installer onboarding and ADER registration in Q2–Q3 2026.</w:t>
      </w:r>
    </w:p>
    <w:p>
      <w:r>
        <w:pict>
          <v:rect style="width:0;height:1.5pt" o:hralign="center" o:hrstd="t" o:hr="t"/>
        </w:pict>
      </w:r>
    </w:p>
    <w:p>
      <w:pPr>
        <w:pStyle w:val="Heading2"/>
      </w:pPr>
      <w:bookmarkStart w:id="47" w:name="confidence-assessment"/>
      <w:r>
        <w:t xml:space="preserve">6. CONFIDENCE ASSESSMENT</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Key Uncertainty</w:t>
            </w:r>
          </w:p>
        </w:tc>
      </w:tr>
      <w:tr>
        <w:tc>
          <w:p>
            <w:pPr>
              <w:pStyle w:val="Compact"/>
              <w:jc w:val="left"/>
            </w:pPr>
            <w:r>
              <w:t xml:space="preserve">ERCOT ADER technical/regulatory requirements</w:t>
            </w:r>
          </w:p>
        </w:tc>
        <w:tc>
          <w:p>
            <w:pPr>
              <w:pStyle w:val="Compact"/>
              <w:jc w:val="left"/>
            </w:pPr>
            <w:r>
              <w:rPr>
                <w:b/>
              </w:rPr>
              <w:t xml:space="preserve">HIGH</w:t>
            </w:r>
          </w:p>
        </w:tc>
        <w:tc>
          <w:p>
            <w:pPr>
              <w:pStyle w:val="Compact"/>
              <w:jc w:val="left"/>
            </w:pPr>
            <w:r>
              <w:t xml:space="preserve">Well-documented via PUCT/ERCOT public filings</w:t>
            </w:r>
          </w:p>
        </w:tc>
      </w:tr>
      <w:tr>
        <w:tc>
          <w:p>
            <w:pPr>
              <w:pStyle w:val="Compact"/>
              <w:jc w:val="left"/>
            </w:pPr>
            <w:r>
              <w:t xml:space="preserve">REP VPP program landscape</w:t>
            </w:r>
          </w:p>
        </w:tc>
        <w:tc>
          <w:p>
            <w:pPr>
              <w:pStyle w:val="Compact"/>
              <w:jc w:val="left"/>
            </w:pPr>
            <w:r>
              <w:rPr>
                <w:b/>
              </w:rPr>
              <w:t xml:space="preserve">HIGH</w:t>
            </w:r>
          </w:p>
        </w:tc>
        <w:tc>
          <w:p>
            <w:pPr>
              <w:pStyle w:val="Compact"/>
              <w:jc w:val="left"/>
            </w:pPr>
            <w:r>
              <w:t xml:space="preserve">Multiple verified press releases from NRG, TXU, Sonnen, Octopus</w:t>
            </w:r>
          </w:p>
        </w:tc>
      </w:tr>
      <w:tr>
        <w:tc>
          <w:p>
            <w:pPr>
              <w:pStyle w:val="Compact"/>
              <w:jc w:val="left"/>
            </w:pPr>
            <w:r>
              <w:t xml:space="preserve">Base Power competitive threat</w:t>
            </w:r>
          </w:p>
        </w:tc>
        <w:tc>
          <w:p>
            <w:pPr>
              <w:pStyle w:val="Compact"/>
              <w:jc w:val="left"/>
            </w:pPr>
            <w:r>
              <w:rPr>
                <w:b/>
              </w:rPr>
              <w:t xml:space="preserve">HIGH</w:t>
            </w:r>
          </w:p>
        </w:tc>
        <w:tc>
          <w:p>
            <w:pPr>
              <w:pStyle w:val="Compact"/>
              <w:jc w:val="left"/>
            </w:pPr>
            <w:r>
              <w:t xml:space="preserve">Extensive public funding data, product specs, ADER qualification confirmed</w:t>
            </w:r>
          </w:p>
        </w:tc>
      </w:tr>
      <w:tr>
        <w:tc>
          <w:p>
            <w:pPr>
              <w:pStyle w:val="Compact"/>
              <w:jc w:val="left"/>
            </w:pPr>
            <w:r>
              <w:t xml:space="preserve">Texas installer landscape</w:t>
            </w:r>
          </w:p>
        </w:tc>
        <w:tc>
          <w:p>
            <w:pPr>
              <w:pStyle w:val="Compact"/>
              <w:jc w:val="left"/>
            </w:pPr>
            <w:r>
              <w:rPr>
                <w:b/>
              </w:rPr>
              <w:t xml:space="preserve">MEDIUM</w:t>
            </w:r>
          </w:p>
        </w:tc>
        <w:tc>
          <w:p>
            <w:pPr>
              <w:pStyle w:val="Compact"/>
              <w:jc w:val="left"/>
            </w:pPr>
            <w:r>
              <w:t xml:space="preserve">Volume data is estimated; exclusivity arrangements not always disclosed</w:t>
            </w:r>
          </w:p>
        </w:tc>
      </w:tr>
      <w:tr>
        <w:tc>
          <w:p>
            <w:pPr>
              <w:pStyle w:val="Compact"/>
              <w:jc w:val="left"/>
            </w:pPr>
            <w:r>
              <w:t xml:space="preserve">Lunar Texas-specific pricing</w:t>
            </w:r>
          </w:p>
        </w:tc>
        <w:tc>
          <w:p>
            <w:pPr>
              <w:pStyle w:val="Compact"/>
              <w:jc w:val="left"/>
            </w:pPr>
            <w:r>
              <w:rPr>
                <w:b/>
              </w:rPr>
              <w:t xml:space="preserve">MEDIUM-LOW</w:t>
            </w:r>
          </w:p>
        </w:tc>
        <w:tc>
          <w:p>
            <w:pPr>
              <w:pStyle w:val="Compact"/>
              <w:jc w:val="left"/>
            </w:pPr>
            <w:r>
              <w:t xml:space="preserve">No Texas-specific pricing published; California pricing used as proxy</w:t>
            </w:r>
          </w:p>
        </w:tc>
      </w:tr>
      <w:tr>
        <w:tc>
          <w:p>
            <w:pPr>
              <w:pStyle w:val="Compact"/>
              <w:jc w:val="left"/>
            </w:pPr>
            <w:r>
              <w:t xml:space="preserve">Lunar’s Gridshare ERCOT telemetry readiness</w:t>
            </w:r>
          </w:p>
        </w:tc>
        <w:tc>
          <w:p>
            <w:pPr>
              <w:pStyle w:val="Compact"/>
              <w:jc w:val="left"/>
            </w:pPr>
            <w:r>
              <w:rPr>
                <w:b/>
              </w:rPr>
              <w:t xml:space="preserve">LOW</w:t>
            </w:r>
          </w:p>
        </w:tc>
        <w:tc>
          <w:p>
            <w:pPr>
              <w:pStyle w:val="Compact"/>
              <w:jc w:val="left"/>
            </w:pPr>
            <w:r>
              <w:t xml:space="preserve">Assumes CAISO → ERCOT adaptation; no public disclosure of ERCOT-specific testing</w:t>
            </w:r>
          </w:p>
        </w:tc>
      </w:tr>
      <w:tr>
        <w:tc>
          <w:p>
            <w:pPr>
              <w:pStyle w:val="Compact"/>
              <w:jc w:val="left"/>
            </w:pPr>
            <w:r>
              <w:t xml:space="preserve">“</w:t>
            </w:r>
            <w:r>
              <w:t xml:space="preserve">Largest market by 2028</w:t>
            </w:r>
            <w:r>
              <w:t xml:space="preserve">”</w:t>
            </w:r>
            <w:r>
              <w:t xml:space="preserve"> </w:t>
            </w:r>
            <w:r>
              <w:t xml:space="preserve">timeline</w:t>
            </w:r>
          </w:p>
        </w:tc>
        <w:tc>
          <w:p>
            <w:pPr>
              <w:pStyle w:val="Compact"/>
              <w:jc w:val="left"/>
            </w:pPr>
            <w:r>
              <w:rPr>
                <w:b/>
              </w:rPr>
              <w:t xml:space="preserve">LOW-MEDIUM</w:t>
            </w:r>
          </w:p>
        </w:tc>
        <w:tc>
          <w:p>
            <w:pPr>
              <w:pStyle w:val="Compact"/>
              <w:jc w:val="left"/>
            </w:pPr>
            <w:r>
              <w:t xml:space="preserve">Contingent on execution speed across all five barriers simultaneously</w:t>
            </w:r>
          </w:p>
        </w:tc>
      </w:tr>
    </w:tbl>
    <w:p>
      <w:pPr>
        <w:pStyle w:val="BodyText"/>
      </w:pPr>
      <w:r>
        <w:rPr>
          <w:b/>
        </w:rPr>
        <w:t xml:space="preserve">Overall hypothesis confidence: 55–65%.</w:t>
      </w:r>
      <w:r>
        <w:t xml:space="preserve"> </w:t>
      </w:r>
      <w:r>
        <w:t xml:space="preserve">The structural logic is strong. The execution risk is high. The competitive window is closing — Base Power is installing 40 MWh/month and targeting 100 MWh/month by end of 2026. Every quarter of delay allows Base Power to further lock in the installer network, the favorable REP relationships, and the consumer mindshare around backup power in Texas.</w:t>
      </w:r>
    </w:p>
    <w:p>
      <w:r>
        <w:pict>
          <v:rect style="width:0;height:1.5pt" o:hralign="center" o:hrstd="t" o:hr="t"/>
        </w:pict>
      </w:r>
    </w:p>
    <w:p>
      <w:pPr>
        <w:pStyle w:val="Heading2"/>
      </w:pPr>
      <w:bookmarkStart w:id="48" w:name="X128925a46548cb40c270d4079f71c28da2ca87c"/>
      <w:r>
        <w:t xml:space="preserve">7. SPECIFIC RESEARCH QUESTIONS — DETAILED FINDINGS</w:t>
      </w:r>
      <w:bookmarkEnd w:id="48"/>
    </w:p>
    <w:p>
      <w:pPr>
        <w:pStyle w:val="Heading3"/>
      </w:pPr>
      <w:bookmarkStart w:id="49" w:name="X37ae4d91fc1895ec78c26bc9accd3bbda706405"/>
      <w:r>
        <w:t xml:space="preserve">Q1: ERCOT ADER Technical &amp; Regulatory Requirements</w:t>
      </w:r>
      <w:bookmarkEnd w:id="49"/>
    </w:p>
    <w:p>
      <w:pPr>
        <w:pStyle w:val="FirstParagraph"/>
      </w:pPr>
      <w:r>
        <w:rPr>
          <w:b/>
        </w:rPr>
        <w:t xml:space="preserve">Registration Process (Step-by-Step):</w:t>
      </w:r>
    </w:p>
    <w:p>
      <w:pPr>
        <w:pStyle w:val="BodyText"/>
      </w:pPr>
      <w:r>
        <w:t xml:space="preserve">In addition to registering with ERCOT, parties looking to create an ADER and participate in the Pilot Project must also register with the PUCT using the registration form provided. Following registration as an ADER, if any changes occur regarding enrolled premises, that ADER participant is required to file an update with the PUCT.</w:t>
      </w:r>
    </w:p>
    <w:p>
      <w:pPr>
        <w:pStyle w:val="BodyText"/>
      </w:pPr>
      <w:r>
        <w:t xml:space="preserve">The full registration sequence:</w:t>
      </w:r>
      <w:r>
        <w:t xml:space="preserve"> </w:t>
      </w:r>
      <w:r>
        <w:t xml:space="preserve">1.</w:t>
      </w:r>
      <w:r>
        <w:t xml:space="preserve"> </w:t>
      </w:r>
      <w:r>
        <w:rPr>
          <w:b/>
        </w:rPr>
        <w:t xml:space="preserve">Designate or become a QSE</w:t>
      </w:r>
      <w:r>
        <w:t xml:space="preserve"> </w:t>
      </w:r>
      <w:r>
        <w:t xml:space="preserve">(or partner with one):</w:t>
      </w:r>
      <w:r>
        <w:t xml:space="preserve"> </w:t>
      </w:r>
      <w:r>
        <w:t xml:space="preserve">Designate a QSE responsible for market operations and financial settlement. The QSE Acknowledgement should be submitted to ERCOT before the RE starts the registration process in RIOO. If the QSE is not registered when ERCOT receives the request, the Production Load Date may be delayed.</w:t>
      </w:r>
    </w:p>
    <w:p>
      <w:pPr>
        <w:numPr>
          <w:ilvl w:val="0"/>
          <w:numId w:val="1005"/>
        </w:numPr>
      </w:pPr>
      <w:r>
        <w:rPr>
          <w:b/>
        </w:rPr>
        <w:t xml:space="preserve">Prepare</w:t>
      </w:r>
      <w:r>
        <w:rPr>
          <w:b/>
        </w:rPr>
        <w:t xml:space="preserve"> </w:t>
      </w:r>
      <w:r>
        <w:rPr>
          <w:b/>
        </w:rPr>
        <w:t xml:space="preserve">“</w:t>
      </w:r>
      <w:r>
        <w:rPr>
          <w:b/>
        </w:rPr>
        <w:t xml:space="preserve">Details of the Aggregation</w:t>
      </w:r>
      <w:r>
        <w:rPr>
          <w:b/>
        </w:rPr>
        <w:t xml:space="preserve">”</w:t>
      </w:r>
      <w:r>
        <w:rPr>
          <w:b/>
        </w:rPr>
        <w:t xml:space="preserve"> </w:t>
      </w:r>
      <w:r>
        <w:rPr>
          <w:b/>
        </w:rPr>
        <w:t xml:space="preserve">(DOTA) form</w:t>
      </w:r>
      <w:r>
        <w:t xml:space="preserve">: Lists all premises (ESI IDs) by load zone and DSP</w:t>
      </w:r>
    </w:p>
    <w:p>
      <w:pPr>
        <w:numPr>
          <w:ilvl w:val="0"/>
          <w:numId w:val="1005"/>
        </w:numPr>
      </w:pPr>
      <w:r>
        <w:rPr>
          <w:b/>
        </w:rPr>
        <w:t xml:space="preserve">Secure DSP acknowledgment</w:t>
      </w:r>
      <w:r>
        <w:t xml:space="preserve">:</w:t>
      </w:r>
      <w:r>
        <w:t xml:space="preserve"> </w:t>
      </w:r>
      <w:r>
        <w:t xml:space="preserve">The DSP reviews the Details of the Aggregation for feasibility of participation on the distribution network. If the DSP has concerns, they will notify the QSE, and may reject premises for reasons of safety, reliability, or regulatory impediments.</w:t>
      </w:r>
    </w:p>
    <w:p>
      <w:pPr>
        <w:numPr>
          <w:ilvl w:val="0"/>
          <w:numId w:val="1005"/>
        </w:numPr>
      </w:pPr>
      <w:r>
        <w:rPr>
          <w:b/>
        </w:rPr>
        <w:t xml:space="preserve">Submit RIOO application</w:t>
      </w:r>
      <w:r>
        <w:t xml:space="preserve"> </w:t>
      </w:r>
      <w:r>
        <w:t xml:space="preserve">with all required forms</w:t>
      </w:r>
    </w:p>
    <w:p>
      <w:pPr>
        <w:numPr>
          <w:ilvl w:val="0"/>
          <w:numId w:val="1005"/>
        </w:numPr>
      </w:pPr>
      <w:r>
        <w:rPr>
          <w:b/>
        </w:rPr>
        <w:t xml:space="preserve">Set up ICCP telemetry</w:t>
      </w:r>
      <w:r>
        <w:t xml:space="preserve">:</w:t>
      </w:r>
      <w:r>
        <w:t xml:space="preserve"> </w:t>
      </w:r>
      <w:r>
        <w:t xml:space="preserve">After the RIOO submission is complete, the QSE must set up Inter-Control Center Communications Protocol (ICCP) telemetry points for each new load resource.</w:t>
      </w:r>
    </w:p>
    <w:p>
      <w:pPr>
        <w:numPr>
          <w:ilvl w:val="0"/>
          <w:numId w:val="1005"/>
        </w:numPr>
      </w:pPr>
      <w:r>
        <w:rPr>
          <w:b/>
        </w:rPr>
        <w:t xml:space="preserve">Telemetry validation</w:t>
      </w:r>
      <w:r>
        <w:t xml:space="preserve">:</w:t>
      </w:r>
      <w:r>
        <w:t xml:space="preserve"> </w:t>
      </w:r>
      <w:r>
        <w:t xml:space="preserve">Real-time telemetry must be reported at 2-second intervals. Device-level validation ensures the aggregated output matches actual device performance within ±10%.</w:t>
      </w:r>
    </w:p>
    <w:p>
      <w:pPr>
        <w:numPr>
          <w:ilvl w:val="0"/>
          <w:numId w:val="1005"/>
        </w:numPr>
      </w:pPr>
      <w:r>
        <w:rPr>
          <w:b/>
        </w:rPr>
        <w:t xml:space="preserve">Qualification testing</w:t>
      </w:r>
      <w:r>
        <w:t xml:space="preserve">:</w:t>
      </w:r>
      <w:r>
        <w:t xml:space="preserve"> </w:t>
      </w:r>
      <w:r>
        <w:t xml:space="preserve">Qualification tests confirm the aggregation can deliver the energy or reserves it promises.</w:t>
      </w:r>
    </w:p>
    <w:p>
      <w:pPr>
        <w:numPr>
          <w:ilvl w:val="0"/>
          <w:numId w:val="1005"/>
        </w:numPr>
      </w:pPr>
      <w:r>
        <w:rPr>
          <w:b/>
        </w:rPr>
        <w:t xml:space="preserve">Dual PUCT/ERCOT registration</w:t>
      </w:r>
      <w:r>
        <w:t xml:space="preserve">: File registration form with PUCT Project No. 53911</w:t>
      </w:r>
    </w:p>
    <w:p>
      <w:pPr>
        <w:pStyle w:val="FirstParagraph"/>
      </w:pPr>
      <w:r>
        <w:rPr>
          <w:b/>
        </w:rPr>
        <w:t xml:space="preserve">Minimum aggregation size:</w:t>
      </w:r>
      <w:r>
        <w:t xml:space="preserve"> </w:t>
      </w:r>
      <w:r>
        <w:t xml:space="preserve">The aggregation must have the capability to provide at least 100 kW of response (demand response capability plus injection capability), and each Premise must provide 1 MW or less of response.</w:t>
      </w:r>
    </w:p>
    <w:p>
      <w:pPr>
        <w:pStyle w:val="Heading2"/>
      </w:pPr>
      <w:bookmarkStart w:id="50" w:name="participation-models-available-phase-3"/>
      <w:r>
        <w:rPr>
          <w:b/>
        </w:rPr>
        <w:t xml:space="preserve">Participation models available (Phase 3):</w:t>
      </w:r>
      <w:bookmarkEnd w:id="50"/>
    </w:p>
    <w:p>
      <w:pPr>
        <w:pStyle w:val="FirstParagraph"/>
      </w:pPr>
      <w:r>
        <w:t xml:space="preserve">ALR model: Dispatchable, follows 5-minute basepoints like a generator or controllable load. NCLR model: Simpler, non-dispatchable, responds only when deployed for contingency reserves. This dual-path approach in Phase 3 allows both sophisticated and simpler aggregations to participate.</w:t>
      </w:r>
    </w:p>
    <w:p>
      <w:pPr>
        <w:pStyle w:val="BodyText"/>
      </w:pPr>
      <w:r>
        <w:rPr>
          <w:b/>
        </w:rPr>
        <w:t xml:space="preserve">Services eligible:</w:t>
      </w:r>
      <w:r>
        <w:t xml:space="preserve"> </w:t>
      </w:r>
      <w:r>
        <w:t xml:space="preserve">Non-Spinning Reserve (Non-Spin) and ERCOT Contingency Reserve Service (ECRS) —</w:t>
      </w:r>
      <w:r>
        <w:t xml:space="preserve"> </w:t>
      </w:r>
      <w:r>
        <w:t xml:space="preserve">ADERs can earn from energy market participation and capacity payments in Non-Spin and ECRS markets.</w:t>
      </w:r>
    </w:p>
    <w:p>
      <w:pPr>
        <w:pStyle w:val="BodyText"/>
      </w:pPr>
      <w:r>
        <w:rPr>
          <w:b/>
        </w:rPr>
        <w:t xml:space="preserve">What Tesla and Sonnen did to qualify:</w:t>
      </w:r>
      <w:r>
        <w:t xml:space="preserve"> </w:t>
      </w:r>
      <w:r>
        <w:t xml:space="preserve">- Tesla served as its own QSE (Tesla Electric is a licensed REP and QSE), enrolled its existing Powerwall customers, provided ESI IDs to ERCOT, and went through ICCP telemetry setup and qualification testing. Tesla’s internal VPP software (distinct from Gridshare) directly reported to ERCOT’s systems.</w:t>
      </w:r>
      <w:r>
        <w:t xml:space="preserve"> </w:t>
      </w:r>
      <w:r>
        <w:t xml:space="preserve">-</w:t>
      </w:r>
      <w:r>
        <w:t xml:space="preserve"> </w:t>
      </w:r>
      <w:r>
        <w:t xml:space="preserve">Sunrun enhanced benefits through its partnership with Tesla Electric. Sunrun customers who enroll are participating in ERCOT’s ADER pilot program.</w:t>
      </w:r>
      <w:r>
        <w:t xml:space="preserve"> </w:t>
      </w:r>
      <w:r>
        <w:t xml:space="preserve">In Phase 1, the ADER required all premises to share the same LSE (REP). Tesla Electric served as both REP and QSE — a fully vertically integrated structure.</w:t>
      </w:r>
      <w:r>
        <w:t xml:space="preserve"> </w:t>
      </w:r>
      <w:r>
        <w:t xml:space="preserve">- Phase 3’s NCLR model now allows greater separation:</w:t>
      </w:r>
      <w:r>
        <w:t xml:space="preserve"> </w:t>
      </w:r>
      <w:r>
        <w:t xml:space="preserve">the NCLR model will allow third-party QSEs to aggregate &gt;100 kW premises, even if the LSE is represented by a different QSE.</w:t>
      </w:r>
    </w:p>
    <w:p>
      <w:pPr>
        <w:pStyle w:val="BodyText"/>
      </w:pPr>
      <w:r>
        <w:rPr>
          <w:b/>
        </w:rPr>
        <w:t xml:space="preserve">Realistic timeline to first dispatch:</w:t>
      </w:r>
      <w:r>
        <w:t xml:space="preserve"> </w:t>
      </w:r>
      <w:r>
        <w:t xml:space="preserve">4–6 months from initiating QSE partnership discussions to first ERCOT dispatch, assuming no DSP rejections.</w:t>
      </w:r>
    </w:p>
    <w:p>
      <w:r>
        <w:pict>
          <v:rect style="width:0;height:1.5pt" o:hralign="center" o:hrstd="t" o:hr="t"/>
        </w:pict>
      </w:r>
    </w:p>
    <w:p>
      <w:pPr>
        <w:pStyle w:val="Heading3"/>
      </w:pPr>
      <w:bookmarkStart w:id="51" w:name="Xa3620d2ef0dcb4bd9d49a8ccd1b04cd8fc7a564"/>
      <w:r>
        <w:t xml:space="preserve">Q2: Texas Installer Landscape — Target Partners for Lunar</w:t>
      </w:r>
      <w:bookmarkEnd w:id="51"/>
    </w:p>
    <w:p>
      <w:pPr>
        <w:pStyle w:val="FirstParagraph"/>
      </w:pPr>
      <w:r>
        <w:t xml:space="preserve">The following companies represent Lunar’s most viable installer partnership targets — significant volume, geographic spread, and</w:t>
      </w:r>
      <w:r>
        <w:t xml:space="preserve"> </w:t>
      </w:r>
      <w:r>
        <w:rPr>
          <w:b/>
        </w:rPr>
        <w:t xml:space="preserve">no disclosed exclusive commitment to Tesla or Base Power’s hardware</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HQ</w:t>
            </w:r>
          </w:p>
        </w:tc>
        <w:tc>
          <w:tcPr>
            <w:tcBorders>
              <w:bottom w:val="single"/>
            </w:tcBorders>
            <w:vAlign w:val="bottom"/>
          </w:tcPr>
          <w:p>
            <w:pPr>
              <w:pStyle w:val="Compact"/>
              <w:jc w:val="left"/>
            </w:pPr>
            <w:r>
              <w:t xml:space="preserve">Markets</w:t>
            </w:r>
          </w:p>
        </w:tc>
        <w:tc>
          <w:tcPr>
            <w:tcBorders>
              <w:bottom w:val="single"/>
            </w:tcBorders>
            <w:vAlign w:val="bottom"/>
          </w:tcPr>
          <w:p>
            <w:pPr>
              <w:pStyle w:val="Compact"/>
              <w:jc w:val="left"/>
            </w:pPr>
            <w:r>
              <w:t xml:space="preserve">Battery Partnerships</w:t>
            </w:r>
          </w:p>
        </w:tc>
        <w:tc>
          <w:tcPr>
            <w:tcBorders>
              <w:bottom w:val="single"/>
            </w:tcBorders>
            <w:vAlign w:val="bottom"/>
          </w:tcPr>
          <w:p>
            <w:pPr>
              <w:pStyle w:val="Compact"/>
              <w:jc w:val="left"/>
            </w:pPr>
            <w:r>
              <w:t xml:space="preserve">Lunar Fit</w:t>
            </w:r>
          </w:p>
        </w:tc>
      </w:tr>
      <w:tr>
        <w:tc>
          <w:p>
            <w:pPr>
              <w:pStyle w:val="Compact"/>
              <w:jc w:val="left"/>
            </w:pPr>
            <w:r>
              <w:rPr>
                <w:b/>
              </w:rPr>
              <w:t xml:space="preserve">NATiVE Solar</w:t>
            </w:r>
          </w:p>
        </w:tc>
        <w:tc>
          <w:p>
            <w:pPr>
              <w:pStyle w:val="Compact"/>
              <w:jc w:val="left"/>
            </w:pPr>
            <w:r>
              <w:t xml:space="preserve">Austin</w:t>
            </w:r>
          </w:p>
        </w:tc>
        <w:tc>
          <w:p>
            <w:pPr>
              <w:pStyle w:val="Compact"/>
              <w:jc w:val="left"/>
            </w:pPr>
            <w:r>
              <w:t xml:space="preserve">Austin, DFW, Houston, SA</w:t>
            </w:r>
          </w:p>
        </w:tc>
        <w:tc>
          <w:p>
            <w:pPr>
              <w:pStyle w:val="Compact"/>
              <w:jc w:val="left"/>
            </w:pPr>
            <w:r>
              <w:t xml:space="preserve">Multi-brand</w:t>
            </w:r>
          </w:p>
        </w:tc>
        <w:tc>
          <w:p>
            <w:pPr>
              <w:pStyle w:val="Compact"/>
              <w:jc w:val="left"/>
            </w:pPr>
            <w:r>
              <w:t xml:space="preserve">⭐⭐⭐⭐ Strong — since 2007, multi-city</w:t>
            </w:r>
          </w:p>
        </w:tc>
      </w:tr>
      <w:tr>
        <w:tc>
          <w:p>
            <w:pPr>
              <w:pStyle w:val="Compact"/>
              <w:jc w:val="left"/>
            </w:pPr>
            <w:r>
              <w:rPr>
                <w:b/>
              </w:rPr>
              <w:t xml:space="preserve">Longhorn Solar</w:t>
            </w:r>
          </w:p>
        </w:tc>
        <w:tc>
          <w:p>
            <w:pPr>
              <w:pStyle w:val="Compact"/>
              <w:jc w:val="left"/>
            </w:pPr>
            <w:r>
              <w:t xml:space="preserve">Pflugerville (Austin)</w:t>
            </w:r>
          </w:p>
        </w:tc>
        <w:tc>
          <w:p>
            <w:pPr>
              <w:pStyle w:val="Compact"/>
              <w:jc w:val="left"/>
            </w:pPr>
            <w:r>
              <w:t xml:space="preserve">Austin, DFW, SA</w:t>
            </w:r>
          </w:p>
        </w:tc>
        <w:tc>
          <w:p>
            <w:pPr>
              <w:pStyle w:val="Compact"/>
              <w:jc w:val="left"/>
            </w:pPr>
            <w:r>
              <w:t xml:space="preserve">Multi-brand</w:t>
            </w:r>
          </w:p>
        </w:tc>
        <w:tc>
          <w:p>
            <w:pPr>
              <w:pStyle w:val="Compact"/>
              <w:jc w:val="left"/>
            </w:pPr>
            <w:r>
              <w:t xml:space="preserve">⭐⭐⭐⭐</w:t>
            </w:r>
          </w:p>
        </w:tc>
      </w:tr>
    </w:tbl>
    <w:p>
      <w:pPr>
        <w:pStyle w:val="BodyText"/>
      </w:pPr>
      <w:r>
        <w:t xml:space="preserve">Founded 2009, one of Texas’s best solar companies, primarily serving Greater Austin, DFW, and San Antonio, with over 2,000 solar panel installations</w:t>
      </w:r>
      <w:r>
        <w:t xml:space="preserve"> </w:t>
      </w:r>
      <w:r>
        <w:t xml:space="preserve">|</w:t>
      </w:r>
      <w:r>
        <w:t xml:space="preserve"> </w:t>
      </w:r>
      <w:r>
        <w:t xml:space="preserve">|</w:t>
      </w:r>
      <w:r>
        <w:t xml:space="preserve"> </w:t>
      </w:r>
      <w:r>
        <w:rPr>
          <w:b/>
        </w:rPr>
        <w:t xml:space="preserve">Solarize</w:t>
      </w:r>
      <w:r>
        <w:t xml:space="preserve"> </w:t>
      </w:r>
      <w:r>
        <w:t xml:space="preserve">| Dallas/Austin/Houston | DFW, Austin, Houston | Multi-brand | ⭐⭐⭐⭐</w:t>
      </w:r>
      <w:r>
        <w:t xml:space="preserve"> </w:t>
      </w:r>
      <w:r>
        <w:t xml:space="preserve">Texas-based solar company established 2017, with offices in Dallas, Austin, and Houston</w:t>
      </w:r>
      <w:r>
        <w:t xml:space="preserve"> </w:t>
      </w:r>
      <w:r>
        <w:t xml:space="preserve">|</w:t>
      </w:r>
      <w:r>
        <w:t xml:space="preserve"> </w:t>
      </w:r>
      <w:r>
        <w:t xml:space="preserve">|</w:t>
      </w:r>
      <w:r>
        <w:t xml:space="preserve"> </w:t>
      </w:r>
      <w:r>
        <w:rPr>
          <w:b/>
        </w:rPr>
        <w:t xml:space="preserve">Zenith Solar (Deca Solar)</w:t>
      </w:r>
      <w:r>
        <w:t xml:space="preserve"> </w:t>
      </w:r>
      <w:r>
        <w:t xml:space="preserve">| Dallas | Dallas metro | Multi-brand | ⭐⭐⭐</w:t>
      </w:r>
      <w:r>
        <w:t xml:space="preserve"> </w:t>
      </w:r>
      <w:r>
        <w:t xml:space="preserve">Dallas-based, established 2009, specializing in solar for homeowners, thousands of installations</w:t>
      </w:r>
      <w:r>
        <w:t xml:space="preserve"> </w:t>
      </w:r>
      <w:r>
        <w:t xml:space="preserve">|</w:t>
      </w:r>
      <w:r>
        <w:t xml:space="preserve"> </w:t>
      </w:r>
      <w:r>
        <w:t xml:space="preserve">|</w:t>
      </w:r>
      <w:r>
        <w:t xml:space="preserve"> </w:t>
      </w:r>
      <w:r>
        <w:rPr>
          <w:b/>
        </w:rPr>
        <w:t xml:space="preserve">Texas Solar Guys</w:t>
      </w:r>
      <w:r>
        <w:t xml:space="preserve"> </w:t>
      </w:r>
      <w:r>
        <w:t xml:space="preserve">| Austin | Austin/SA corridor | Enphase preferred | ⭐⭐⭐ — Would need Gridshare integration with Enphase as backup;</w:t>
      </w:r>
      <w:r>
        <w:t xml:space="preserve"> </w:t>
      </w:r>
      <w:r>
        <w:t xml:space="preserve">combines solar power with Enphase batteries</w:t>
      </w:r>
      <w:r>
        <w:t xml:space="preserve"> </w:t>
      </w:r>
      <w:r>
        <w:t xml:space="preserve">|</w:t>
      </w:r>
      <w:r>
        <w:t xml:space="preserve"> </w:t>
      </w:r>
      <w:r>
        <w:t xml:space="preserve">|</w:t>
      </w:r>
      <w:r>
        <w:t xml:space="preserve"> </w:t>
      </w:r>
      <w:r>
        <w:rPr>
          <w:b/>
        </w:rPr>
        <w:t xml:space="preserve">IntegrateSun</w:t>
      </w:r>
      <w:r>
        <w:t xml:space="preserve"> </w:t>
      </w:r>
      <w:r>
        <w:t xml:space="preserve">| DFW | Dallas | Multi-brand | ⭐⭐⭐ —</w:t>
      </w:r>
      <w:r>
        <w:t xml:space="preserve"> </w:t>
      </w:r>
      <w:r>
        <w:t xml:space="preserve">One of the top five solar installers in Dallas per EnergySage</w:t>
      </w:r>
      <w:r>
        <w:t xml:space="preserve"> </w:t>
      </w:r>
      <w:r>
        <w:t xml:space="preserve">|</w:t>
      </w:r>
      <w:r>
        <w:t xml:space="preserve"> </w:t>
      </w:r>
      <w:r>
        <w:t xml:space="preserve">|</w:t>
      </w:r>
      <w:r>
        <w:t xml:space="preserve"> </w:t>
      </w:r>
      <w:r>
        <w:rPr>
          <w:b/>
        </w:rPr>
        <w:t xml:space="preserve">Atma Energy</w:t>
      </w:r>
      <w:r>
        <w:t xml:space="preserve"> </w:t>
      </w:r>
      <w:r>
        <w:t xml:space="preserve">| Texas | Dallas | Multi-brand | ⭐⭐⭐ —</w:t>
      </w:r>
      <w:r>
        <w:t xml:space="preserve"> </w:t>
      </w:r>
      <w:r>
        <w:t xml:space="preserve">Texas-based energy company offering award-winning service with solar and storage</w:t>
      </w:r>
      <w:r>
        <w:t xml:space="preserve"> </w:t>
      </w:r>
      <w:r>
        <w:t xml:space="preserve">|</w:t>
      </w:r>
      <w:r>
        <w:t xml:space="preserve"> </w:t>
      </w:r>
      <w:r>
        <w:t xml:space="preserve">|</w:t>
      </w:r>
      <w:r>
        <w:t xml:space="preserve"> </w:t>
      </w:r>
      <w:r>
        <w:rPr>
          <w:b/>
        </w:rPr>
        <w:t xml:space="preserve">Good Faith Energy</w:t>
      </w:r>
      <w:r>
        <w:t xml:space="preserve"> </w:t>
      </w:r>
      <w:r>
        <w:t xml:space="preserve">| Farmers Branch | Dallas, Austin, Houston | ❌ Tesla exclusive | Not viable —</w:t>
      </w:r>
      <w:r>
        <w:t xml:space="preserve"> </w:t>
      </w:r>
      <w:r>
        <w:t xml:space="preserve">exclusive Tesla Certified Installer</w:t>
      </w:r>
      <w:r>
        <w:t xml:space="preserve"> </w:t>
      </w:r>
      <w:r>
        <w:t xml:space="preserve">|</w:t>
      </w:r>
      <w:r>
        <w:t xml:space="preserve"> </w:t>
      </w:r>
      <w:r>
        <w:t xml:space="preserve">|</w:t>
      </w:r>
      <w:r>
        <w:t xml:space="preserve"> </w:t>
      </w:r>
      <w:r>
        <w:rPr>
          <w:b/>
        </w:rPr>
        <w:t xml:space="preserve">Freedom Solar</w:t>
      </w:r>
      <w:r>
        <w:t xml:space="preserve"> </w:t>
      </w:r>
      <w:r>
        <w:t xml:space="preserve">| Austin | TX + FL | Tesla + Enphase | Low —</w:t>
      </w:r>
      <w:r>
        <w:t xml:space="preserve"> </w:t>
      </w:r>
      <w:r>
        <w:t xml:space="preserve">offers Tesla Powerwall and Enphase IQ Battery 5P</w:t>
      </w:r>
      <w:r>
        <w:t xml:space="preserve"> </w:t>
      </w:r>
      <w:r>
        <w:t xml:space="preserve">, would require new relationship |</w:t>
      </w:r>
    </w:p>
    <w:p>
      <w:pPr>
        <w:pStyle w:val="BodyText"/>
      </w:pPr>
      <w:r>
        <w:rPr>
          <w:b/>
        </w:rPr>
        <w:t xml:space="preserve">Strategic recommendation</w:t>
      </w:r>
      <w:r>
        <w:t xml:space="preserve">: Prioritize NATiVE Solar (statewide presence, multi-brand, 17+ years) and Longhorn Solar (deep roots in Austin/DFW/SA, no disclosed exclusivity) for initial Tier 1 partnerships. Offer guaranteed leads, co-marketing, and Gridshare training in exchange for featuring Lunar as preferred battery hardware.</w:t>
      </w:r>
    </w:p>
    <w:p>
      <w:r>
        <w:pict>
          <v:rect style="width:0;height:1.5pt" o:hralign="center" o:hrstd="t" o:hr="t"/>
        </w:pict>
      </w:r>
    </w:p>
    <w:p>
      <w:pPr>
        <w:pStyle w:val="Heading3"/>
      </w:pPr>
      <w:bookmarkStart w:id="52" w:name="q3-rep-landscape-vpp-program-status"/>
      <w:r>
        <w:t xml:space="preserve">Q3: REP Landscape — VPP Program Status</w:t>
      </w:r>
      <w:bookmarkEnd w:id="5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REP</w:t>
            </w:r>
          </w:p>
        </w:tc>
        <w:tc>
          <w:tcPr>
            <w:tcBorders>
              <w:bottom w:val="single"/>
            </w:tcBorders>
            <w:vAlign w:val="bottom"/>
          </w:tcPr>
          <w:p>
            <w:pPr>
              <w:pStyle w:val="Compact"/>
              <w:jc w:val="left"/>
            </w:pPr>
            <w:r>
              <w:t xml:space="preserve">VPP Status</w:t>
            </w:r>
          </w:p>
        </w:tc>
        <w:tc>
          <w:tcPr>
            <w:tcBorders>
              <w:bottom w:val="single"/>
            </w:tcBorders>
            <w:vAlign w:val="bottom"/>
          </w:tcPr>
          <w:p>
            <w:pPr>
              <w:pStyle w:val="Compact"/>
              <w:jc w:val="left"/>
            </w:pPr>
            <w:r>
              <w:t xml:space="preserve">Technology Platform</w:t>
            </w:r>
          </w:p>
        </w:tc>
        <w:tc>
          <w:tcPr>
            <w:tcBorders>
              <w:bottom w:val="single"/>
            </w:tcBorders>
            <w:vAlign w:val="bottom"/>
          </w:tcPr>
          <w:p>
            <w:pPr>
              <w:pStyle w:val="Compact"/>
              <w:jc w:val="left"/>
            </w:pPr>
            <w:r>
              <w:t xml:space="preserve">Hardware Partners</w:t>
            </w:r>
          </w:p>
        </w:tc>
        <w:tc>
          <w:tcPr>
            <w:tcBorders>
              <w:bottom w:val="single"/>
            </w:tcBorders>
            <w:vAlign w:val="bottom"/>
          </w:tcPr>
          <w:p>
            <w:pPr>
              <w:pStyle w:val="Compact"/>
              <w:jc w:val="left"/>
            </w:pPr>
            <w:r>
              <w:t xml:space="preserve">Lunar Opportunity</w:t>
            </w:r>
          </w:p>
        </w:tc>
      </w:tr>
      <w:tr>
        <w:tc>
          <w:p>
            <w:pPr>
              <w:pStyle w:val="Compact"/>
              <w:jc w:val="left"/>
            </w:pPr>
            <w:r>
              <w:rPr>
                <w:b/>
              </w:rPr>
              <w:t xml:space="preserve">NRG/Reliant</w:t>
            </w:r>
          </w:p>
        </w:tc>
        <w:tc>
          <w:p>
            <w:pPr>
              <w:pStyle w:val="Compact"/>
              <w:jc w:val="left"/>
            </w:pPr>
            <w:r>
              <w:t xml:space="preserve">🟢 Active (1 GW goal by 2035)</w:t>
            </w:r>
          </w:p>
        </w:tc>
        <w:tc>
          <w:p>
            <w:pPr>
              <w:pStyle w:val="Compact"/>
              <w:jc w:val="left"/>
            </w:pPr>
            <w:r>
              <w:t xml:space="preserve">Proprietary + partners</w:t>
            </w:r>
          </w:p>
        </w:tc>
        <w:tc>
          <w:p>
            <w:pPr>
              <w:pStyle w:val="Compact"/>
              <w:jc w:val="left"/>
            </w:pPr>
            <w:r>
              <w:t xml:space="preserve">Sunrun (hardware-agnostic via Gridshare), GoodLeap</w:t>
            </w:r>
          </w:p>
        </w:tc>
        <w:tc>
          <w:p>
            <w:pPr>
              <w:pStyle w:val="Compact"/>
              <w:jc w:val="left"/>
            </w:pPr>
            <w:r>
              <w:rPr>
                <w:b/>
              </w:rPr>
              <w:t xml:space="preserve">HIGH</w:t>
            </w:r>
            <w:r>
              <w:t xml:space="preserve"> </w:t>
            </w:r>
            <w:r>
              <w:t xml:space="preserve">— Reliant is actively diversifying hardware; Gridshare integration could add Lunar to their VPP without disrupting current partnerships</w:t>
            </w:r>
          </w:p>
        </w:tc>
      </w:tr>
      <w:tr>
        <w:tc>
          <w:p>
            <w:pPr>
              <w:pStyle w:val="Compact"/>
              <w:jc w:val="left"/>
            </w:pPr>
            <w:r>
              <w:rPr>
                <w:b/>
              </w:rPr>
              <w:t xml:space="preserve">TXU Energy (Vistra)</w:t>
            </w:r>
          </w:p>
        </w:tc>
        <w:tc>
          <w:p>
            <w:pPr>
              <w:pStyle w:val="Compact"/>
              <w:jc w:val="left"/>
            </w:pPr>
            <w:r>
              <w:t xml:space="preserve">🟢 Active</w:t>
            </w:r>
          </w:p>
        </w:tc>
        <w:tc>
          <w:p>
            <w:pPr>
              <w:pStyle w:val="Compact"/>
              <w:jc w:val="left"/>
            </w:pPr>
            <w:r>
              <w:t xml:space="preserve">Sunrun-managed</w:t>
            </w:r>
          </w:p>
        </w:tc>
        <w:tc>
          <w:p>
            <w:pPr>
              <w:pStyle w:val="Compact"/>
              <w:jc w:val="left"/>
            </w:pPr>
            <w:r>
              <w:t xml:space="preserve">Sunrun/Powerwall</w:t>
            </w:r>
          </w:p>
        </w:tc>
        <w:tc>
          <w:p>
            <w:pPr>
              <w:pStyle w:val="Compact"/>
              <w:jc w:val="left"/>
            </w:pPr>
            <w:r>
              <w:rPr>
                <w:b/>
              </w:rPr>
              <w:t xml:space="preserve">MEDIUM</w:t>
            </w:r>
            <w:r>
              <w:t xml:space="preserve"> </w:t>
            </w:r>
            <w:r>
              <w:t xml:space="preserve">— locked to Sunrun currently; could expand if Sunrun adds Lunar hardware in TX</w:t>
            </w:r>
          </w:p>
        </w:tc>
      </w:tr>
      <w:tr>
        <w:tc>
          <w:p>
            <w:pPr>
              <w:pStyle w:val="Compact"/>
              <w:jc w:val="left"/>
            </w:pPr>
            <w:r>
              <w:rPr>
                <w:b/>
              </w:rPr>
              <w:t xml:space="preserve">Octopus Energy TX</w:t>
            </w:r>
          </w:p>
        </w:tc>
        <w:tc>
          <w:p>
            <w:pPr>
              <w:pStyle w:val="Compact"/>
              <w:jc w:val="left"/>
            </w:pPr>
            <w:r>
              <w:t xml:space="preserve">🟢 Active</w:t>
            </w:r>
          </w:p>
        </w:tc>
        <w:tc>
          <w:p>
            <w:pPr>
              <w:pStyle w:val="Compact"/>
              <w:jc w:val="left"/>
            </w:pPr>
            <w:r>
              <w:t xml:space="preserve">Kraken (proprietary)</w:t>
            </w:r>
          </w:p>
        </w:tc>
        <w:tc>
          <w:p>
            <w:pPr>
              <w:pStyle w:val="Compact"/>
              <w:jc w:val="left"/>
            </w:pPr>
            <w:r>
              <w:t xml:space="preserve">Enphase, SolarEdge</w:t>
            </w:r>
          </w:p>
        </w:tc>
        <w:tc>
          <w:p>
            <w:pPr>
              <w:pStyle w:val="Compact"/>
              <w:jc w:val="left"/>
            </w:pPr>
            <w:r>
              <w:rPr>
                <w:b/>
              </w:rPr>
              <w:t xml:space="preserve">MEDIUM</w:t>
            </w:r>
            <w:r>
              <w:t xml:space="preserve"> </w:t>
            </w:r>
            <w:r>
              <w:t xml:space="preserve">— Kraken competes with Gridshare; Lunar Hardware could be pitched as compliant with Kraken’s open API</w:t>
            </w:r>
          </w:p>
        </w:tc>
      </w:tr>
      <w:tr>
        <w:tc>
          <w:p>
            <w:pPr>
              <w:pStyle w:val="Compact"/>
              <w:jc w:val="left"/>
            </w:pPr>
            <w:r>
              <w:rPr>
                <w:b/>
              </w:rPr>
              <w:t xml:space="preserve">Tesla Electric</w:t>
            </w:r>
          </w:p>
        </w:tc>
        <w:tc>
          <w:p>
            <w:pPr>
              <w:pStyle w:val="Compact"/>
              <w:jc w:val="left"/>
            </w:pPr>
            <w:r>
              <w:t xml:space="preserve">🟢 Active (ADER qualified)</w:t>
            </w:r>
          </w:p>
        </w:tc>
        <w:tc>
          <w:p>
            <w:pPr>
              <w:pStyle w:val="Compact"/>
              <w:jc w:val="left"/>
            </w:pPr>
            <w:r>
              <w:t xml:space="preserve">Tesla proprietary</w:t>
            </w:r>
          </w:p>
        </w:tc>
        <w:tc>
          <w:p>
            <w:pPr>
              <w:pStyle w:val="Compact"/>
              <w:jc w:val="left"/>
            </w:pPr>
            <w:r>
              <w:t xml:space="preserve">Powerwall only</w:t>
            </w:r>
          </w:p>
        </w:tc>
        <w:tc>
          <w:p>
            <w:pPr>
              <w:pStyle w:val="Compact"/>
              <w:jc w:val="left"/>
            </w:pPr>
            <w:r>
              <w:rPr>
                <w:b/>
              </w:rPr>
              <w:t xml:space="preserve">NONE</w:t>
            </w:r>
            <w:r>
              <w:t xml:space="preserve"> </w:t>
            </w:r>
            <w:r>
              <w:t xml:space="preserve">— vertically closed ecosystem</w:t>
            </w:r>
          </w:p>
        </w:tc>
      </w:tr>
      <w:tr>
        <w:tc>
          <w:p>
            <w:pPr>
              <w:pStyle w:val="Compact"/>
              <w:jc w:val="left"/>
            </w:pPr>
            <w:r>
              <w:rPr>
                <w:b/>
              </w:rPr>
              <w:t xml:space="preserve">Base Power</w:t>
            </w:r>
          </w:p>
        </w:tc>
        <w:tc>
          <w:p>
            <w:pPr>
              <w:pStyle w:val="Compact"/>
              <w:jc w:val="left"/>
            </w:pPr>
            <w:r>
              <w:t xml:space="preserve">🟢 Active (own REP + hardware)</w:t>
            </w:r>
          </w:p>
        </w:tc>
        <w:tc>
          <w:p>
            <w:pPr>
              <w:pStyle w:val="Compact"/>
              <w:jc w:val="left"/>
            </w:pPr>
            <w:r>
              <w:t xml:space="preserve">Proprietary</w:t>
            </w:r>
          </w:p>
        </w:tc>
        <w:tc>
          <w:p>
            <w:pPr>
              <w:pStyle w:val="Compact"/>
              <w:jc w:val="left"/>
            </w:pPr>
            <w:r>
              <w:t xml:space="preserve">Own hardware only</w:t>
            </w:r>
          </w:p>
        </w:tc>
        <w:tc>
          <w:p>
            <w:pPr>
              <w:pStyle w:val="Compact"/>
              <w:jc w:val="left"/>
            </w:pPr>
            <w:r>
              <w:rPr>
                <w:b/>
              </w:rPr>
              <w:t xml:space="preserve">NONE</w:t>
            </w:r>
            <w:r>
              <w:t xml:space="preserve"> </w:t>
            </w:r>
            <w:r>
              <w:t xml:space="preserve">— direct competitor</w:t>
            </w:r>
          </w:p>
        </w:tc>
      </w:tr>
      <w:tr>
        <w:tc>
          <w:p>
            <w:pPr>
              <w:pStyle w:val="Compact"/>
              <w:jc w:val="left"/>
            </w:pPr>
            <w:r>
              <w:rPr>
                <w:b/>
              </w:rPr>
              <w:t xml:space="preserve">Sonnen/Abundance</w:t>
            </w:r>
          </w:p>
        </w:tc>
        <w:tc>
          <w:p>
            <w:pPr>
              <w:pStyle w:val="Compact"/>
              <w:jc w:val="left"/>
            </w:pPr>
            <w:r>
              <w:t xml:space="preserve">🟢 Active</w:t>
            </w:r>
          </w:p>
        </w:tc>
        <w:tc>
          <w:p>
            <w:pPr>
              <w:pStyle w:val="Compact"/>
              <w:jc w:val="left"/>
            </w:pPr>
            <w:r>
              <w:t xml:space="preserve">EnergyWell/sonnenConnect</w:t>
            </w:r>
          </w:p>
        </w:tc>
        <w:tc>
          <w:p>
            <w:pPr>
              <w:pStyle w:val="Compact"/>
              <w:jc w:val="left"/>
            </w:pPr>
            <w:r>
              <w:t xml:space="preserve">Sonnen only</w:t>
            </w:r>
          </w:p>
        </w:tc>
        <w:tc>
          <w:p>
            <w:pPr>
              <w:pStyle w:val="Compact"/>
              <w:jc w:val="left"/>
            </w:pPr>
            <w:r>
              <w:rPr>
                <w:b/>
              </w:rPr>
              <w:t xml:space="preserve">NONE</w:t>
            </w:r>
            <w:r>
              <w:t xml:space="preserve"> </w:t>
            </w:r>
            <w:r>
              <w:t xml:space="preserve">— closed ecosystem</w:t>
            </w:r>
          </w:p>
        </w:tc>
      </w:tr>
      <w:tr>
        <w:tc>
          <w:p>
            <w:pPr>
              <w:pStyle w:val="Compact"/>
              <w:jc w:val="left"/>
            </w:pPr>
            <w:r>
              <w:rPr>
                <w:b/>
              </w:rPr>
              <w:t xml:space="preserve">Shell Energy / Viridian</w:t>
            </w:r>
          </w:p>
        </w:tc>
        <w:tc>
          <w:p>
            <w:pPr>
              <w:pStyle w:val="Compact"/>
              <w:jc w:val="left"/>
            </w:pPr>
            <w:r>
              <w:t xml:space="preserve">🟡 In development</w:t>
            </w:r>
          </w:p>
        </w:tc>
        <w:tc>
          <w:p>
            <w:pPr>
              <w:pStyle w:val="Compact"/>
              <w:jc w:val="left"/>
            </w:pPr>
            <w:r>
              <w:t xml:space="preserve">Unknown</w:t>
            </w:r>
          </w:p>
        </w:tc>
        <w:tc>
          <w:p>
            <w:pPr>
              <w:pStyle w:val="Compact"/>
              <w:jc w:val="left"/>
            </w:pPr>
            <w:r>
              <w:t xml:space="preserve">Unknown</w:t>
            </w:r>
          </w:p>
        </w:tc>
        <w:tc>
          <w:p>
            <w:pPr>
              <w:pStyle w:val="Compact"/>
              <w:jc w:val="left"/>
            </w:pPr>
            <w:r>
              <w:rPr>
                <w:b/>
              </w:rPr>
              <w:t xml:space="preserve">POSSIBLE</w:t>
            </w:r>
            <w:r>
              <w:t xml:space="preserve"> </w:t>
            </w:r>
            <w:r>
              <w:t xml:space="preserve">— underexplored</w:t>
            </w:r>
          </w:p>
        </w:tc>
      </w:tr>
      <w:tr>
        <w:tc>
          <w:p>
            <w:pPr>
              <w:pStyle w:val="Compact"/>
              <w:jc w:val="left"/>
            </w:pPr>
            <w:r>
              <w:rPr>
                <w:b/>
              </w:rPr>
              <w:t xml:space="preserve">Green Mountain Energy</w:t>
            </w:r>
          </w:p>
        </w:tc>
        <w:tc>
          <w:p>
            <w:pPr>
              <w:pStyle w:val="Compact"/>
              <w:jc w:val="left"/>
            </w:pPr>
            <w:r>
              <w:t xml:space="preserve">🟡 Limited</w:t>
            </w:r>
          </w:p>
        </w:tc>
        <w:tc>
          <w:p>
            <w:pPr>
              <w:pStyle w:val="Compact"/>
              <w:jc w:val="left"/>
            </w:pPr>
            <w:r>
              <w:t xml:space="preserve">Unknown</w:t>
            </w:r>
          </w:p>
        </w:tc>
        <w:tc>
          <w:p>
            <w:pPr>
              <w:pStyle w:val="Compact"/>
              <w:jc w:val="left"/>
            </w:pPr>
            <w:r>
              <w:t xml:space="preserve">Unknown</w:t>
            </w:r>
          </w:p>
        </w:tc>
        <w:tc>
          <w:p>
            <w:pPr>
              <w:pStyle w:val="Compact"/>
              <w:jc w:val="left"/>
            </w:pPr>
            <w:r>
              <w:rPr>
                <w:b/>
              </w:rPr>
              <w:t xml:space="preserve">POSSIBLE</w:t>
            </w:r>
            <w:r>
              <w:t xml:space="preserve"> </w:t>
            </w:r>
            <w:r>
              <w:t xml:space="preserve">— renewable-focused, no disclosed VPP program</w:t>
            </w:r>
          </w:p>
        </w:tc>
      </w:tr>
    </w:tbl>
    <w:p>
      <w:pPr>
        <w:pStyle w:val="BodyText"/>
      </w:pPr>
      <w:r>
        <w:rPr>
          <w:b/>
        </w:rPr>
        <w:t xml:space="preserve">Best immediate REP target</w:t>
      </w:r>
      <w:r>
        <w:t xml:space="preserve">:</w:t>
      </w:r>
      <w:r>
        <w:t xml:space="preserve"> </w:t>
      </w:r>
      <w:r>
        <w:rPr>
          <w:b/>
        </w:rPr>
        <w:t xml:space="preserve">NRG/Reliant.</w:t>
      </w:r>
      <w:r>
        <w:t xml:space="preserve"> </w:t>
      </w:r>
      <w:r>
        <w:t xml:space="preserve">NRG, through its Reliant brand, is developing a 1-gigawatt residential VPP in collaboration with technology providers. These established retail electricity providers leverage existing customer relationships and regulatory expertise in Texas. However, they are still in the process of building distributed battery capabilities and do not yet offer turnkey solutions comparable to Base Power.</w:t>
      </w:r>
      <w:r>
        <w:t xml:space="preserve"> </w:t>
      </w:r>
      <w:r>
        <w:t xml:space="preserve">This gap — hardware diversity without a committed single-hardware strategy — is Lunar’s entry point.</w:t>
      </w:r>
    </w:p>
    <w:p>
      <w:r>
        <w:pict>
          <v:rect style="width:0;height:1.5pt" o:hralign="center" o:hrstd="t" o:hr="t"/>
        </w:pict>
      </w:r>
    </w:p>
    <w:p>
      <w:pPr>
        <w:pStyle w:val="Heading3"/>
      </w:pPr>
      <w:bookmarkStart w:id="53" w:name="q4-base-power-competitive-analysis"/>
      <w:r>
        <w:t xml:space="preserve">Q4: Base Power Competitive Analysis</w:t>
      </w:r>
      <w:bookmarkEnd w:id="53"/>
    </w:p>
    <w:p>
      <w:pPr>
        <w:pStyle w:val="Heading2"/>
      </w:pPr>
      <w:bookmarkStart w:id="54" w:name="product-specifications"/>
      <w:r>
        <w:rPr>
          <w:b/>
        </w:rPr>
        <w:t xml:space="preserve">Product Specifications:</w:t>
      </w:r>
      <w:bookmarkEnd w:id="54"/>
    </w:p>
    <w:p>
      <w:pPr>
        <w:pStyle w:val="FirstParagraph"/>
      </w:pPr>
      <w:r>
        <w:t xml:space="preserve">Installs a large battery (from 25 kWh to 50 kWh) at the home for a low upfront cost; customers get power at competitive rates because the batteries help balance the grid</w:t>
      </w:r>
    </w:p>
    <w:p>
      <w:pPr>
        <w:numPr>
          <w:ilvl w:val="0"/>
          <w:numId w:val="1006"/>
        </w:numPr>
      </w:pPr>
      <w:r>
        <w:t xml:space="preserve">Each installation incorporates an integrated inverter and hub capable of disconnecting the home from the grid in under half a second during power outages</w:t>
      </w:r>
    </w:p>
    <w:p>
      <w:pPr>
        <w:numPr>
          <w:ilvl w:val="0"/>
          <w:numId w:val="1006"/>
        </w:numPr>
      </w:pPr>
      <w:r>
        <w:t xml:space="preserve">A single battery lasts up to 24 hours at reduced power consumption; two batteries can last up to 48 hours</w:t>
      </w:r>
    </w:p>
    <w:p>
      <w:pPr>
        <w:numPr>
          <w:ilvl w:val="0"/>
          <w:numId w:val="1006"/>
        </w:numPr>
      </w:pPr>
      <w:r>
        <w:t xml:space="preserve">As of October 2025, uses lithium iron phosphate (LFP) cells, which are more environmentally friendly and abundant compared to nickel-manganese-cobalt (NMC) cells</w:t>
      </w:r>
    </w:p>
    <w:p>
      <w:pPr>
        <w:pStyle w:val="Heading2"/>
      </w:pPr>
      <w:bookmarkStart w:id="55" w:name="business-model"/>
      <w:r>
        <w:rPr>
          <w:b/>
        </w:rPr>
        <w:t xml:space="preserve">Business Model:</w:t>
      </w:r>
      <w:bookmarkEnd w:id="55"/>
    </w:p>
    <w:p>
      <w:pPr>
        <w:pStyle w:val="FirstParagraph"/>
      </w:pPr>
      <w:r>
        <w:t xml:space="preserve">Customers pay a monthly fee of $19 or $29 depending on battery size, and commit to buying electricity from Base Power for three years at 8.5 cents per kWh plus delivery fees</w:t>
      </w:r>
    </w:p>
    <w:p>
      <w:pPr>
        <w:numPr>
          <w:ilvl w:val="0"/>
          <w:numId w:val="1007"/>
        </w:numPr>
      </w:pPr>
      <w:r>
        <w:t xml:space="preserve">Since revenue comes from the grid, not customers, Base avoids hidden fees and surprise rate hikes. The agreement legally guarantees rates stay below the market average</w:t>
      </w:r>
    </w:p>
    <w:p>
      <w:pPr>
        <w:numPr>
          <w:ilvl w:val="0"/>
          <w:numId w:val="1007"/>
        </w:numPr>
      </w:pPr>
      <w:r>
        <w:t xml:space="preserve">Instead of selling batteries outright, Base Power retains ownership of the hardware and assumes all maintenance responsibilities, enabling the company to capture ongoing value from grid services while providing customers with backup power at significantly lower upfront costs</w:t>
      </w:r>
    </w:p>
    <w:p>
      <w:pPr>
        <w:pStyle w:val="Heading2"/>
      </w:pPr>
      <w:bookmarkStart w:id="56" w:name="go-to-market"/>
      <w:r>
        <w:rPr>
          <w:b/>
        </w:rPr>
        <w:t xml:space="preserve">Go-to-Market:</w:t>
      </w:r>
      <w:bookmarkEnd w:id="56"/>
    </w:p>
    <w:p>
      <w:pPr>
        <w:pStyle w:val="FirstParagraph"/>
      </w:pPr>
      <w:r>
        <w:t xml:space="preserve">With the capital in place, the company plans to expand beyond its current Texas markets, including DFW, Houston, and Austin</w:t>
      </w:r>
    </w:p>
    <w:p>
      <w:pPr>
        <w:numPr>
          <w:ilvl w:val="0"/>
          <w:numId w:val="1008"/>
        </w:numPr>
      </w:pPr>
      <w:r>
        <w:t xml:space="preserve">Base manages battery installations itself through a process it calls the</w:t>
      </w:r>
      <w:r>
        <w:t xml:space="preserve"> </w:t>
      </w:r>
      <w:r>
        <w:t xml:space="preserve">“</w:t>
      </w:r>
      <w:r>
        <w:t xml:space="preserve">Deployment Factory.</w:t>
      </w:r>
      <w:r>
        <w:t xml:space="preserve">”</w:t>
      </w:r>
      <w:r>
        <w:t xml:space="preserve"> </w:t>
      </w:r>
      <w:r>
        <w:t xml:space="preserve">It views installation as tightly coupled with pack assembly.</w:t>
      </w:r>
    </w:p>
    <w:p>
      <w:pPr>
        <w:numPr>
          <w:ilvl w:val="0"/>
          <w:numId w:val="1008"/>
        </w:numPr>
      </w:pPr>
      <w:r>
        <w:t xml:space="preserve">Base manages all permitting creation, submission, and inspection with local cities and utilities</w:t>
      </w:r>
    </w:p>
    <w:p>
      <w:pPr>
        <w:pStyle w:val="Heading2"/>
      </w:pPr>
      <w:bookmarkStart w:id="57" w:name="manufacturing-vulnerability"/>
      <w:r>
        <w:rPr>
          <w:b/>
        </w:rPr>
        <w:t xml:space="preserve">Manufacturing vulnerability:</w:t>
      </w:r>
      <w:bookmarkEnd w:id="57"/>
    </w:p>
    <w:p>
      <w:pPr>
        <w:pStyle w:val="FirstParagraph"/>
      </w:pPr>
      <w:r>
        <w:t xml:space="preserve">Base Power will use some of its new funds to accelerate development of its own battery factory in Texas. The company is searching for a site, with a focus on the Austin area, and could break ground by the end of the year.</w:t>
      </w:r>
      <w:r>
        <w:t xml:space="preserve"> </w:t>
      </w:r>
      <w:r>
        <w:t xml:space="preserve">Until that factory is operational (2027–2028 at earliest), Base Power’s supply chain remains partially Chinese — a tariff vulnerability.</w:t>
      </w:r>
    </w:p>
    <w:p>
      <w:pPr>
        <w:pStyle w:val="BodyText"/>
      </w:pPr>
      <w:r>
        <w:rPr>
          <w:b/>
        </w:rPr>
        <w:t xml:space="preserve">Lunar vs. Base Power — Head-to-Head: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Lunar Energy</w:t>
            </w:r>
          </w:p>
        </w:tc>
        <w:tc>
          <w:tcPr>
            <w:tcBorders>
              <w:bottom w:val="single"/>
            </w:tcBorders>
            <w:vAlign w:val="bottom"/>
          </w:tcPr>
          <w:p>
            <w:pPr>
              <w:pStyle w:val="Compact"/>
              <w:jc w:val="left"/>
            </w:pPr>
            <w:r>
              <w:t xml:space="preserve">Base Power</w:t>
            </w:r>
          </w:p>
        </w:tc>
      </w:tr>
      <w:tr>
        <w:tc>
          <w:p>
            <w:pPr>
              <w:pStyle w:val="Compact"/>
              <w:jc w:val="left"/>
            </w:pPr>
            <w:r>
              <w:t xml:space="preserve">Battery size</w:t>
            </w:r>
          </w:p>
        </w:tc>
        <w:tc>
          <w:p>
            <w:pPr>
              <w:pStyle w:val="Compact"/>
              <w:jc w:val="left"/>
            </w:pPr>
            <w:r>
              <w:t xml:space="preserve">15–30 kWh (modular)</w:t>
            </w:r>
          </w:p>
        </w:tc>
        <w:tc>
          <w:p>
            <w:pPr>
              <w:pStyle w:val="Compact"/>
              <w:jc w:val="left"/>
            </w:pPr>
            <w:r>
              <w:t xml:space="preserve">25–50 kWh</w:t>
            </w:r>
          </w:p>
        </w:tc>
      </w:tr>
      <w:tr>
        <w:tc>
          <w:p>
            <w:pPr>
              <w:pStyle w:val="Compact"/>
              <w:jc w:val="left"/>
            </w:pPr>
            <w:r>
              <w:t xml:space="preserve">Consumer upfront cost</w:t>
            </w:r>
          </w:p>
        </w:tc>
        <w:tc>
          <w:p>
            <w:pPr>
              <w:pStyle w:val="Compact"/>
              <w:jc w:val="left"/>
            </w:pPr>
            <w:r>
              <w:t xml:space="preserve">$20K–$30K (CA, incl. install)</w:t>
            </w:r>
          </w:p>
        </w:tc>
        <w:tc>
          <w:p>
            <w:pPr>
              <w:pStyle w:val="Compact"/>
              <w:jc w:val="left"/>
            </w:pPr>
            <w:r>
              <w:t xml:space="preserve">$695–$995</w:t>
            </w:r>
          </w:p>
        </w:tc>
      </w:tr>
      <w:tr>
        <w:tc>
          <w:p>
            <w:pPr>
              <w:pStyle w:val="Compact"/>
              <w:jc w:val="left"/>
            </w:pPr>
            <w:r>
              <w:t xml:space="preserve">Business model</w:t>
            </w:r>
          </w:p>
        </w:tc>
        <w:tc>
          <w:p>
            <w:pPr>
              <w:pStyle w:val="Compact"/>
              <w:jc w:val="left"/>
            </w:pPr>
            <w:r>
              <w:t xml:space="preserve">Sell hardware + VPP revenue share</w:t>
            </w:r>
          </w:p>
        </w:tc>
        <w:tc>
          <w:p>
            <w:pPr>
              <w:pStyle w:val="Compact"/>
              <w:jc w:val="left"/>
            </w:pPr>
            <w:r>
              <w:t xml:space="preserve">Own hardware, sell electricity</w:t>
            </w:r>
          </w:p>
        </w:tc>
      </w:tr>
      <w:tr>
        <w:tc>
          <w:p>
            <w:pPr>
              <w:pStyle w:val="Compact"/>
              <w:jc w:val="left"/>
            </w:pPr>
            <w:r>
              <w:t xml:space="preserve">Domestic content</w:t>
            </w:r>
          </w:p>
        </w:tc>
        <w:tc>
          <w:p>
            <w:pPr>
              <w:pStyle w:val="Compact"/>
              <w:jc w:val="left"/>
            </w:pPr>
            <w:r>
              <w:t xml:space="preserve">✅ Yes — all US manufacturing contracts</w:t>
            </w:r>
          </w:p>
        </w:tc>
        <w:tc>
          <w:p>
            <w:pPr>
              <w:pStyle w:val="Compact"/>
              <w:jc w:val="left"/>
            </w:pPr>
            <w:r>
              <w:t xml:space="preserve">❌ Partially China-sourced (tariff risk)</w:t>
            </w:r>
          </w:p>
        </w:tc>
      </w:tr>
      <w:tr>
        <w:tc>
          <w:p>
            <w:pPr>
              <w:pStyle w:val="Compact"/>
              <w:jc w:val="left"/>
            </w:pPr>
            <w:r>
              <w:t xml:space="preserve">ERCOT ADER qualified</w:t>
            </w:r>
          </w:p>
        </w:tc>
        <w:tc>
          <w:p>
            <w:pPr>
              <w:pStyle w:val="Compact"/>
              <w:jc w:val="left"/>
            </w:pPr>
            <w:r>
              <w:t xml:space="preserve">❌ Not yet</w:t>
            </w:r>
          </w:p>
        </w:tc>
        <w:tc>
          <w:p>
            <w:pPr>
              <w:pStyle w:val="Compact"/>
              <w:jc w:val="left"/>
            </w:pPr>
            <w:r>
              <w:t xml:space="preserve">✅ Yes</w:t>
            </w:r>
          </w:p>
        </w:tc>
      </w:tr>
      <w:tr>
        <w:tc>
          <w:p>
            <w:pPr>
              <w:pStyle w:val="Compact"/>
              <w:jc w:val="left"/>
            </w:pPr>
            <w:r>
              <w:t xml:space="preserve">Texas REP license</w:t>
            </w:r>
          </w:p>
        </w:tc>
        <w:tc>
          <w:p>
            <w:pPr>
              <w:pStyle w:val="Compact"/>
              <w:jc w:val="left"/>
            </w:pPr>
            <w:r>
              <w:t xml:space="preserve">❌ No</w:t>
            </w:r>
          </w:p>
        </w:tc>
        <w:tc>
          <w:p>
            <w:pPr>
              <w:pStyle w:val="Compact"/>
              <w:jc w:val="left"/>
            </w:pPr>
            <w:r>
              <w:t xml:space="preserve">✅ Yes (they are the REP)</w:t>
            </w:r>
          </w:p>
        </w:tc>
      </w:tr>
      <w:tr>
        <w:tc>
          <w:p>
            <w:pPr>
              <w:pStyle w:val="Compact"/>
              <w:jc w:val="left"/>
            </w:pPr>
            <w:r>
              <w:t xml:space="preserve">Solar required</w:t>
            </w:r>
          </w:p>
        </w:tc>
        <w:tc>
          <w:p>
            <w:pPr>
              <w:pStyle w:val="Compact"/>
              <w:jc w:val="left"/>
            </w:pPr>
            <w:r>
              <w:t xml:space="preserve">Yes (solar-plus-storage system)</w:t>
            </w:r>
          </w:p>
        </w:tc>
        <w:tc>
          <w:p>
            <w:pPr>
              <w:pStyle w:val="Compact"/>
              <w:jc w:val="left"/>
            </w:pPr>
            <w:r>
              <w:t xml:space="preserve">No (battery-only option)</w:t>
            </w:r>
          </w:p>
        </w:tc>
      </w:tr>
      <w:tr>
        <w:tc>
          <w:p>
            <w:pPr>
              <w:pStyle w:val="Compact"/>
              <w:jc w:val="left"/>
            </w:pPr>
            <w:r>
              <w:t xml:space="preserve">Installer model</w:t>
            </w:r>
          </w:p>
        </w:tc>
        <w:tc>
          <w:p>
            <w:pPr>
              <w:pStyle w:val="Compact"/>
              <w:jc w:val="left"/>
            </w:pPr>
            <w:r>
              <w:t xml:space="preserve">Third-party install network</w:t>
            </w:r>
          </w:p>
        </w:tc>
        <w:tc>
          <w:p>
            <w:pPr>
              <w:pStyle w:val="Compact"/>
              <w:jc w:val="left"/>
            </w:pPr>
            <w:r>
              <w:t xml:space="preserve">In-house deployment factory</w:t>
            </w:r>
          </w:p>
        </w:tc>
      </w:tr>
      <w:tr>
        <w:tc>
          <w:p>
            <w:pPr>
              <w:pStyle w:val="Compact"/>
              <w:jc w:val="left"/>
            </w:pPr>
            <w:r>
              <w:t xml:space="preserve">VPP software</w:t>
            </w:r>
          </w:p>
        </w:tc>
        <w:tc>
          <w:p>
            <w:pPr>
              <w:pStyle w:val="Compact"/>
              <w:jc w:val="left"/>
            </w:pPr>
            <w:r>
              <w:t xml:space="preserve">Gridshare (manages 130K+ devices)</w:t>
            </w:r>
          </w:p>
        </w:tc>
        <w:tc>
          <w:p>
            <w:pPr>
              <w:pStyle w:val="Compact"/>
              <w:jc w:val="left"/>
            </w:pPr>
            <w:r>
              <w:t xml:space="preserve">Proprietary</w:t>
            </w:r>
          </w:p>
        </w:tc>
      </w:tr>
      <w:tr>
        <w:tc>
          <w:p>
            <w:pPr>
              <w:pStyle w:val="Compact"/>
              <w:jc w:val="left"/>
            </w:pPr>
            <w:r>
              <w:t xml:space="preserve">Revenue model</w:t>
            </w:r>
          </w:p>
        </w:tc>
        <w:tc>
          <w:p>
            <w:pPr>
              <w:pStyle w:val="Compact"/>
              <w:jc w:val="left"/>
            </w:pPr>
            <w:r>
              <w:t xml:space="preserve">Hardware margins + Gridshare SaaS</w:t>
            </w:r>
          </w:p>
        </w:tc>
        <w:tc>
          <w:p>
            <w:pPr>
              <w:pStyle w:val="Compact"/>
              <w:jc w:val="left"/>
            </w:pPr>
            <w:r>
              <w:t xml:space="preserve">Grid arbitrage + retail electricity spread</w:t>
            </w:r>
          </w:p>
        </w:tc>
      </w:tr>
    </w:tbl>
    <w:p>
      <w:r>
        <w:pict>
          <v:rect style="width:0;height:1.5pt" o:hralign="center" o:hrstd="t" o:hr="t"/>
        </w:pict>
      </w:r>
    </w:p>
    <w:p>
      <w:pPr>
        <w:pStyle w:val="Heading3"/>
      </w:pPr>
      <w:bookmarkStart w:id="58" w:name="q5-landed-cost-in-texas-vs.-competitors"/>
      <w:r>
        <w:t xml:space="preserve">Q5: Landed Cost in Texas vs. Competitors</w:t>
      </w:r>
      <w:bookmarkEnd w:id="58"/>
    </w:p>
    <w:p>
      <w:pPr>
        <w:pStyle w:val="FirstParagraph"/>
      </w:pPr>
      <w:r>
        <w:t xml:space="preserve">Lunar assembles systems in Suwanee, Georgia — approximately 800–900 miles from Houston and 1,000–1,100 miles from DFW or Austin. This is meaningfully closer than a California-based competitor (2,000+ miles) and represents a real logistics cost advantage.</w:t>
      </w:r>
    </w:p>
    <w:p>
      <w:pPr>
        <w:pStyle w:val="BodyText"/>
      </w:pPr>
      <w:r>
        <w:rPr>
          <w:b/>
        </w:rPr>
        <w:t xml:space="preserve">Estimated Texas landed cost analysis: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Cost Component</w:t>
            </w:r>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Notes</w:t>
            </w:r>
          </w:p>
        </w:tc>
      </w:tr>
      <w:tr>
        <w:tc>
          <w:p>
            <w:pPr>
              <w:pStyle w:val="Compact"/>
              <w:jc w:val="left"/>
            </w:pPr>
            <w:r>
              <w:t xml:space="preserve">Suwanee → Houston freight (per unit)</w:t>
            </w:r>
          </w:p>
        </w:tc>
        <w:tc>
          <w:p>
            <w:pPr>
              <w:pStyle w:val="Compact"/>
              <w:jc w:val="left"/>
            </w:pPr>
            <w:r>
              <w:t xml:space="preserve">$150–$300</w:t>
            </w:r>
          </w:p>
        </w:tc>
        <w:tc>
          <w:p>
            <w:pPr>
              <w:pStyle w:val="Compact"/>
              <w:jc w:val="left"/>
            </w:pPr>
            <w:r>
              <w:t xml:space="preserve">Less-than-truckload; full truckload would be ~$80–$120/unit</w:t>
            </w:r>
          </w:p>
        </w:tc>
      </w:tr>
      <w:tr>
        <w:tc>
          <w:p>
            <w:pPr>
              <w:pStyle w:val="Compact"/>
              <w:jc w:val="left"/>
            </w:pPr>
            <w:r>
              <w:t xml:space="preserve">Permitting (varies by city)</w:t>
            </w:r>
          </w:p>
        </w:tc>
        <w:tc>
          <w:p>
            <w:pPr>
              <w:pStyle w:val="Compact"/>
              <w:jc w:val="left"/>
            </w:pPr>
            <w:r>
              <w:t xml:space="preserve">$200–$800</w:t>
            </w:r>
          </w:p>
        </w:tc>
        <w:tc>
          <w:p>
            <w:pPr>
              <w:pStyle w:val="Compact"/>
              <w:jc w:val="left"/>
            </w:pPr>
            <w:r>
              <w:t xml:space="preserve">Houston and DFW generally $200–$400; Austin $400–$800</w:t>
            </w:r>
          </w:p>
        </w:tc>
      </w:tr>
      <w:tr>
        <w:tc>
          <w:p>
            <w:pPr>
              <w:pStyle w:val="Compact"/>
              <w:jc w:val="left"/>
            </w:pPr>
            <w:r>
              <w:t xml:space="preserve">Inspection fees</w:t>
            </w:r>
          </w:p>
        </w:tc>
        <w:tc>
          <w:p>
            <w:pPr>
              <w:pStyle w:val="Compact"/>
              <w:jc w:val="left"/>
            </w:pPr>
            <w:r>
              <w:t xml:space="preserve">$100–$300</w:t>
            </w:r>
          </w:p>
        </w:tc>
        <w:tc>
          <w:p>
            <w:pPr>
              <w:pStyle w:val="Compact"/>
              <w:jc w:val="left"/>
            </w:pPr>
            <w:r>
              <w:t xml:space="preserve">Texas has no statewide residential solar inspection mandate; city/county varies</w:t>
            </w:r>
          </w:p>
        </w:tc>
      </w:tr>
      <w:tr>
        <w:tc>
          <w:p>
            <w:pPr>
              <w:pStyle w:val="Compact"/>
              <w:jc w:val="left"/>
            </w:pPr>
            <w:r>
              <w:t xml:space="preserve">Interconnection (TDSP application)</w:t>
            </w:r>
          </w:p>
        </w:tc>
        <w:tc>
          <w:p>
            <w:pPr>
              <w:pStyle w:val="Compact"/>
              <w:jc w:val="left"/>
            </w:pPr>
            <w:r>
              <w:t xml:space="preserve">$50–$200</w:t>
            </w:r>
          </w:p>
        </w:tc>
        <w:tc>
          <w:p>
            <w:pPr>
              <w:pStyle w:val="Compact"/>
              <w:jc w:val="left"/>
            </w:pPr>
            <w:r>
              <w:t xml:space="preserve">CenterPoint, Oncor, AEP processes; relatively streamlined vs. California</w:t>
            </w:r>
          </w:p>
        </w:tc>
      </w:tr>
      <w:tr>
        <w:tc>
          <w:p>
            <w:pPr>
              <w:pStyle w:val="Compact"/>
              <w:jc w:val="left"/>
            </w:pPr>
            <w:r>
              <w:t xml:space="preserve">Installer labor (Texas market rate)</w:t>
            </w:r>
          </w:p>
        </w:tc>
        <w:tc>
          <w:p>
            <w:pPr>
              <w:pStyle w:val="Compact"/>
              <w:jc w:val="left"/>
            </w:pPr>
            <w:r>
              <w:t xml:space="preserve">$2,000–$4,000</w:t>
            </w:r>
          </w:p>
        </w:tc>
        <w:tc>
          <w:p>
            <w:pPr>
              <w:pStyle w:val="Compact"/>
              <w:jc w:val="left"/>
            </w:pPr>
            <w:r>
              <w:t xml:space="preserve">Lower than CA ($3,500–$6,000) due to labor costs</w:t>
            </w:r>
          </w:p>
        </w:tc>
      </w:tr>
      <w:tr>
        <w:tc>
          <w:p>
            <w:pPr>
              <w:pStyle w:val="Compact"/>
              <w:jc w:val="left"/>
            </w:pPr>
            <w:r>
              <w:rPr>
                <w:b/>
              </w:rPr>
              <w:t xml:space="preserve">Total installed premium vs. California</w:t>
            </w:r>
          </w:p>
        </w:tc>
        <w:tc>
          <w:p>
            <w:pPr>
              <w:pStyle w:val="Compact"/>
              <w:jc w:val="left"/>
            </w:pPr>
            <w:r>
              <w:rPr>
                <w:b/>
              </w:rPr>
              <w:t xml:space="preserve">-$2,000 to -$4,000</w:t>
            </w:r>
          </w:p>
        </w:tc>
        <w:tc>
          <w:p>
            <w:pPr>
              <w:pStyle w:val="Compact"/>
              <w:jc w:val="left"/>
            </w:pPr>
            <w:r>
              <w:t xml:space="preserve">Texas has lower labor, permitting, and interconnection costs</w:t>
            </w:r>
          </w:p>
        </w:tc>
      </w:tr>
    </w:tbl>
    <w:p>
      <w:pPr>
        <w:pStyle w:val="BodyText"/>
      </w:pPr>
      <w:r>
        <w:t xml:space="preserve">Lunar Energy’s systems are priced at about a 10% premium to Tesla’s Powerwall batteries</w:t>
      </w:r>
      <w:r>
        <w:t xml:space="preserve"> </w:t>
      </w:r>
      <w:r>
        <w:t xml:space="preserve">, so if Powerwall installs in Texas run $12,000–$16,000 (lower labor/permitting than CA), Lunar’s Texas installed cost would be approximately</w:t>
      </w:r>
      <w:r>
        <w:t xml:space="preserve"> </w:t>
      </w:r>
      <w:r>
        <w:rPr>
          <w:b/>
        </w:rPr>
        <w:t xml:space="preserve">$13,200–$17,600</w:t>
      </w:r>
      <w:r>
        <w:t xml:space="preserve"> </w:t>
      </w:r>
      <w:r>
        <w:t xml:space="preserve">— before any ITC or domestic content bonuses. With the 30% ITC + 10% domestic content bonus = 40% credit, net consumer cost on a lease/PPA basis becomes dramatically more competitive.</w:t>
      </w:r>
    </w:p>
    <w:p>
      <w:r>
        <w:pict>
          <v:rect style="width:0;height:1.5pt" o:hralign="center" o:hrstd="t" o:hr="t"/>
        </w:pict>
      </w:r>
    </w:p>
    <w:p>
      <w:pPr>
        <w:pStyle w:val="Heading2"/>
      </w:pPr>
      <w:bookmarkStart w:id="59" w:name="confidence-assessment-summary"/>
      <w:r>
        <w:t xml:space="preserve">8. CONFIDENCE ASSESSMENT SUMMARY</w:t>
      </w:r>
      <w:bookmarkEnd w:id="5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Rationale</w:t>
            </w:r>
          </w:p>
        </w:tc>
      </w:tr>
      <w:tr>
        <w:tc>
          <w:p>
            <w:pPr>
              <w:pStyle w:val="Compact"/>
              <w:jc w:val="left"/>
            </w:pPr>
            <w:r>
              <w:t xml:space="preserve">Market attractiveness (Texas/ERCOT)</w:t>
            </w:r>
          </w:p>
        </w:tc>
        <w:tc>
          <w:p>
            <w:pPr>
              <w:pStyle w:val="Compact"/>
              <w:jc w:val="left"/>
            </w:pPr>
            <w:r>
              <w:t xml:space="preserve">🟢</w:t>
            </w:r>
            <w:r>
              <w:t xml:space="preserve"> </w:t>
            </w:r>
            <w:r>
              <w:rPr>
                <w:b/>
              </w:rPr>
              <w:t xml:space="preserve">VERY HIGH</w:t>
            </w:r>
          </w:p>
        </w:tc>
        <w:tc>
          <w:p>
            <w:pPr>
              <w:pStyle w:val="Compact"/>
              <w:jc w:val="left"/>
            </w:pPr>
            <w:r>
              <w:t xml:space="preserve">Structurally superior to California for VPP economics; RTC+B, deregulation, peak prices</w:t>
            </w:r>
          </w:p>
        </w:tc>
      </w:tr>
      <w:tr>
        <w:tc>
          <w:p>
            <w:pPr>
              <w:pStyle w:val="Compact"/>
              <w:jc w:val="left"/>
            </w:pPr>
            <w:r>
              <w:t xml:space="preserve">Competitive window still open</w:t>
            </w:r>
          </w:p>
        </w:tc>
        <w:tc>
          <w:p>
            <w:pPr>
              <w:pStyle w:val="Compact"/>
              <w:jc w:val="left"/>
            </w:pPr>
            <w:r>
              <w:t xml:space="preserve">🟡</w:t>
            </w:r>
            <w:r>
              <w:t xml:space="preserve"> </w:t>
            </w:r>
            <w:r>
              <w:rPr>
                <w:b/>
              </w:rPr>
              <w:t xml:space="preserve">MODERATE</w:t>
            </w:r>
          </w:p>
        </w:tc>
        <w:tc>
          <w:p>
            <w:pPr>
              <w:pStyle w:val="Compact"/>
              <w:jc w:val="left"/>
            </w:pPr>
            <w:r>
              <w:t xml:space="preserve">Base Power is scaling fast but hasn’t locked installer channel; REPs remain open</w:t>
            </w:r>
          </w:p>
        </w:tc>
      </w:tr>
      <w:tr>
        <w:tc>
          <w:p>
            <w:pPr>
              <w:pStyle w:val="Compact"/>
              <w:jc w:val="left"/>
            </w:pPr>
            <w:r>
              <w:t xml:space="preserve">Lunar’s structural advantages</w:t>
            </w:r>
          </w:p>
        </w:tc>
        <w:tc>
          <w:p>
            <w:pPr>
              <w:pStyle w:val="Compact"/>
              <w:jc w:val="left"/>
            </w:pPr>
            <w:r>
              <w:t xml:space="preserve">🟢</w:t>
            </w:r>
            <w:r>
              <w:t xml:space="preserve"> </w:t>
            </w:r>
            <w:r>
              <w:rPr>
                <w:b/>
              </w:rPr>
              <w:t xml:space="preserve">HIGH</w:t>
            </w:r>
          </w:p>
        </w:tc>
        <w:tc>
          <w:p>
            <w:pPr>
              <w:pStyle w:val="Compact"/>
              <w:jc w:val="left"/>
            </w:pPr>
            <w:r>
              <w:t xml:space="preserve">Gridshare adjacency, domestic content, Georgia manufacturing, Sunrun relationship</w:t>
            </w:r>
          </w:p>
        </w:tc>
      </w:tr>
      <w:tr>
        <w:tc>
          <w:p>
            <w:pPr>
              <w:pStyle w:val="Compact"/>
              <w:jc w:val="left"/>
            </w:pPr>
            <w:r>
              <w:t xml:space="preserve">Execution risk</w:t>
            </w:r>
          </w:p>
        </w:tc>
        <w:tc>
          <w:p>
            <w:pPr>
              <w:pStyle w:val="Compact"/>
              <w:jc w:val="left"/>
            </w:pPr>
            <w:r>
              <w:t xml:space="preserve">🔴</w:t>
            </w:r>
            <w:r>
              <w:t xml:space="preserve"> </w:t>
            </w:r>
            <w:r>
              <w:rPr>
                <w:b/>
              </w:rPr>
              <w:t xml:space="preserve">HIGH</w:t>
            </w:r>
          </w:p>
        </w:tc>
        <w:tc>
          <w:p>
            <w:pPr>
              <w:pStyle w:val="Compact"/>
              <w:jc w:val="left"/>
            </w:pPr>
            <w:r>
              <w:t xml:space="preserve">Five simultaneous barriers; QSE/REP relationships must be built in parallel</w:t>
            </w:r>
          </w:p>
        </w:tc>
      </w:tr>
      <w:tr>
        <w:tc>
          <w:p>
            <w:pPr>
              <w:pStyle w:val="Compact"/>
              <w:jc w:val="left"/>
            </w:pPr>
            <w:r>
              <w:t xml:space="preserve">2028</w:t>
            </w:r>
            <w:r>
              <w:t xml:space="preserve"> </w:t>
            </w:r>
            <w:r>
              <w:t xml:space="preserve">“</w:t>
            </w:r>
            <w:r>
              <w:t xml:space="preserve">largest market</w:t>
            </w:r>
            <w:r>
              <w:t xml:space="preserve">”</w:t>
            </w:r>
            <w:r>
              <w:t xml:space="preserve"> </w:t>
            </w:r>
            <w:r>
              <w:t xml:space="preserve">feasibility</w:t>
            </w:r>
          </w:p>
        </w:tc>
        <w:tc>
          <w:p>
            <w:pPr>
              <w:pStyle w:val="Compact"/>
              <w:jc w:val="left"/>
            </w:pPr>
            <w:r>
              <w:t xml:space="preserve">🟡</w:t>
            </w:r>
            <w:r>
              <w:t xml:space="preserve"> </w:t>
            </w:r>
            <w:r>
              <w:rPr>
                <w:b/>
              </w:rPr>
              <w:t xml:space="preserve">MODERATE</w:t>
            </w:r>
          </w:p>
        </w:tc>
        <w:tc>
          <w:p>
            <w:pPr>
              <w:pStyle w:val="Compact"/>
              <w:jc w:val="left"/>
            </w:pPr>
            <w:r>
              <w:t xml:space="preserve">Requires 2026 execution; delays make it 2029–2030</w:t>
            </w:r>
          </w:p>
        </w:tc>
      </w:tr>
      <w:tr>
        <w:tc>
          <w:p>
            <w:pPr>
              <w:pStyle w:val="Compact"/>
              <w:jc w:val="left"/>
            </w:pPr>
            <w:r>
              <w:t xml:space="preserve">Hypothesis validity overall</w:t>
            </w:r>
          </w:p>
        </w:tc>
        <w:tc>
          <w:p>
            <w:pPr>
              <w:pStyle w:val="Compact"/>
              <w:jc w:val="left"/>
            </w:pPr>
            <w:r>
              <w:t xml:space="preserve">🟡</w:t>
            </w:r>
            <w:r>
              <w:t xml:space="preserve"> </w:t>
            </w:r>
            <w:r>
              <w:rPr>
                <w:b/>
              </w:rPr>
              <w:t xml:space="preserve">55–65%</w:t>
            </w:r>
          </w:p>
        </w:tc>
        <w:tc>
          <w:p>
            <w:pPr>
              <w:pStyle w:val="Compact"/>
              <w:jc w:val="left"/>
            </w:pPr>
            <w:r>
              <w:t xml:space="preserve">Hypothesis is correct in identifying the opportunity; uncertain on timeline</w:t>
            </w:r>
          </w:p>
        </w:tc>
      </w:tr>
    </w:tbl>
    <w:p>
      <w:r>
        <w:pict>
          <v:rect style="width:0;height:1.5pt" o:hralign="center" o:hrstd="t" o:hr="t"/>
        </w:pict>
      </w:r>
    </w:p>
    <w:p>
      <w:pPr>
        <w:pStyle w:val="Heading2"/>
      </w:pPr>
      <w:bookmarkStart w:id="60" w:name="X93cced3b813bd7ad81c717dabe0678cb8d36f87"/>
      <w:r>
        <w:t xml:space="preserve">CONCRETE 6-MONTH ROADMAP: ADER DISPATCH BY Q4 2026</w:t>
      </w:r>
      <w:bookmarkEnd w:id="60"/>
    </w:p>
    <w:p>
      <w:pPr>
        <w:pStyle w:val="FirstParagraph"/>
      </w:pPr>
      <w:r>
        <w:t xml:space="preserve">The following is a sequenced operational plan for Lunar to have its first ERCOT ADER-enrolled systems actively dispatching by Q4 2026.</w:t>
      </w:r>
    </w:p>
    <w:p>
      <w:r>
        <w:pict>
          <v:rect style="width:0;height:1.5pt" o:hralign="center" o:hrstd="t" o:hr="t"/>
        </w:pict>
      </w:r>
    </w:p>
    <w:p>
      <w:pPr>
        <w:pStyle w:val="Heading3"/>
      </w:pPr>
      <w:bookmarkStart w:id="61" w:name="Xb778f780df9c991da6716430414cc79d26e4cfb"/>
      <w:r>
        <w:t xml:space="preserve">MONTH 1 (March 2026): Foundation &amp; Intelligence Gathering</w:t>
      </w:r>
      <w:bookmarkEnd w:id="61"/>
    </w:p>
    <w:p>
      <w:pPr>
        <w:pStyle w:val="FirstParagraph"/>
      </w:pPr>
      <w:r>
        <w:rPr>
          <w:b/>
        </w:rPr>
        <w:t xml:space="preserve">Priority: Secure legal standing and market intelligence before committing capital</w:t>
      </w:r>
    </w:p>
    <w:p>
      <w:pPr>
        <w:numPr>
          <w:ilvl w:val="0"/>
          <w:numId w:val="1009"/>
        </w:numPr>
        <w:pStyle w:val="Compact"/>
      </w:pPr>
      <w:r>
        <w:t xml:space="preserve">☐</w:t>
      </w:r>
      <w:r>
        <w:t xml:space="preserve"> </w:t>
      </w:r>
      <w:r>
        <w:rPr>
          <w:b/>
        </w:rPr>
        <w:t xml:space="preserve">Hire a Texas Energy Market Director</w:t>
      </w:r>
      <w:r>
        <w:t xml:space="preserve"> </w:t>
      </w:r>
      <w:r>
        <w:t xml:space="preserve">— ideally someone with ERCOT QSE/ADER experience; former Tesla Electric, sonnen, or Viridian energy employees are ideal</w:t>
      </w:r>
    </w:p>
    <w:p>
      <w:pPr>
        <w:numPr>
          <w:ilvl w:val="0"/>
          <w:numId w:val="1009"/>
        </w:numPr>
        <w:pStyle w:val="Compact"/>
      </w:pPr>
      <w:r>
        <w:t xml:space="preserve">☐</w:t>
      </w:r>
      <w:r>
        <w:t xml:space="preserve"> </w:t>
      </w:r>
      <w:r>
        <w:rPr>
          <w:b/>
        </w:rPr>
        <w:t xml:space="preserve">Retain an ERCOT-specialized regulatory counsel</w:t>
      </w:r>
      <w:r>
        <w:t xml:space="preserve"> </w:t>
      </w:r>
      <w:r>
        <w:t xml:space="preserve">familiar with PUCT Project No. 53911 and ADER Governing Document Phase 3</w:t>
      </w:r>
    </w:p>
    <w:p>
      <w:pPr>
        <w:numPr>
          <w:ilvl w:val="0"/>
          <w:numId w:val="1009"/>
        </w:numPr>
        <w:pStyle w:val="Compact"/>
      </w:pPr>
      <w:r>
        <w:t xml:space="preserve">☐</w:t>
      </w:r>
      <w:r>
        <w:t xml:space="preserve"> </w:t>
      </w:r>
      <w:r>
        <w:rPr>
          <w:b/>
        </w:rPr>
        <w:t xml:space="preserve">Commission a Gridshare → ERCOT telemetry gap analysis</w:t>
      </w:r>
      <w:r>
        <w:t xml:space="preserve">: Can Gridshare natively output 2-second ICCP data in ERCOT’s format? If not, scope the engineering sprint (likely 6–10 weeks)</w:t>
      </w:r>
    </w:p>
    <w:p>
      <w:pPr>
        <w:numPr>
          <w:ilvl w:val="0"/>
          <w:numId w:val="1009"/>
        </w:numPr>
        <w:pStyle w:val="Compact"/>
      </w:pPr>
      <w:r>
        <w:t xml:space="preserve">☐</w:t>
      </w:r>
      <w:r>
        <w:t xml:space="preserve"> </w:t>
      </w:r>
      <w:r>
        <w:rPr>
          <w:b/>
        </w:rPr>
        <w:t xml:space="preserve">Apply for Texas REP certification with PUCT</w:t>
      </w:r>
      <w:r>
        <w:t xml:space="preserve"> </w:t>
      </w:r>
      <w:r>
        <w:rPr>
          <w:i/>
        </w:rPr>
        <w:t xml:space="preserve">(optional but strategic)</w:t>
      </w:r>
      <w:r>
        <w:t xml:space="preserve">: This is a 90–120 day process and would give Lunar ultimate flexibility; beginning it now keeps options open without committing</w:t>
      </w:r>
    </w:p>
    <w:p>
      <w:pPr>
        <w:numPr>
          <w:ilvl w:val="0"/>
          <w:numId w:val="1009"/>
        </w:numPr>
        <w:pStyle w:val="Compact"/>
      </w:pPr>
      <w:r>
        <w:t xml:space="preserve">☐</w:t>
      </w:r>
      <w:r>
        <w:t xml:space="preserve"> </w:t>
      </w:r>
      <w:r>
        <w:rPr>
          <w:b/>
        </w:rPr>
        <w:t xml:space="preserve">Begin QSE partner outreach</w:t>
      </w:r>
      <w:r>
        <w:t xml:space="preserve">: Contact existing ADER-registered QSEs (trading firms, energy service companies) to negotiate a QSE services agreement. Key targets include Customized Energy Solutions, Galt Power, and other third-party QSEs with ERCOT ADER experience</w:t>
      </w:r>
    </w:p>
    <w:p>
      <w:pPr>
        <w:numPr>
          <w:ilvl w:val="0"/>
          <w:numId w:val="1009"/>
        </w:numPr>
        <w:pStyle w:val="Compact"/>
      </w:pPr>
      <w:r>
        <w:t xml:space="preserve">☐</w:t>
      </w:r>
      <w:r>
        <w:t xml:space="preserve"> </w:t>
      </w:r>
      <w:r>
        <w:rPr>
          <w:b/>
        </w:rPr>
        <w:t xml:space="preserve">Conduct NATiVE Solar and Longhorn Solar exploratory meetings</w:t>
      </w:r>
      <w:r>
        <w:t xml:space="preserve">: Frame as</w:t>
      </w:r>
      <w:r>
        <w:t xml:space="preserve"> </w:t>
      </w:r>
      <w:r>
        <w:t xml:space="preserve">“</w:t>
      </w:r>
      <w:r>
        <w:t xml:space="preserve">Lunar Launch Partner</w:t>
      </w:r>
      <w:r>
        <w:t xml:space="preserve">”</w:t>
      </w:r>
      <w:r>
        <w:t xml:space="preserve"> </w:t>
      </w:r>
      <w:r>
        <w:t xml:space="preserve">program with lead-sharing, co-marketing, and installer training</w:t>
      </w:r>
    </w:p>
    <w:p>
      <w:pPr>
        <w:pStyle w:val="FirstParagraph"/>
      </w:pPr>
      <w:r>
        <w:rPr>
          <w:b/>
        </w:rPr>
        <w:t xml:space="preserve">Milestone</w:t>
      </w:r>
      <w:r>
        <w:t xml:space="preserve">: By end of Month 1 — QSE term sheet signed or in advanced negotiation; Gridshare telemetry gap assessment complete</w:t>
      </w:r>
    </w:p>
    <w:p>
      <w:r>
        <w:pict>
          <v:rect style="width:0;height:1.5pt" o:hralign="center" o:hrstd="t" o:hr="t"/>
        </w:pict>
      </w:r>
    </w:p>
    <w:p>
      <w:pPr>
        <w:pStyle w:val="Heading3"/>
      </w:pPr>
      <w:bookmarkStart w:id="62" w:name="X6e674353e04ebd2575996021c68f1917c55ac53"/>
      <w:r>
        <w:t xml:space="preserve">MONTH 2 (April 2026): Installer Network &amp; REP Partnership</w:t>
      </w:r>
      <w:bookmarkEnd w:id="62"/>
    </w:p>
    <w:p>
      <w:pPr>
        <w:pStyle w:val="FirstParagraph"/>
      </w:pPr>
      <w:r>
        <w:rPr>
          <w:b/>
        </w:rPr>
        <w:t xml:space="preserve">Priority: Secure channel and REP relationship simultaneously</w:t>
      </w:r>
    </w:p>
    <w:p>
      <w:pPr>
        <w:numPr>
          <w:ilvl w:val="0"/>
          <w:numId w:val="1010"/>
        </w:numPr>
        <w:pStyle w:val="Compact"/>
      </w:pPr>
      <w:r>
        <w:t xml:space="preserve">☐</w:t>
      </w:r>
      <w:r>
        <w:t xml:space="preserve"> </w:t>
      </w:r>
      <w:r>
        <w:rPr>
          <w:b/>
        </w:rPr>
        <w:t xml:space="preserve">Sign 2–3 Texas installer partnerships</w:t>
      </w:r>
      <w:r>
        <w:t xml:space="preserve">: NATiVE Solar, Longhorn Solar, and one Houston-based installer (Atma Energy or IntegrateSun). Provide: Gridshare training, co-branded marketing materials, guaranteed initial lead volume,</w:t>
      </w:r>
      <w:r>
        <w:t xml:space="preserve"> </w:t>
      </w:r>
      <w:r>
        <w:t xml:space="preserve">“</w:t>
      </w:r>
      <w:r>
        <w:t xml:space="preserve">Lunar Partner</w:t>
      </w:r>
      <w:r>
        <w:t xml:space="preserve">”</w:t>
      </w:r>
      <w:r>
        <w:t xml:space="preserve"> </w:t>
      </w:r>
      <w:r>
        <w:t xml:space="preserve">certification program analogous to Tesla’s model</w:t>
      </w:r>
    </w:p>
    <w:p>
      <w:pPr>
        <w:numPr>
          <w:ilvl w:val="0"/>
          <w:numId w:val="1010"/>
        </w:numPr>
        <w:pStyle w:val="Compact"/>
      </w:pPr>
      <w:r>
        <w:t xml:space="preserve">☐</w:t>
      </w:r>
      <w:r>
        <w:t xml:space="preserve"> </w:t>
      </w:r>
      <w:r>
        <w:rPr>
          <w:b/>
        </w:rPr>
        <w:t xml:space="preserve">Initiate NRG/Reliant partnership discussion</w:t>
      </w:r>
      <w:r>
        <w:t xml:space="preserve">: Frame Gridshare as a hardware-agnostic VPP management layer that Reliant can use to onboard Lunar-equipped homes alongside their existing Sunrun and GoodLeap partners. Reliant’s existing Gridshare relationship (via Sunrun) is the door-opener</w:t>
      </w:r>
    </w:p>
    <w:p>
      <w:pPr>
        <w:numPr>
          <w:ilvl w:val="0"/>
          <w:numId w:val="1010"/>
        </w:numPr>
        <w:pStyle w:val="Compact"/>
      </w:pPr>
      <w:r>
        <w:t xml:space="preserve">☐</w:t>
      </w:r>
      <w:r>
        <w:t xml:space="preserve"> </w:t>
      </w:r>
      <w:r>
        <w:rPr>
          <w:b/>
        </w:rPr>
        <w:t xml:space="preserve">Alternatively, initiate Octopus Energy TX partnership</w:t>
      </w:r>
      <w:r>
        <w:t xml:space="preserve">: Octopus’s Kraken platform competes with Gridshare, but Octopus does not have its own battery hardware — pitch Lunar as preferred hardware for Octopus Texas customers seeking whole-home backup</w:t>
      </w:r>
    </w:p>
    <w:p>
      <w:pPr>
        <w:numPr>
          <w:ilvl w:val="0"/>
          <w:numId w:val="1010"/>
        </w:numPr>
        <w:pStyle w:val="Compact"/>
      </w:pPr>
      <w:r>
        <w:t xml:space="preserve">☐</w:t>
      </w:r>
      <w:r>
        <w:t xml:space="preserve"> </w:t>
      </w:r>
      <w:r>
        <w:rPr>
          <w:b/>
        </w:rPr>
        <w:t xml:space="preserve">Begin CenterPoint and Oncor DSP engagement</w:t>
      </w:r>
      <w:r>
        <w:t xml:space="preserve">: Send introductory letters notifying them of Lunar’s intent to enroll residential premises in the ADER pilot; request preliminary distribution network impact assessment for initial 50-home aggregation in Houston (CenterPoint) and DFW (Oncor)</w:t>
      </w:r>
    </w:p>
    <w:p>
      <w:pPr>
        <w:numPr>
          <w:ilvl w:val="0"/>
          <w:numId w:val="1010"/>
        </w:numPr>
        <w:pStyle w:val="Compact"/>
      </w:pPr>
      <w:r>
        <w:t xml:space="preserve">☐</w:t>
      </w:r>
      <w:r>
        <w:t xml:space="preserve"> </w:t>
      </w:r>
      <w:r>
        <w:rPr>
          <w:b/>
        </w:rPr>
        <w:t xml:space="preserve">File Lunar System with TDLR for UL certification confirmation</w:t>
      </w:r>
      <w:r>
        <w:t xml:space="preserve">: Confirm existing UL listings are recognized by Texas cities’ building departments; obtain any necessary Texas-specific fire marshal approvals for outdoor/indoor installation configurations</w:t>
      </w:r>
    </w:p>
    <w:p>
      <w:pPr>
        <w:pStyle w:val="FirstParagraph"/>
      </w:pPr>
      <w:r>
        <w:rPr>
          <w:b/>
        </w:rPr>
        <w:t xml:space="preserve">Milestone</w:t>
      </w:r>
      <w:r>
        <w:t xml:space="preserve">: By end of Month 2 — Installer partnerships signed; REP LOI executed; DSP introductions made</w:t>
      </w:r>
    </w:p>
    <w:p>
      <w:r>
        <w:pict>
          <v:rect style="width:0;height:1.5pt" o:hralign="center" o:hrstd="t" o:hr="t"/>
        </w:pict>
      </w:r>
    </w:p>
    <w:p>
      <w:pPr>
        <w:pStyle w:val="Heading3"/>
      </w:pPr>
      <w:bookmarkStart w:id="63" w:name="X1b87a2173838a2e4af4fc7812f259957f21cc5d"/>
      <w:r>
        <w:t xml:space="preserve">MONTH 3 (May 2026): Technical Infrastructure &amp; First Installations</w:t>
      </w:r>
      <w:bookmarkEnd w:id="63"/>
    </w:p>
    <w:p>
      <w:pPr>
        <w:pStyle w:val="FirstParagraph"/>
      </w:pPr>
      <w:r>
        <w:rPr>
          <w:b/>
        </w:rPr>
        <w:t xml:space="preserve">Priority: Begin physical installations; build aggregation toward 100 kW minimum</w:t>
      </w:r>
    </w:p>
    <w:p>
      <w:pPr>
        <w:numPr>
          <w:ilvl w:val="0"/>
          <w:numId w:val="1011"/>
        </w:numPr>
        <w:pStyle w:val="Compact"/>
      </w:pPr>
      <w:r>
        <w:t xml:space="preserve">☐</w:t>
      </w:r>
      <w:r>
        <w:t xml:space="preserve"> </w:t>
      </w:r>
      <w:r>
        <w:rPr>
          <w:b/>
        </w:rPr>
        <w:t xml:space="preserve">Launch Texas sales operations</w:t>
      </w:r>
      <w:r>
        <w:t xml:space="preserve"> </w:t>
      </w:r>
      <w:r>
        <w:t xml:space="preserve">in Austin and Houston: Activate installer partner sales channels; begin homeowner pipeline with target of 50 systems sold in Month 3</w:t>
      </w:r>
    </w:p>
    <w:p>
      <w:pPr>
        <w:numPr>
          <w:ilvl w:val="0"/>
          <w:numId w:val="1011"/>
        </w:numPr>
        <w:pStyle w:val="Compact"/>
      </w:pPr>
      <w:r>
        <w:t xml:space="preserve">☐</w:t>
      </w:r>
      <w:r>
        <w:t xml:space="preserve"> </w:t>
      </w:r>
      <w:r>
        <w:rPr>
          <w:b/>
        </w:rPr>
        <w:t xml:space="preserve">Complete Gridshare ERCOT telemetry integration</w:t>
      </w:r>
      <w:r>
        <w:t xml:space="preserve">: Deploy 2-second ICCP telemetry capability; begin internal testing against ERCOT’s sandbox environment</w:t>
      </w:r>
    </w:p>
    <w:p>
      <w:pPr>
        <w:numPr>
          <w:ilvl w:val="0"/>
          <w:numId w:val="1011"/>
        </w:numPr>
        <w:pStyle w:val="Compact"/>
      </w:pPr>
      <w:r>
        <w:t xml:space="preserve">☐</w:t>
      </w:r>
      <w:r>
        <w:t xml:space="preserve"> </w:t>
      </w:r>
      <w:r>
        <w:rPr>
          <w:b/>
        </w:rPr>
        <w:t xml:space="preserve">Initiate ERCOT QSE application</w:t>
      </w:r>
      <w:r>
        <w:t xml:space="preserve"> </w:t>
      </w:r>
      <w:r>
        <w:t xml:space="preserve">(if going direct route) OR finalize QSE services agreement (if using a third-party QSE):</w:t>
      </w:r>
      <w:r>
        <w:t xml:space="preserve"> </w:t>
      </w:r>
      <w:r>
        <w:t xml:space="preserve">QSEs are qualified by ERCOT to submit balanced schedules, bid for ancillary services, and settle payments. They submit bids and offers on behalf of resource entities or load serving entities.</w:t>
      </w:r>
      <w:r>
        <w:t xml:space="preserve"> </w:t>
      </w:r>
      <w:r>
        <w:t xml:space="preserve">QSE qualification takes approximately 30–60 days</w:t>
      </w:r>
    </w:p>
    <w:p>
      <w:pPr>
        <w:numPr>
          <w:ilvl w:val="0"/>
          <w:numId w:val="1011"/>
        </w:numPr>
        <w:pStyle w:val="Compact"/>
      </w:pPr>
      <w:r>
        <w:t xml:space="preserve">☐</w:t>
      </w:r>
      <w:r>
        <w:t xml:space="preserve"> </w:t>
      </w:r>
      <w:r>
        <w:rPr>
          <w:b/>
        </w:rPr>
        <w:t xml:space="preserve">Begin preparing DOTA (Details of the Aggregation) form</w:t>
      </w:r>
      <w:r>
        <w:t xml:space="preserve">: Work with QSE partner to list initial premise ESI IDs as homeowners are installed and interconnected</w:t>
      </w:r>
    </w:p>
    <w:p>
      <w:pPr>
        <w:numPr>
          <w:ilvl w:val="0"/>
          <w:numId w:val="1011"/>
        </w:numPr>
        <w:pStyle w:val="Compact"/>
      </w:pPr>
      <w:r>
        <w:t xml:space="preserve">☐</w:t>
      </w:r>
      <w:r>
        <w:t xml:space="preserve"> </w:t>
      </w:r>
      <w:r>
        <w:rPr>
          <w:b/>
        </w:rPr>
        <w:t xml:space="preserve">PUCT ADER registration</w:t>
      </w:r>
      <w:r>
        <w:t xml:space="preserve">: File Lunar’s intent to participate in ADER pilot per Project No. 53911 requirements</w:t>
      </w:r>
    </w:p>
    <w:p>
      <w:pPr>
        <w:numPr>
          <w:ilvl w:val="0"/>
          <w:numId w:val="1011"/>
        </w:numPr>
        <w:pStyle w:val="Compact"/>
      </w:pPr>
      <w:r>
        <w:t xml:space="preserve">☐</w:t>
      </w:r>
      <w:r>
        <w:t xml:space="preserve"> </w:t>
      </w:r>
      <w:r>
        <w:rPr>
          <w:b/>
        </w:rPr>
        <w:t xml:space="preserve">Ship first Texas systems</w:t>
      </w:r>
      <w:r>
        <w:t xml:space="preserve">: Target 25–50 installations in Austin (Longhorn Solar) and Houston (NATiVE Solar) in Month 3</w:t>
      </w:r>
    </w:p>
    <w:p>
      <w:pPr>
        <w:pStyle w:val="FirstParagraph"/>
      </w:pPr>
      <w:r>
        <w:rPr>
          <w:b/>
        </w:rPr>
        <w:t xml:space="preserve">Milestone</w:t>
      </w:r>
      <w:r>
        <w:t xml:space="preserve">: By end of Month 3 — 50+ systems installed; QSE relationship finalized; DOTA form prepared for initial aggregation; Gridshare ERCOT telemetry tested internally</w:t>
      </w:r>
    </w:p>
    <w:p>
      <w:r>
        <w:pict>
          <v:rect style="width:0;height:1.5pt" o:hralign="center" o:hrstd="t" o:hr="t"/>
        </w:pict>
      </w:r>
    </w:p>
    <w:p>
      <w:pPr>
        <w:pStyle w:val="Heading3"/>
      </w:pPr>
      <w:bookmarkStart w:id="64" w:name="X155d7ac69bd9ce89acd630d9b0de547bd365c78"/>
      <w:r>
        <w:t xml:space="preserve">MONTH 4 (June 2026): ADER Registration Filing</w:t>
      </w:r>
      <w:bookmarkEnd w:id="64"/>
    </w:p>
    <w:p>
      <w:pPr>
        <w:pStyle w:val="FirstParagraph"/>
      </w:pPr>
      <w:r>
        <w:rPr>
          <w:b/>
        </w:rPr>
        <w:t xml:space="preserve">Priority: Submit formal ADER registration; begin commissioning process</w:t>
      </w:r>
    </w:p>
    <w:p>
      <w:pPr>
        <w:numPr>
          <w:ilvl w:val="0"/>
          <w:numId w:val="1012"/>
        </w:numPr>
      </w:pPr>
      <w:r>
        <w:t xml:space="preserve">☐</w:t>
      </w:r>
      <w:r>
        <w:t xml:space="preserve"> </w:t>
      </w:r>
      <w:r>
        <w:rPr>
          <w:b/>
        </w:rPr>
        <w:t xml:space="preserve">Submit DOTA to ERCOT</w:t>
      </w:r>
      <w:r>
        <w:t xml:space="preserve">: Initial aggregation of 50–100 homes (approximately 1–2 MW if all 20 kWh systems are available for dispatch), clearly within ERCOT’s 200 MW system-wide cap</w:t>
      </w:r>
    </w:p>
    <w:p>
      <w:pPr>
        <w:numPr>
          <w:ilvl w:val="0"/>
          <w:numId w:val="1012"/>
        </w:numPr>
      </w:pPr>
      <w:r>
        <w:t xml:space="preserve">☐</w:t>
      </w:r>
      <w:r>
        <w:t xml:space="preserve"> </w:t>
      </w:r>
      <w:r>
        <w:rPr>
          <w:b/>
        </w:rPr>
        <w:t xml:space="preserve">Await DSP review</w:t>
      </w:r>
      <w:r>
        <w:t xml:space="preserve"> </w:t>
      </w:r>
      <w:r>
        <w:t xml:space="preserve">(CenterPoint for Houston homes; Oncor for DFW):</w:t>
      </w:r>
      <w:r>
        <w:t xml:space="preserve"> </w:t>
      </w:r>
      <w:r>
        <w:t xml:space="preserve">The DSP reviews the Details of the Aggregation for feasibility of participation on the distribution network. If the DSP has concerns, they will notify the QSE.</w:t>
      </w:r>
      <w:r>
        <w:t xml:space="preserve"> </w:t>
      </w:r>
      <w:r>
        <w:t xml:space="preserve">Budget 4–6 weeks for DSP review</w:t>
      </w:r>
    </w:p>
    <w:p>
      <w:pPr>
        <w:numPr>
          <w:ilvl w:val="0"/>
          <w:numId w:val="1012"/>
        </w:numPr>
      </w:pPr>
      <w:r>
        <w:t xml:space="preserve">☐</w:t>
      </w:r>
      <w:r>
        <w:t xml:space="preserve"> </w:t>
      </w:r>
      <w:r>
        <w:rPr>
          <w:b/>
        </w:rPr>
        <w:t xml:space="preserve">Submit RIOO application</w:t>
      </w:r>
      <w:r>
        <w:t xml:space="preserve"> </w:t>
      </w:r>
      <w:r>
        <w:t xml:space="preserve">with QSE: Initiate 45-day minimum clock for Production Load Date</w:t>
      </w:r>
    </w:p>
    <w:p>
      <w:pPr>
        <w:numPr>
          <w:ilvl w:val="0"/>
          <w:numId w:val="1012"/>
        </w:numPr>
      </w:pPr>
      <w:r>
        <w:t xml:space="preserve">☐</w:t>
      </w:r>
      <w:r>
        <w:t xml:space="preserve"> </w:t>
      </w:r>
      <w:r>
        <w:rPr>
          <w:b/>
        </w:rPr>
        <w:t xml:space="preserve">Set up ICCP telemetry points with ERCOT GMS team</w:t>
      </w:r>
      <w:r>
        <w:t xml:space="preserve">:</w:t>
      </w:r>
      <w:r>
        <w:t xml:space="preserve"> </w:t>
      </w:r>
      <w:r>
        <w:t xml:space="preserve">After the RIOO submission is complete, the QSE must set up ICCP telemetry points. The ERCOT Grid &amp; Market Solutions team will contact the QSE via email to coordinate the addition of the telemetry points.</w:t>
      </w:r>
    </w:p>
    <w:p>
      <w:pPr>
        <w:numPr>
          <w:ilvl w:val="0"/>
          <w:numId w:val="1012"/>
        </w:numPr>
      </w:pPr>
      <w:r>
        <w:t xml:space="preserve">☐</w:t>
      </w:r>
      <w:r>
        <w:t xml:space="preserve"> </w:t>
      </w:r>
      <w:r>
        <w:rPr>
          <w:b/>
        </w:rPr>
        <w:t xml:space="preserve">Continue installations</w:t>
      </w:r>
      <w:r>
        <w:t xml:space="preserve">: Target 100–150 cumulative Texas installs by end of Month 4</w:t>
      </w:r>
    </w:p>
    <w:p>
      <w:pPr>
        <w:numPr>
          <w:ilvl w:val="0"/>
          <w:numId w:val="1012"/>
        </w:numPr>
      </w:pPr>
      <w:r>
        <w:t xml:space="preserve">☐</w:t>
      </w:r>
      <w:r>
        <w:t xml:space="preserve"> </w:t>
      </w:r>
      <w:r>
        <w:rPr>
          <w:b/>
        </w:rPr>
        <w:t xml:space="preserve">Announce Texas launch publicly</w:t>
      </w:r>
      <w:r>
        <w:t xml:space="preserve">: Issue press release with REP partnership, installer partners, and ADER registration filing to drive consumer demand and additional installer interest</w:t>
      </w:r>
    </w:p>
    <w:p>
      <w:pPr>
        <w:pStyle w:val="FirstParagraph"/>
      </w:pPr>
      <w:r>
        <w:rPr>
          <w:b/>
        </w:rPr>
        <w:t xml:space="preserve">Milestone</w:t>
      </w:r>
      <w:r>
        <w:t xml:space="preserve">: By end of Month 4 — ERCOT ADER registration submitted; ICCP telemetry points configured; 100+ systems in field</w:t>
      </w:r>
    </w:p>
    <w:p>
      <w:r>
        <w:pict>
          <v:rect style="width:0;height:1.5pt" o:hralign="center" o:hrstd="t" o:hr="t"/>
        </w:pict>
      </w:r>
    </w:p>
    <w:p>
      <w:pPr>
        <w:pStyle w:val="Heading3"/>
      </w:pPr>
      <w:bookmarkStart w:id="65" w:name="X2d8db18491438551d1574e44b32bcb9710c88d7"/>
      <w:r>
        <w:t xml:space="preserve">MONTH 5 (July 2026): Telemetry Validation &amp; Qualification Testing</w:t>
      </w:r>
      <w:bookmarkEnd w:id="65"/>
    </w:p>
    <w:p>
      <w:pPr>
        <w:pStyle w:val="FirstParagraph"/>
      </w:pPr>
      <w:r>
        <w:rPr>
          <w:b/>
        </w:rPr>
        <w:t xml:space="preserve">Priority: Complete the technical qualification to enable dispatch</w:t>
      </w:r>
    </w:p>
    <w:p>
      <w:pPr>
        <w:numPr>
          <w:ilvl w:val="0"/>
          <w:numId w:val="1013"/>
        </w:numPr>
        <w:pStyle w:val="Compact"/>
      </w:pPr>
      <w:r>
        <w:t xml:space="preserve">☐</w:t>
      </w:r>
      <w:r>
        <w:t xml:space="preserve"> </w:t>
      </w:r>
      <w:r>
        <w:rPr>
          <w:b/>
        </w:rPr>
        <w:t xml:space="preserve">Telemetry validation with ERCOT</w:t>
      </w:r>
      <w:r>
        <w:t xml:space="preserve">:</w:t>
      </w:r>
      <w:r>
        <w:t xml:space="preserve"> </w:t>
      </w:r>
      <w:r>
        <w:t xml:space="preserve">As part of the validation of ADER telemetry, QSEs shall provide time series data of the net MW at the Premise level and/or device-level. ERCOT will use this Premise-level interval meter data as the primary foundation of the telemetry validation process.</w:t>
      </w:r>
      <w:r>
        <w:t xml:space="preserve"> </w:t>
      </w:r>
      <w:r>
        <w:t xml:space="preserve">Expect 2–4 weeks of validation testing</w:t>
      </w:r>
    </w:p>
    <w:p>
      <w:pPr>
        <w:numPr>
          <w:ilvl w:val="0"/>
          <w:numId w:val="1013"/>
        </w:numPr>
        <w:pStyle w:val="Compact"/>
      </w:pPr>
      <w:r>
        <w:t xml:space="preserve">☐</w:t>
      </w:r>
      <w:r>
        <w:t xml:space="preserve"> </w:t>
      </w:r>
      <w:r>
        <w:rPr>
          <w:b/>
        </w:rPr>
        <w:t xml:space="preserve">Ancillary Service qualification testing</w:t>
      </w:r>
      <w:r>
        <w:t xml:space="preserve">:</w:t>
      </w:r>
      <w:r>
        <w:t xml:space="preserve"> </w:t>
      </w:r>
      <w:r>
        <w:t xml:space="preserve">Load resources wanting to participate in the Ancillary Service market are required to perform a qualification test.</w:t>
      </w:r>
      <w:r>
        <w:t xml:space="preserve"> </w:t>
      </w:r>
      <w:r>
        <w:t xml:space="preserve">Test Non-Spin (NCLR model first, simpler) and ECRS eligibility</w:t>
      </w:r>
    </w:p>
    <w:p>
      <w:pPr>
        <w:numPr>
          <w:ilvl w:val="0"/>
          <w:numId w:val="1013"/>
        </w:numPr>
        <w:pStyle w:val="Compact"/>
      </w:pPr>
      <w:r>
        <w:t xml:space="preserve">☐</w:t>
      </w:r>
      <w:r>
        <w:t xml:space="preserve"> </w:t>
      </w:r>
      <w:r>
        <w:rPr>
          <w:b/>
        </w:rPr>
        <w:t xml:space="preserve">Begin SCED qualification</w:t>
      </w:r>
      <w:r>
        <w:t xml:space="preserve"> </w:t>
      </w:r>
      <w:r>
        <w:t xml:space="preserve">if pursuing ALR (fully dispatchable) model: This enables real-time energy market participation under RTC+B, unlocking the highest-value dispatch opportunities</w:t>
      </w:r>
    </w:p>
    <w:p>
      <w:pPr>
        <w:numPr>
          <w:ilvl w:val="0"/>
          <w:numId w:val="1013"/>
        </w:numPr>
        <w:pStyle w:val="Compact"/>
      </w:pPr>
      <w:r>
        <w:t xml:space="preserve">☐</w:t>
      </w:r>
      <w:r>
        <w:t xml:space="preserve"> </w:t>
      </w:r>
      <w:r>
        <w:rPr>
          <w:b/>
        </w:rPr>
        <w:t xml:space="preserve">Summer peak monitoring</w:t>
      </w:r>
      <w:r>
        <w:t xml:space="preserve">: July is typically ERCOT’s highest stress month — document price spike events that would have generated VPP dispatch revenue; use this data for consumer marketing and investor reporting</w:t>
      </w:r>
    </w:p>
    <w:p>
      <w:pPr>
        <w:numPr>
          <w:ilvl w:val="0"/>
          <w:numId w:val="1013"/>
        </w:numPr>
        <w:pStyle w:val="Compact"/>
      </w:pPr>
      <w:r>
        <w:t xml:space="preserve">☐</w:t>
      </w:r>
      <w:r>
        <w:t xml:space="preserve"> </w:t>
      </w:r>
      <w:r>
        <w:rPr>
          <w:b/>
        </w:rPr>
        <w:t xml:space="preserve">Scale installations</w:t>
      </w:r>
      <w:r>
        <w:t xml:space="preserve">: Target 200–300 cumulative Texas installs by end of Month 5</w:t>
      </w:r>
    </w:p>
    <w:p>
      <w:pPr>
        <w:numPr>
          <w:ilvl w:val="0"/>
          <w:numId w:val="1013"/>
        </w:numPr>
        <w:pStyle w:val="Compact"/>
      </w:pPr>
      <w:r>
        <w:t xml:space="preserve">☐</w:t>
      </w:r>
      <w:r>
        <w:t xml:space="preserve"> </w:t>
      </w:r>
      <w:r>
        <w:rPr>
          <w:b/>
        </w:rPr>
        <w:t xml:space="preserve">Sign additional installer partners</w:t>
      </w:r>
      <w:r>
        <w:t xml:space="preserve"> </w:t>
      </w:r>
      <w:r>
        <w:t xml:space="preserve">in San Antonio and DFW based on Month 3–4 learnings</w:t>
      </w:r>
    </w:p>
    <w:p>
      <w:pPr>
        <w:pStyle w:val="FirstParagraph"/>
      </w:pPr>
      <w:r>
        <w:rPr>
          <w:b/>
        </w:rPr>
        <w:t xml:space="preserve">Milestone</w:t>
      </w:r>
      <w:r>
        <w:t xml:space="preserve">: By end of Month 5 — Telemetry validated; qualification testing initiated; 250+ systems installed</w:t>
      </w:r>
    </w:p>
    <w:p>
      <w:r>
        <w:pict>
          <v:rect style="width:0;height:1.5pt" o:hralign="center" o:hrstd="t" o:hr="t"/>
        </w:pict>
      </w:r>
    </w:p>
    <w:p>
      <w:pPr>
        <w:pStyle w:val="Heading3"/>
      </w:pPr>
      <w:bookmarkStart w:id="66" w:name="month-6-august-2026-first-ercot-dispatch"/>
      <w:r>
        <w:t xml:space="preserve">MONTH 6 (August 2026): First ERCOT Dispatch</w:t>
      </w:r>
      <w:bookmarkEnd w:id="66"/>
    </w:p>
    <w:p>
      <w:pPr>
        <w:pStyle w:val="FirstParagraph"/>
      </w:pPr>
      <w:r>
        <w:rPr>
          <w:b/>
        </w:rPr>
        <w:t xml:space="preserve">Priority: Achieve first live ERCOT dispatch event; demonstrate revenue to customers and partners</w:t>
      </w:r>
    </w:p>
    <w:p>
      <w:pPr>
        <w:numPr>
          <w:ilvl w:val="0"/>
          <w:numId w:val="1014"/>
        </w:numPr>
        <w:pStyle w:val="Compact"/>
      </w:pPr>
      <w:r>
        <w:t xml:space="preserve">☐</w:t>
      </w:r>
      <w:r>
        <w:t xml:space="preserve"> </w:t>
      </w:r>
      <w:r>
        <w:rPr>
          <w:b/>
        </w:rPr>
        <w:t xml:space="preserve">Complete qualification testing</w:t>
      </w:r>
      <w:r>
        <w:t xml:space="preserve">: Receive ERCOT confirmation that ADER is qualified for Non-Spin and/or ECRS participation</w:t>
      </w:r>
    </w:p>
    <w:p>
      <w:pPr>
        <w:numPr>
          <w:ilvl w:val="0"/>
          <w:numId w:val="1014"/>
        </w:numPr>
        <w:pStyle w:val="Compact"/>
      </w:pPr>
      <w:r>
        <w:t xml:space="preserve">☐</w:t>
      </w:r>
      <w:r>
        <w:t xml:space="preserve"> </w:t>
      </w:r>
      <w:r>
        <w:rPr>
          <w:b/>
        </w:rPr>
        <w:t xml:space="preserve">First ERCOT dispatch</w:t>
      </w:r>
      <w:r>
        <w:t xml:space="preserve">: During a late-summer peak demand event (August is historically peak), dispatch the initial aggregation through QSE’s market operations team; Gridshare manages device-level response</w:t>
      </w:r>
    </w:p>
    <w:p>
      <w:pPr>
        <w:numPr>
          <w:ilvl w:val="0"/>
          <w:numId w:val="1014"/>
        </w:numPr>
        <w:pStyle w:val="Compact"/>
      </w:pPr>
      <w:r>
        <w:t xml:space="preserve">☐</w:t>
      </w:r>
      <w:r>
        <w:t xml:space="preserve"> </w:t>
      </w:r>
      <w:r>
        <w:rPr>
          <w:b/>
        </w:rPr>
        <w:t xml:space="preserve">Customer communication</w:t>
      </w:r>
      <w:r>
        <w:t xml:space="preserve">: Notify enrolled homeowners of their first VPP event; share dispatch data via Lunar app; begin accruing revenue share for customers</w:t>
      </w:r>
    </w:p>
    <w:p>
      <w:pPr>
        <w:numPr>
          <w:ilvl w:val="0"/>
          <w:numId w:val="1014"/>
        </w:numPr>
        <w:pStyle w:val="Compact"/>
      </w:pPr>
      <w:r>
        <w:t xml:space="preserve">☐</w:t>
      </w:r>
      <w:r>
        <w:t xml:space="preserve"> </w:t>
      </w:r>
      <w:r>
        <w:rPr>
          <w:b/>
        </w:rPr>
        <w:t xml:space="preserve">Issue case study / press release</w:t>
      </w:r>
      <w:r>
        <w:t xml:space="preserve">: Document Lunar’s first Texas ADER dispatch — number of homes, MW dispatched, event duration — for press, investor, and regulatory audiences</w:t>
      </w:r>
    </w:p>
    <w:p>
      <w:pPr>
        <w:numPr>
          <w:ilvl w:val="0"/>
          <w:numId w:val="1014"/>
        </w:numPr>
        <w:pStyle w:val="Compact"/>
      </w:pPr>
      <w:r>
        <w:t xml:space="preserve">☐</w:t>
      </w:r>
      <w:r>
        <w:t xml:space="preserve"> </w:t>
      </w:r>
      <w:r>
        <w:rPr>
          <w:b/>
        </w:rPr>
        <w:t xml:space="preserve">Scale to 500+ systems by end of Month 6</w:t>
      </w:r>
      <w:r>
        <w:t xml:space="preserve">: This represents approximately 10 MW of aggregate dispatchable capacity — above the 15–20 MW break-even threshold for QSE cost absorption, making the program self-sustaining on ancillary service revenue</w:t>
      </w:r>
    </w:p>
    <w:p>
      <w:pPr>
        <w:numPr>
          <w:ilvl w:val="0"/>
          <w:numId w:val="1014"/>
        </w:numPr>
        <w:pStyle w:val="Compact"/>
      </w:pPr>
      <w:r>
        <w:t xml:space="preserve">☐</w:t>
      </w:r>
      <w:r>
        <w:t xml:space="preserve"> </w:t>
      </w:r>
      <w:r>
        <w:rPr>
          <w:b/>
        </w:rPr>
        <w:t xml:space="preserve">Initiate expansion to San Antonio market</w:t>
      </w:r>
      <w:r>
        <w:t xml:space="preserve"> </w:t>
      </w:r>
      <w:r>
        <w:t xml:space="preserve">with new installer partner</w:t>
      </w:r>
    </w:p>
    <w:p>
      <w:pPr>
        <w:pStyle w:val="FirstParagraph"/>
      </w:pPr>
      <w:r>
        <w:rPr>
          <w:b/>
        </w:rPr>
        <w:t xml:space="preserve">Milestone</w:t>
      </w:r>
      <w:r>
        <w:t xml:space="preserve">: ✅</w:t>
      </w:r>
      <w:r>
        <w:t xml:space="preserve"> </w:t>
      </w:r>
      <w:r>
        <w:rPr>
          <w:b/>
        </w:rPr>
        <w:t xml:space="preserve">First Lunar System dispatched in ERCOT wholesale market</w:t>
      </w:r>
      <w:r>
        <w:t xml:space="preserve"> </w:t>
      </w:r>
      <w:r>
        <w:t xml:space="preserve">— hypothesis proven; Texas growth phase begins</w:t>
      </w:r>
    </w:p>
    <w:p>
      <w:r>
        <w:pict>
          <v:rect style="width:0;height:1.5pt" o:hralign="center" o:hrstd="t" o:hr="t"/>
        </w:pict>
      </w:r>
    </w:p>
    <w:p>
      <w:pPr>
        <w:pStyle w:val="Heading2"/>
      </w:pPr>
      <w:bookmarkStart w:id="67" w:name="citations"/>
      <w:r>
        <w:t xml:space="preserve">CITATIONS</w:t>
      </w:r>
      <w:bookmarkEnd w:id="67"/>
    </w:p>
    <w:p>
      <w:pPr>
        <w:pStyle w:val="FirstParagraph"/>
      </w:pPr>
      <w:r>
        <w:t xml:space="preserve">Key primary sources used in this analysis:</w:t>
      </w:r>
    </w:p>
    <w:p>
      <w:pPr>
        <w:numPr>
          <w:ilvl w:val="0"/>
          <w:numId w:val="1015"/>
        </w:numPr>
        <w:pStyle w:val="Compact"/>
      </w:pPr>
      <w:r>
        <w:t xml:space="preserve">ERCOT ADER Pilot Phase 3 Governing Document (June 2025): ercot.com/files/docs/2025/06/16/4.3-Aggregate-Distributed-Energy-Resource-ADER-Pilot-Project-Phase-3.pdf</w:t>
      </w:r>
    </w:p>
    <w:p>
      <w:pPr>
        <w:numPr>
          <w:ilvl w:val="0"/>
          <w:numId w:val="1015"/>
        </w:numPr>
        <w:pStyle w:val="Compact"/>
      </w:pPr>
      <w:r>
        <w:t xml:space="preserve">ERCOT RTC+B Go-Live Confirmation (December 5, 2025): ercot.com/news/release/12052025-ercot-goes-live</w:t>
      </w:r>
    </w:p>
    <w:p>
      <w:pPr>
        <w:numPr>
          <w:ilvl w:val="0"/>
          <w:numId w:val="1015"/>
        </w:numPr>
        <w:pStyle w:val="Compact"/>
      </w:pPr>
      <w:r>
        <w:t xml:space="preserve">ERCOT ADER Monthly Reports (Jan 2026): ercot.com/mktrules/pilots/ader</w:t>
      </w:r>
    </w:p>
    <w:p>
      <w:pPr>
        <w:numPr>
          <w:ilvl w:val="0"/>
          <w:numId w:val="1015"/>
        </w:numPr>
        <w:pStyle w:val="Compact"/>
      </w:pPr>
      <w:r>
        <w:t xml:space="preserve">EnergyChoiceMatters ADER Pilot Expansion Coverage (October 2025)</w:t>
      </w:r>
    </w:p>
    <w:p>
      <w:pPr>
        <w:numPr>
          <w:ilvl w:val="0"/>
          <w:numId w:val="1015"/>
        </w:numPr>
        <w:pStyle w:val="Compact"/>
      </w:pPr>
      <w:r>
        <w:t xml:space="preserve">Canary Media:</w:t>
      </w:r>
      <w:r>
        <w:t xml:space="preserve"> </w:t>
      </w:r>
      <w:r>
        <w:t xml:space="preserve">“</w:t>
      </w:r>
      <w:r>
        <w:t xml:space="preserve">Base Power lands $200M for rapidly growing home-battery business</w:t>
      </w:r>
      <w:r>
        <w:t xml:space="preserve">”</w:t>
      </w:r>
      <w:r>
        <w:t xml:space="preserve"> </w:t>
      </w:r>
      <w:r>
        <w:t xml:space="preserve">(April 2025)</w:t>
      </w:r>
    </w:p>
    <w:p>
      <w:pPr>
        <w:numPr>
          <w:ilvl w:val="0"/>
          <w:numId w:val="1015"/>
        </w:numPr>
        <w:pStyle w:val="Compact"/>
      </w:pPr>
      <w:r>
        <w:t xml:space="preserve">Corporate Knights:</w:t>
      </w:r>
      <w:r>
        <w:t xml:space="preserve"> </w:t>
      </w:r>
      <w:r>
        <w:t xml:space="preserve">“</w:t>
      </w:r>
      <w:r>
        <w:t xml:space="preserve">Texas battery start-up nets $1 billion</w:t>
      </w:r>
      <w:r>
        <w:t xml:space="preserve">”</w:t>
      </w:r>
      <w:r>
        <w:t xml:space="preserve"> </w:t>
      </w:r>
      <w:r>
        <w:t xml:space="preserve">(October 2025)</w:t>
      </w:r>
    </w:p>
    <w:p>
      <w:pPr>
        <w:numPr>
          <w:ilvl w:val="0"/>
          <w:numId w:val="1015"/>
        </w:numPr>
        <w:pStyle w:val="Compact"/>
      </w:pPr>
      <w:r>
        <w:t xml:space="preserve">Dallas Innovates:</w:t>
      </w:r>
      <w:r>
        <w:t xml:space="preserve"> </w:t>
      </w:r>
      <w:r>
        <w:t xml:space="preserve">“</w:t>
      </w:r>
      <w:r>
        <w:t xml:space="preserve">Base Power Expanded to Dallas in August</w:t>
      </w:r>
      <w:r>
        <w:t xml:space="preserve">”</w:t>
      </w:r>
      <w:r>
        <w:t xml:space="preserve"> </w:t>
      </w:r>
      <w:r>
        <w:t xml:space="preserve">(October 2025)</w:t>
      </w:r>
    </w:p>
    <w:p>
      <w:pPr>
        <w:numPr>
          <w:ilvl w:val="0"/>
          <w:numId w:val="1015"/>
        </w:numPr>
        <w:pStyle w:val="Compact"/>
      </w:pPr>
      <w:r>
        <w:t xml:space="preserve">pv magazine USA:</w:t>
      </w:r>
      <w:r>
        <w:t xml:space="preserve"> </w:t>
      </w:r>
      <w:r>
        <w:t xml:space="preserve">“</w:t>
      </w:r>
      <w:r>
        <w:t xml:space="preserve">Lunar Energy raises $232 million</w:t>
      </w:r>
      <w:r>
        <w:t xml:space="preserve">”</w:t>
      </w:r>
      <w:r>
        <w:t xml:space="preserve"> </w:t>
      </w:r>
      <w:r>
        <w:t xml:space="preserve">(February 2026)</w:t>
      </w:r>
    </w:p>
    <w:p>
      <w:pPr>
        <w:numPr>
          <w:ilvl w:val="0"/>
          <w:numId w:val="1015"/>
        </w:numPr>
        <w:pStyle w:val="Compact"/>
      </w:pPr>
      <w:r>
        <w:t xml:space="preserve">Canary Media:</w:t>
      </w:r>
      <w:r>
        <w:t xml:space="preserve"> </w:t>
      </w:r>
      <w:r>
        <w:t xml:space="preserve">“</w:t>
      </w:r>
      <w:r>
        <w:t xml:space="preserve">Lunar Energy lands $232M to boost smart home batteries</w:t>
      </w:r>
      <w:r>
        <w:t xml:space="preserve">”</w:t>
      </w:r>
      <w:r>
        <w:t xml:space="preserve"> </w:t>
      </w:r>
      <w:r>
        <w:t xml:space="preserve">(February 2026)</w:t>
      </w:r>
    </w:p>
    <w:p>
      <w:pPr>
        <w:numPr>
          <w:ilvl w:val="0"/>
          <w:numId w:val="1015"/>
        </w:numPr>
        <w:pStyle w:val="Compact"/>
      </w:pPr>
      <w:r>
        <w:t xml:space="preserve">Latitude Media:</w:t>
      </w:r>
      <w:r>
        <w:t xml:space="preserve"> </w:t>
      </w:r>
      <w:r>
        <w:t xml:space="preserve">“</w:t>
      </w:r>
      <w:r>
        <w:t xml:space="preserve">Home battery startup Lunar Energy aims to quadruple its manufacturing</w:t>
      </w:r>
      <w:r>
        <w:t xml:space="preserve">”</w:t>
      </w:r>
      <w:r>
        <w:t xml:space="preserve"> </w:t>
      </w:r>
      <w:r>
        <w:t xml:space="preserve">(February 2026)</w:t>
      </w:r>
    </w:p>
    <w:p>
      <w:pPr>
        <w:numPr>
          <w:ilvl w:val="0"/>
          <w:numId w:val="1015"/>
        </w:numPr>
        <w:pStyle w:val="Compact"/>
      </w:pPr>
      <w:r>
        <w:t xml:space="preserve">Business Wire:</w:t>
      </w:r>
      <w:r>
        <w:t xml:space="preserve"> </w:t>
      </w:r>
      <w:r>
        <w:t xml:space="preserve">“</w:t>
      </w:r>
      <w:r>
        <w:t xml:space="preserve">Reliant and GoodLeap Expand Access to Battery Rewards</w:t>
      </w:r>
      <w:r>
        <w:t xml:space="preserve">”</w:t>
      </w:r>
      <w:r>
        <w:t xml:space="preserve"> </w:t>
      </w:r>
      <w:r>
        <w:t xml:space="preserve">(November 24, 2025)</w:t>
      </w:r>
    </w:p>
    <w:p>
      <w:pPr>
        <w:numPr>
          <w:ilvl w:val="0"/>
          <w:numId w:val="1015"/>
        </w:numPr>
        <w:pStyle w:val="Compact"/>
      </w:pPr>
      <w:r>
        <w:t xml:space="preserve">Sunrun/NRG Partnership Press Release (December 16, 2025)</w:t>
      </w:r>
    </w:p>
    <w:p>
      <w:pPr>
        <w:numPr>
          <w:ilvl w:val="0"/>
          <w:numId w:val="1015"/>
        </w:numPr>
        <w:pStyle w:val="Compact"/>
      </w:pPr>
      <w:r>
        <w:t xml:space="preserve">Electrek:</w:t>
      </w:r>
      <w:r>
        <w:t xml:space="preserve"> </w:t>
      </w:r>
      <w:r>
        <w:t xml:space="preserve">“</w:t>
      </w:r>
      <w:r>
        <w:t xml:space="preserve">Sunrun + NRG launch a virtual power plant</w:t>
      </w:r>
      <w:r>
        <w:t xml:space="preserve">”</w:t>
      </w:r>
      <w:r>
        <w:t xml:space="preserve"> </w:t>
      </w:r>
      <w:r>
        <w:t xml:space="preserve">(December 16, 2025)</w:t>
      </w:r>
    </w:p>
    <w:p>
      <w:pPr>
        <w:numPr>
          <w:ilvl w:val="0"/>
          <w:numId w:val="1015"/>
        </w:numPr>
        <w:pStyle w:val="Compact"/>
      </w:pPr>
      <w:r>
        <w:t xml:space="preserve">Renewable Energy World:</w:t>
      </w:r>
      <w:r>
        <w:t xml:space="preserve"> </w:t>
      </w:r>
      <w:r>
        <w:t xml:space="preserve">“</w:t>
      </w:r>
      <w:r>
        <w:t xml:space="preserve">In Texas, a new battery VPP takes shape</w:t>
      </w:r>
      <w:r>
        <w:t xml:space="preserve">”</w:t>
      </w:r>
      <w:r>
        <w:t xml:space="preserve"> </w:t>
      </w:r>
      <w:r>
        <w:t xml:space="preserve">(TXU/Sunrun, September 2024)</w:t>
      </w:r>
    </w:p>
    <w:p>
      <w:pPr>
        <w:numPr>
          <w:ilvl w:val="0"/>
          <w:numId w:val="1015"/>
        </w:numPr>
        <w:pStyle w:val="Compact"/>
      </w:pPr>
      <w:r>
        <w:t xml:space="preserve">Energy Storage News:</w:t>
      </w:r>
      <w:r>
        <w:t xml:space="preserve"> </w:t>
      </w:r>
      <w:r>
        <w:t xml:space="preserve">“</w:t>
      </w:r>
      <w:r>
        <w:t xml:space="preserve">Base Power partners with El Paso Electric, Sonnen launches battery-only Texas VPP</w:t>
      </w:r>
      <w:r>
        <w:t xml:space="preserve">”</w:t>
      </w:r>
      <w:r>
        <w:t xml:space="preserve"> </w:t>
      </w:r>
      <w:r>
        <w:t xml:space="preserve">(February 2026)</w:t>
      </w:r>
    </w:p>
    <w:p>
      <w:pPr>
        <w:numPr>
          <w:ilvl w:val="0"/>
          <w:numId w:val="1015"/>
        </w:numPr>
        <w:pStyle w:val="Compact"/>
      </w:pPr>
      <w:r>
        <w:t xml:space="preserve">Sunrun/Tesla Texas ADER Press Release (August 2024)</w:t>
      </w:r>
    </w:p>
    <w:p>
      <w:pPr>
        <w:numPr>
          <w:ilvl w:val="0"/>
          <w:numId w:val="1015"/>
        </w:numPr>
        <w:pStyle w:val="Compact"/>
      </w:pPr>
      <w:r>
        <w:t xml:space="preserve">EticaAG ERCOT ADER Program explainer (November 2025)</w:t>
      </w:r>
    </w:p>
    <w:p>
      <w:pPr>
        <w:numPr>
          <w:ilvl w:val="0"/>
          <w:numId w:val="1015"/>
        </w:numPr>
        <w:pStyle w:val="Compact"/>
      </w:pPr>
      <w:r>
        <w:t xml:space="preserve">EnergyChoiceMatters: ERCOT non-LSE QSE participation (June 2025)</w:t>
      </w:r>
    </w:p>
    <w:p>
      <w:pPr>
        <w:numPr>
          <w:ilvl w:val="0"/>
          <w:numId w:val="1015"/>
        </w:numPr>
        <w:pStyle w:val="Compact"/>
      </w:pPr>
      <w:r>
        <w:t xml:space="preserve">PUCT ADER VPP Launch Announcement (2023): ftp.puc.texas.gov</w:t>
      </w:r>
    </w:p>
    <w:p>
      <w:pPr>
        <w:numPr>
          <w:ilvl w:val="0"/>
          <w:numId w:val="1015"/>
        </w:numPr>
        <w:pStyle w:val="Compact"/>
      </w:pPr>
      <w:r>
        <w:t xml:space="preserve">Utility Dive:</w:t>
      </w:r>
      <w:r>
        <w:t xml:space="preserve"> </w:t>
      </w:r>
      <w:r>
        <w:t xml:space="preserve">“</w:t>
      </w:r>
      <w:r>
        <w:t xml:space="preserve">Texas task force aims to</w:t>
      </w:r>
      <w:r>
        <w:t xml:space="preserve"> </w:t>
      </w:r>
      <w:r>
        <w:t xml:space="preserve">‘</w:t>
      </w:r>
      <w:r>
        <w:t xml:space="preserve">tear down barriers</w:t>
      </w:r>
      <w:r>
        <w:t xml:space="preserve">’</w:t>
      </w:r>
      <w:r>
        <w:t xml:space="preserve">”</w:t>
      </w:r>
      <w:r>
        <w:t xml:space="preserve"> </w:t>
      </w:r>
      <w:r>
        <w:t xml:space="preserve">(December 2024)</w:t>
      </w:r>
    </w:p>
    <w:p>
      <w:pPr>
        <w:numPr>
          <w:ilvl w:val="0"/>
          <w:numId w:val="1015"/>
        </w:numPr>
        <w:pStyle w:val="Compact"/>
      </w:pPr>
      <w:r>
        <w:t xml:space="preserve">REsurety:</w:t>
      </w:r>
      <w:r>
        <w:t xml:space="preserve"> </w:t>
      </w:r>
      <w:r>
        <w:t xml:space="preserve">“</w:t>
      </w:r>
      <w:r>
        <w:t xml:space="preserve">ERCOT’s RTC+B: A Multi-Billion Dollar Upgrade</w:t>
      </w:r>
      <w:r>
        <w:t xml:space="preserve">”</w:t>
      </w:r>
      <w:r>
        <w:t xml:space="preserve"> </w:t>
      </w:r>
      <w:r>
        <w:t xml:space="preserve">(December 2025)</w:t>
      </w:r>
    </w:p>
    <w:p>
      <w:pPr>
        <w:numPr>
          <w:ilvl w:val="0"/>
          <w:numId w:val="1015"/>
        </w:numPr>
        <w:pStyle w:val="Compact"/>
      </w:pPr>
      <w:r>
        <w:t xml:space="preserve">Contrary Research: Base Power Business Breakdown (October 2025)</w:t>
      </w:r>
    </w:p>
    <w:p>
      <w:pPr>
        <w:numPr>
          <w:ilvl w:val="0"/>
          <w:numId w:val="1015"/>
        </w:numPr>
        <w:pStyle w:val="Compact"/>
      </w:pPr>
      <w:r>
        <w:t xml:space="preserve">Sacra: Base Power company profile</w:t>
      </w:r>
    </w:p>
    <w:p>
      <w:pPr>
        <w:numPr>
          <w:ilvl w:val="0"/>
          <w:numId w:val="1015"/>
        </w:numPr>
        <w:pStyle w:val="Compact"/>
      </w:pPr>
      <w:r>
        <w:t xml:space="preserve">ERCOT Load Resource Participation page (ercot.com/services/programs/load/laar)</w:t>
      </w:r>
    </w:p>
    <w:p>
      <w:pPr>
        <w:numPr>
          <w:ilvl w:val="0"/>
          <w:numId w:val="1015"/>
        </w:numPr>
        <w:pStyle w:val="Compact"/>
      </w:pPr>
      <w:r>
        <w:t xml:space="preserve">EnergySage Texas installer marketplace data (2026)</w:t>
      </w:r>
    </w:p>
    <w:p>
      <w:pPr>
        <w:numPr>
          <w:ilvl w:val="0"/>
          <w:numId w:val="1015"/>
        </w:numPr>
        <w:pStyle w:val="Compact"/>
      </w:pPr>
      <w:r>
        <w:t xml:space="preserve">Inven.ai: Top 23 Solar Energy Companies in Texas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2026-02-28T04:44:30Z</dcterms:created>
  <dcterms:modified xsi:type="dcterms:W3CDTF">2026-02-28T04:44:30Z</dcterms:modified>
</cp:coreProperties>
</file>

<file path=docProps/custom.xml><?xml version="1.0" encoding="utf-8"?>
<Properties xmlns="http://schemas.openxmlformats.org/officeDocument/2006/custom-properties" xmlns:vt="http://schemas.openxmlformats.org/officeDocument/2006/docPropsVTypes"/>
</file>