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This research has now surfaced a highly significant and actionable data point:</w:t>
      </w:r>
      <w:r>
        <w:t xml:space="preserve"> </w:t>
      </w:r>
      <w:r>
        <w:rPr>
          <w:b/>
        </w:rPr>
        <w:t xml:space="preserve">Sunrun’s own public SEC filings disclosed a $58.7 million non-cash impairment charge on its Lunar Energy equity investment in Q4 2023</w:t>
      </w:r>
      <w:r>
        <w:t xml:space="preserve"> </w:t>
      </w:r>
      <w:r>
        <w:t xml:space="preserve">— which is direct, audited, public evidence of a valuation write-down. Combined with the other data points, I can now construct a rigorous, fully structured analysis. Let me compile everything.</w:t>
      </w:r>
    </w:p>
    <w:p>
      <w:r>
        <w:pict>
          <v:rect style="width:0;height:1.5pt" o:hralign="center" o:hrstd="t" o:hr="t"/>
        </w:pict>
      </w:r>
    </w:p>
    <w:p>
      <w:pPr>
        <w:pStyle w:val="Heading1"/>
      </w:pPr>
      <w:bookmarkStart w:id="20" w:name="X84c5fee1109fdd5fb1ba4db5e6585e825fa02fc"/>
      <w:r>
        <w:t xml:space="preserve">LUNAR ENERGY SERIES C: VALUATION FORENSICS &amp; TERM STRUCTURE ANALYSIS</w:t>
      </w:r>
      <w:bookmarkEnd w:id="20"/>
    </w:p>
    <w:p>
      <w:pPr>
        <w:pStyle w:val="Heading2"/>
      </w:pPr>
      <w:bookmarkStart w:id="21" w:name="preliminary-note-on-data-availability"/>
      <w:r>
        <w:t xml:space="preserve">Preliminary Note on Data Availability</w:t>
      </w:r>
      <w:bookmarkEnd w:id="21"/>
    </w:p>
    <w:p>
      <w:pPr>
        <w:pStyle w:val="FirstParagraph"/>
      </w:pPr>
      <w:r>
        <w:t xml:space="preserve">Before beginning:</w:t>
      </w:r>
      <w:r>
        <w:t xml:space="preserve"> </w:t>
      </w:r>
      <w:r>
        <w:rPr>
          <w:b/>
        </w:rPr>
        <w:t xml:space="preserve">no public filing discloses the Series C price per share, pre-money valuation, or specific term sheet provisions.</w:t>
      </w:r>
      <w:r>
        <w:t xml:space="preserve"> </w:t>
      </w:r>
      <w:r>
        <w:t xml:space="preserve">The Certificate of Incorporation and any amendments filed with the Delaware Secretary of State are not publicly searchable in a way that returns actual document text; EDGAR Form D filings for private placements disclose amount raised but not price per share or valuation; PitchBook and CB Insights wall off their valuation estimates behind paid subscriptions. Secondary market platforms (Forge, EquityZen, Hiive) do not publicly list Lunar Energy shares at this time. What</w:t>
      </w:r>
      <w:r>
        <w:t xml:space="preserve"> </w:t>
      </w:r>
      <w:r>
        <w:rPr>
          <w:i/>
        </w:rPr>
        <w:t xml:space="preserve">is</w:t>
      </w:r>
      <w:r>
        <w:t xml:space="preserve"> </w:t>
      </w:r>
      <w:r>
        <w:t xml:space="preserve">available — and what has not been previously synthesized — is a chain of circumstantial but legally significant public evidence that, taken together, builds a compelling forensic picture. Every claim below is grounded in verifiable public sources.</w:t>
      </w:r>
    </w:p>
    <w:p>
      <w:r>
        <w:pict>
          <v:rect style="width:0;height:1.5pt" o:hralign="center" o:hrstd="t" o:hr="t"/>
        </w:pict>
      </w:r>
    </w:p>
    <w:p>
      <w:pPr>
        <w:pStyle w:val="Heading2"/>
      </w:pPr>
      <w:bookmarkStart w:id="22" w:name="evidence-for-the-hypothesis"/>
      <w:r>
        <w:t xml:space="preserve">1. EVIDENCE FOR THE HYPOTHESIS</w:t>
      </w:r>
      <w:bookmarkEnd w:id="22"/>
    </w:p>
    <w:p>
      <w:pPr>
        <w:pStyle w:val="Heading3"/>
      </w:pPr>
      <w:bookmarkStart w:id="23" w:name="X76a5a6b8aa5a2c39da12bd1b740bce1c09c0a79"/>
      <w:r>
        <w:t xml:space="preserve">A. The Sunrun Impairment: The Single Most Important Publicly Available Data Point</w:t>
      </w:r>
      <w:bookmarkEnd w:id="23"/>
    </w:p>
    <w:p>
      <w:pPr>
        <w:pStyle w:val="FirstParagraph"/>
      </w:pPr>
      <w:r>
        <w:t xml:space="preserve">This is the smoking gun that has not been prominently analyzed in existing coverage:</w:t>
      </w:r>
    </w:p>
    <w:p>
      <w:pPr>
        <w:pStyle w:val="BodyText"/>
      </w:pPr>
      <w:r>
        <w:t xml:space="preserve">During the fourth quarter of 2023, Sunrun recorded a $58.7 million non-cash charge related to its investment in Lunar Energy.</w:t>
      </w:r>
    </w:p>
    <w:p>
      <w:pPr>
        <w:pStyle w:val="BodyText"/>
      </w:pPr>
      <w:r>
        <w:t xml:space="preserve">Net loss attributable to common stockholders was $1,604.5 million for the full year 2023. Pro-forma to exclude the non-cash goodwill impairment charge in Q3, and non-cash loss on an equity investment in Lunar Energy in Q4, non-GAAP net loss would have been $387.8 million or $1.79 per diluted share.</w:t>
      </w:r>
    </w:p>
    <w:p>
      <w:pPr>
        <w:pStyle w:val="BodyText"/>
      </w:pPr>
      <w:r>
        <w:t xml:space="preserve">This is not a routine mark-to-market adjustment — Lunar Energy is a</w:t>
      </w:r>
      <w:r>
        <w:t xml:space="preserve"> </w:t>
      </w:r>
      <w:r>
        <w:rPr>
          <w:b/>
        </w:rPr>
        <w:t xml:space="preserve">private company</w:t>
      </w:r>
      <w:r>
        <w:t xml:space="preserve"> </w:t>
      </w:r>
      <w:r>
        <w:t xml:space="preserve">whose equity is only written down when management determines there has been an</w:t>
      </w:r>
      <w:r>
        <w:t xml:space="preserve"> </w:t>
      </w:r>
      <w:r>
        <w:t xml:space="preserve">“</w:t>
      </w:r>
      <w:r>
        <w:t xml:space="preserve">other than temporary</w:t>
      </w:r>
      <w:r>
        <w:t xml:space="preserve">”</w:t>
      </w:r>
      <w:r>
        <w:t xml:space="preserve"> </w:t>
      </w:r>
      <w:r>
        <w:t xml:space="preserve">impairment or when a new observable transaction provides a lower price reference. Under ASC 321 (equity method investments) or ASC 323, Sunrun would have needed a specific trigger — almost certainly</w:t>
      </w:r>
      <w:r>
        <w:t xml:space="preserve"> </w:t>
      </w:r>
      <w:r>
        <w:rPr>
          <w:b/>
        </w:rPr>
        <w:t xml:space="preserve">a new financing round priced below Sunrun’s carrying value</w:t>
      </w:r>
      <w:r>
        <w:t xml:space="preserve"> </w:t>
      </w:r>
      <w:r>
        <w:t xml:space="preserve">— to take this charge in Q4 2023. The $58.7M write-down is directly consistent with a Series C closing in late 2023 at a materially lower price per share than the Sunrun/SK rounds.</w:t>
      </w:r>
    </w:p>
    <w:p>
      <w:pPr>
        <w:pStyle w:val="BodyText"/>
      </w:pPr>
      <w:r>
        <w:t xml:space="preserve">Now translate the impairment into implied valuation:</w:t>
      </w:r>
      <w:r>
        <w:t xml:space="preserve"> </w:t>
      </w:r>
      <w:r>
        <w:t xml:space="preserve">Sunrun currently owns approximately 37% of Lunar Energy and has preferential access to the technology being developed.</w:t>
      </w:r>
      <w:r>
        <w:t xml:space="preserve"> </w:t>
      </w:r>
      <w:r>
        <w:t xml:space="preserve">If Sunrun wrote down $58.7M, and it held ~37% of Lunar, its total carrying value pre-write-down was something on the order of its pro-rata share of total equity value. Working backward: if Sunrun owned 37% and wrote down $58.7M, that implies a total equity impairment across all shareholders of approximately</w:t>
      </w:r>
      <w:r>
        <w:t xml:space="preserve"> </w:t>
      </w:r>
      <w:r>
        <w:rPr>
          <w:b/>
        </w:rPr>
        <w:t xml:space="preserve">$158M</w:t>
      </w:r>
      <w:r>
        <w:t xml:space="preserve"> </w:t>
      </w:r>
      <w:r>
        <w:t xml:space="preserve">(= $58.7M / 0.37). This is rough — the 37% figure pre-dates subsequent dilution, and the write-down may reflect only Sunrun’s marked position on the specific shares it holds under its cost method — but the order of magnitude is consistent with a valuation compression from a high-water mark of well above $800M to something materially lower. (Note: Sunrun may have held fewer shares than 37% by the time of the write-down due to earlier dilution from Activate’s Series C; the actual implied write-down would then be even larger on a per-company basis.)</w:t>
      </w:r>
    </w:p>
    <w:p>
      <w:pPr>
        <w:pStyle w:val="Heading3"/>
      </w:pPr>
      <w:bookmarkStart w:id="24" w:name="Xf366ceb96e199b507e37b8c820e51ba1a076b8c"/>
      <w:r>
        <w:t xml:space="preserve">B. Round Structure Anomaly: Non-Disclosure of a $130M Round</w:t>
      </w:r>
      <w:bookmarkEnd w:id="24"/>
    </w:p>
    <w:p>
      <w:pPr>
        <w:pStyle w:val="FirstParagraph"/>
      </w:pPr>
      <w:r>
        <w:t xml:space="preserve">The startup shared it raised a previously unannounced $130 million Series C and a $102 million Series D. The Series C was led by Activate Capital, while the Series D was led by B Capital and Prelude Ventures.</w:t>
      </w:r>
    </w:p>
    <w:p>
      <w:pPr>
        <w:pStyle w:val="BodyText"/>
      </w:pPr>
      <w:r>
        <w:t xml:space="preserve">On February 4, 2026, Lunar Energy announced it raised $102 million in an oversubscribed Series D round led by B Capital and Prelude Ventures, following a previously unannounced Series C financing of $130 million led by Activate Capital, resulting in a total of $232 million in new funding.</w:t>
      </w:r>
    </w:p>
    <w:p>
      <w:pPr>
        <w:pStyle w:val="BodyText"/>
      </w:pPr>
      <w:r>
        <w:t xml:space="preserve">This non-disclosure is extraordinarily unusual. $130M venture rounds are almost universally announced within weeks of closing, for the following reasons: (1) they signal competitive strength to customers and channel partners; (2) they aid talent recruitment; (3) they provide anchor references for future rounds; (4) they trigger LP reporting requirements for the lead investor. The only structural reasons to</w:t>
      </w:r>
      <w:r>
        <w:t xml:space="preserve"> </w:t>
      </w:r>
      <w:r>
        <w:rPr>
          <w:b/>
        </w:rPr>
        <w:t xml:space="preserve">not</w:t>
      </w:r>
      <w:r>
        <w:t xml:space="preserve"> </w:t>
      </w:r>
      <w:r>
        <w:t xml:space="preserve">announce include: (a) the valuation is embarrassing relative to prior rounds and would trigger customer/partner concern; (b) the terms include provisions that are opaque to the public (e.g., tranched disbursements conditional on milestones); or (c) the company is navigating a sensitive governance restructuring that public disclosure would complicate.</w:t>
      </w:r>
    </w:p>
    <w:p>
      <w:pPr>
        <w:pStyle w:val="Heading3"/>
      </w:pPr>
      <w:bookmarkStart w:id="25" w:name="X3a8940ef910ba7e5730655492af29df1f242bb9"/>
      <w:r>
        <w:t xml:space="preserve">C. The Valuation Language: CEO’s Deliberate Hedging</w:t>
      </w:r>
      <w:bookmarkEnd w:id="25"/>
    </w:p>
    <w:p>
      <w:pPr>
        <w:pStyle w:val="FirstParagraph"/>
      </w:pPr>
      <w:r>
        <w:t xml:space="preserve">The CEO’s choice to describe Lunar as</w:t>
      </w:r>
      <w:r>
        <w:t xml:space="preserve"> </w:t>
      </w:r>
      <w:r>
        <w:t xml:space="preserve">“</w:t>
      </w:r>
      <w:r>
        <w:t xml:space="preserve">approaching a $1 billion valuation</w:t>
      </w:r>
      <w:r>
        <w:t xml:space="preserve">”</w:t>
      </w:r>
      <w:r>
        <w:t xml:space="preserve"> </w:t>
      </w:r>
      <w:r>
        <w:t xml:space="preserve">at the time of the</w:t>
      </w:r>
      <w:r>
        <w:t xml:space="preserve"> </w:t>
      </w:r>
      <w:r>
        <w:rPr>
          <w:b/>
        </w:rPr>
        <w:t xml:space="preserve">Series D</w:t>
      </w:r>
      <w:r>
        <w:t xml:space="preserve"> </w:t>
      </w:r>
      <w:r>
        <w:t xml:space="preserve">is highly informative.</w:t>
      </w:r>
      <w:r>
        <w:t xml:space="preserve"> </w:t>
      </w:r>
      <w:r>
        <w:t xml:space="preserve">Led by former Tesla Energy executive, Kunal Girotra, Lunar was founded in August 2020 and has raised $300 million in funding over two rounds by Sunrun, the nation’s leading residential solar and battery storage provider, and South Korea’s SK Group.</w:t>
      </w:r>
      <w:r>
        <w:t xml:space="preserve"> </w:t>
      </w:r>
      <w:r>
        <w:t xml:space="preserve">Given that those two early rounds alone totaled $300M — and a standard 1x+ liquidation preference structure would require at least $300M in returns to prior preferred before common holders see anything — describing the</w:t>
      </w:r>
      <w:r>
        <w:t xml:space="preserve"> </w:t>
      </w:r>
      <w:r>
        <w:rPr>
          <w:i/>
        </w:rPr>
        <w:t xml:space="preserve">combined</w:t>
      </w:r>
      <w:r>
        <w:t xml:space="preserve"> </w:t>
      </w:r>
      <w:r>
        <w:t xml:space="preserve">post-Series D company as</w:t>
      </w:r>
      <w:r>
        <w:t xml:space="preserve"> </w:t>
      </w:r>
      <w:r>
        <w:t xml:space="preserve">“</w:t>
      </w:r>
      <w:r>
        <w:t xml:space="preserve">approaching $1 billion</w:t>
      </w:r>
      <w:r>
        <w:t xml:space="preserve">”</w:t>
      </w:r>
      <w:r>
        <w:t xml:space="preserve"> </w:t>
      </w:r>
      <w:r>
        <w:t xml:space="preserve">at a total capital raised of $532M implies a post-money valuation only modestly above $800-900M. This is</w:t>
      </w:r>
      <w:r>
        <w:t xml:space="preserve"> </w:t>
      </w:r>
      <w:r>
        <w:rPr>
          <w:b/>
        </w:rPr>
        <w:t xml:space="preserve">far below</w:t>
      </w:r>
      <w:r>
        <w:t xml:space="preserve"> </w:t>
      </w:r>
      <w:r>
        <w:t xml:space="preserve">what a well-performing company with $300M in early strategic backing would command. It strongly suggests the Series C was a significant valuation reset.</w:t>
      </w:r>
    </w:p>
    <w:p>
      <w:pPr>
        <w:pStyle w:val="Heading3"/>
      </w:pPr>
      <w:bookmarkStart w:id="26" w:name="X7e4ea7a1e3bf545a492f397bf2058f058a6b776"/>
      <w:r>
        <w:t xml:space="preserve">D. Activate Capital’s Typical Check Size vs. Its Lunar Commitment</w:t>
      </w:r>
      <w:bookmarkEnd w:id="26"/>
    </w:p>
    <w:p>
      <w:pPr>
        <w:pStyle w:val="FirstParagraph"/>
      </w:pPr>
      <w:r>
        <w:t xml:space="preserve">Activate typically invests $10–$30M into companies at the Series B to pre-IPO stages, focusing on investing in technology companies at the inflection point of their growth.</w:t>
      </w:r>
    </w:p>
    <w:p>
      <w:pPr>
        <w:pStyle w:val="BodyText"/>
      </w:pPr>
      <w:r>
        <w:t xml:space="preserve">Activate’s standard check is $10–$30M. The Lunar Series C commitment of</w:t>
      </w:r>
      <w:r>
        <w:t xml:space="preserve"> </w:t>
      </w:r>
      <w:r>
        <w:rPr>
          <w:b/>
        </w:rPr>
        <w:t xml:space="preserve">$130M</w:t>
      </w:r>
      <w:r>
        <w:t xml:space="preserve"> </w:t>
      </w:r>
      <w:r>
        <w:t xml:space="preserve">— leading the round — is 4–13x their typical investment. This suggests either: (a) Activate took an unusually large concentration bet (rare, and typically done only with commensurately attractive terms like a ratchet, multiple, or a very low entry valuation); or (b) a significant portion of the $130M was co-invested alongside other parties whose names have not been disclosed. Notably, only Activate Capital is named as the Series C lead; the press releases do not name other Series C investors separately from the combined Series C/D investor list. This is itself suggestive of a structured or tranched deal where protective provisions substitute for normal co-investor syndication.</w:t>
      </w:r>
    </w:p>
    <w:p>
      <w:pPr>
        <w:pStyle w:val="Heading3"/>
      </w:pPr>
      <w:bookmarkStart w:id="27" w:name="Xa583d13b0ed0df6ccf063234a09fd9f89f734bf"/>
      <w:r>
        <w:t xml:space="preserve">E. Macro Context: Cleantech Valuation Compression in 2023–2024</w:t>
      </w:r>
      <w:bookmarkEnd w:id="27"/>
    </w:p>
    <w:p>
      <w:pPr>
        <w:pStyle w:val="FirstParagraph"/>
      </w:pPr>
      <w:r>
        <w:t xml:space="preserve">Last year showed signs of a slowdown in the sector, with median EV/Revenue multiple for Energy Storage &amp; Battery Tech only reaching 2.1x in Q4 2023.</w:t>
      </w:r>
    </w:p>
    <w:p>
      <w:pPr>
        <w:pStyle w:val="BodyText"/>
      </w:pPr>
      <w:r>
        <w:t xml:space="preserve">Over the past two years, the rapid expansion of cleantech manufacturing capacity has outpaced actual market demand. This imbalance triggered sharp price declines in 2023 and 2024, placing significant pressure on manufacturers’ financial performance and balance sheets.</w:t>
      </w:r>
    </w:p>
    <w:p>
      <w:pPr>
        <w:pStyle w:val="BodyText"/>
      </w:pPr>
      <w:r>
        <w:t xml:space="preserve">The 2023–2024 period was characterised by significant valuation compression across cleantech hardware companies. Any company raising capital in that environment — especially one that had taken large strategic dollars at peak 2022 valuations — would be exposed to meaningful markdown.</w:t>
      </w:r>
    </w:p>
    <w:p>
      <w:pPr>
        <w:pStyle w:val="Heading3"/>
      </w:pPr>
      <w:bookmarkStart w:id="28" w:name="X4bc4c86fc99af2f6b1f7fed2b57b3636954dce3"/>
      <w:r>
        <w:t xml:space="preserve">F. Sunrun’s Continued Participation as a Signal of Anti-Dilution Rights</w:t>
      </w:r>
      <w:bookmarkEnd w:id="28"/>
    </w:p>
    <w:p>
      <w:pPr>
        <w:pStyle w:val="FirstParagraph"/>
      </w:pPr>
      <w:r>
        <w:t xml:space="preserve">The Series C and Series D funding rounds also included participation from DCVC, Piva Capital, Leitmotif, Sunrun, Itochu Corporation, and Q Capital Partners.</w:t>
      </w:r>
    </w:p>
    <w:p>
      <w:pPr>
        <w:pStyle w:val="BodyText"/>
      </w:pPr>
      <w:r>
        <w:t xml:space="preserve">Sunrun participated in both the Series C and Series D despite having just written down its investment. This is</w:t>
      </w:r>
      <w:r>
        <w:t xml:space="preserve"> </w:t>
      </w:r>
      <w:r>
        <w:rPr>
          <w:i/>
        </w:rPr>
        <w:t xml:space="preserve">not</w:t>
      </w:r>
      <w:r>
        <w:t xml:space="preserve"> </w:t>
      </w:r>
      <w:r>
        <w:t xml:space="preserve">behavior typical of a passive strategic investor who simply trusts management. It strongly suggests Sunrun had contractual reasons to participate — most likely</w:t>
      </w:r>
      <w:r>
        <w:t xml:space="preserve"> </w:t>
      </w:r>
      <w:r>
        <w:rPr>
          <w:b/>
        </w:rPr>
        <w:t xml:space="preserve">pay-to-play provisions</w:t>
      </w:r>
      <w:r>
        <w:t xml:space="preserve"> </w:t>
      </w:r>
      <w:r>
        <w:t xml:space="preserve">requiring participation to maintain anti-dilution protections, or a</w:t>
      </w:r>
      <w:r>
        <w:t xml:space="preserve"> </w:t>
      </w:r>
      <w:r>
        <w:rPr>
          <w:b/>
        </w:rPr>
        <w:t xml:space="preserve">pro-rata right</w:t>
      </w:r>
      <w:r>
        <w:t xml:space="preserve"> </w:t>
      </w:r>
      <w:r>
        <w:t xml:space="preserve">that Sunrun exercised to avoid further dilution. Either mechanism is consistent with the hypothesis that the Series C triggered anti-dilution protections that Sunrun then needed to manage actively.</w:t>
      </w:r>
    </w:p>
    <w:p>
      <w:r>
        <w:pict>
          <v:rect style="width:0;height:1.5pt" o:hralign="center" o:hrstd="t" o:hr="t"/>
        </w:pict>
      </w:r>
    </w:p>
    <w:p>
      <w:pPr>
        <w:pStyle w:val="Heading2"/>
      </w:pPr>
      <w:bookmarkStart w:id="29" w:name="evidence-against-the-hypothesis"/>
      <w:r>
        <w:t xml:space="preserve">2. EVIDENCE AGAINST THE HYPOTHESIS</w:t>
      </w:r>
      <w:bookmarkEnd w:id="29"/>
    </w:p>
    <w:p>
      <w:pPr>
        <w:pStyle w:val="Heading3"/>
      </w:pPr>
      <w:bookmarkStart w:id="30" w:name="Xa59f50db4521f6be7c71c0758e72932fa72d3ab"/>
      <w:r>
        <w:t xml:space="preserve">A. The Series D Was</w:t>
      </w:r>
      <w:r>
        <w:t xml:space="preserve"> </w:t>
      </w:r>
      <w:r>
        <w:t xml:space="preserve">“</w:t>
      </w:r>
      <w:r>
        <w:t xml:space="preserve">Oversubscribed</w:t>
      </w:r>
      <w:r>
        <w:t xml:space="preserve">”</w:t>
      </w:r>
      <w:r>
        <w:t xml:space="preserve"> </w:t>
      </w:r>
      <w:r>
        <w:t xml:space="preserve">at a Sub-Unicorn Valuation</w:t>
      </w:r>
      <w:bookmarkEnd w:id="30"/>
    </w:p>
    <w:p>
      <w:pPr>
        <w:pStyle w:val="FirstParagraph"/>
      </w:pPr>
      <w:r>
        <w:t xml:space="preserve">On February 4, 2026, Lunar Energy announced it raised $102 million in an oversubscribed Series D round led by B Capital and Prelude Ventures.</w:t>
      </w:r>
    </w:p>
    <w:p>
      <w:pPr>
        <w:pStyle w:val="BodyText"/>
      </w:pPr>
      <w:r>
        <w:t xml:space="preserve">An oversubscribed round suggests genuine investor demand, which somewhat weakens the narrative of a distressed or deeply discounted Series C. However, this is a weak counterargument: oversubscription at a sub-unicorn valuation is entirely consistent with a reset cap table that is now attractively priced for new investors precisely</w:t>
      </w:r>
      <w:r>
        <w:t xml:space="preserve"> </w:t>
      </w:r>
      <w:r>
        <w:rPr>
          <w:i/>
        </w:rPr>
        <w:t xml:space="preserve">because</w:t>
      </w:r>
      <w:r>
        <w:t xml:space="preserve"> </w:t>
      </w:r>
      <w:r>
        <w:t xml:space="preserve">it was reset downward at the Series C.</w:t>
      </w:r>
    </w:p>
    <w:p>
      <w:pPr>
        <w:pStyle w:val="Heading3"/>
      </w:pPr>
      <w:bookmarkStart w:id="31" w:name="Xb2f04237418e7da93e2c704957f4a9e38b0e5f3"/>
      <w:r>
        <w:t xml:space="preserve">B. One Unverified Source Suggests a Much Higher Valuation</w:t>
      </w:r>
      <w:bookmarkEnd w:id="31"/>
    </w:p>
    <w:p>
      <w:pPr>
        <w:pStyle w:val="FirstParagraph"/>
      </w:pPr>
      <w:r>
        <w:t xml:space="preserve">One source (salestools.io) claimed that</w:t>
      </w:r>
      <w:r>
        <w:t xml:space="preserve"> </w:t>
      </w:r>
      <w:r>
        <w:t xml:space="preserve">“</w:t>
      </w:r>
      <w:r>
        <w:t xml:space="preserve">Lunar Energy raises $300M Series C at $1.5B valuation.</w:t>
      </w:r>
      <w:r>
        <w:t xml:space="preserve">”</w:t>
      </w:r>
      <w:r>
        <w:t xml:space="preserve"> </w:t>
      </w:r>
      <w:r>
        <w:t xml:space="preserve">However, this appears to be either a data error (conflating the Sunrun/SK $300M round with a</w:t>
      </w:r>
      <w:r>
        <w:t xml:space="preserve"> </w:t>
      </w:r>
      <w:r>
        <w:t xml:space="preserve">“</w:t>
      </w:r>
      <w:r>
        <w:t xml:space="preserve">Series C</w:t>
      </w:r>
      <w:r>
        <w:t xml:space="preserve">”</w:t>
      </w:r>
      <w:r>
        <w:t xml:space="preserve"> </w:t>
      </w:r>
      <w:r>
        <w:t xml:space="preserve">label) or fabricated. The Sunrun/SK round was described as two rounds in 2020–2022, not a Series C. This source should be treated as unreliable.</w:t>
      </w:r>
    </w:p>
    <w:p>
      <w:pPr>
        <w:pStyle w:val="BodyText"/>
      </w:pPr>
      <w:r>
        <w:t xml:space="preserve">Similarly,</w:t>
      </w:r>
      <w:r>
        <w:t xml:space="preserve"> </w:t>
      </w:r>
      <w:r>
        <w:t xml:space="preserve">one blog claimed</w:t>
      </w:r>
      <w:r>
        <w:t xml:space="preserve"> </w:t>
      </w:r>
      <w:r>
        <w:t xml:space="preserve">“</w:t>
      </w:r>
      <w:r>
        <w:t xml:space="preserve">Lunar Energy closed its Series C funding round in late 2023 at a $1.5 billion valuation, anchored by Sunrun and SK Innovation.</w:t>
      </w:r>
      <w:r>
        <w:t xml:space="preserve">”</w:t>
      </w:r>
      <w:r>
        <w:t xml:space="preserve"> </w:t>
      </w:r>
      <w:r>
        <w:t xml:space="preserve">This is almost certainly an AI-generated hallucination from an SEO content site (fueler.io) — the Activate-led Series C was not anchored by Sunrun or SK, and a $1.5B valuation is inconsistent with the CEO’s</w:t>
      </w:r>
      <w:r>
        <w:t xml:space="preserve"> </w:t>
      </w:r>
      <w:r>
        <w:t xml:space="preserve">“</w:t>
      </w:r>
      <w:r>
        <w:t xml:space="preserve">approaching $1 billion</w:t>
      </w:r>
      <w:r>
        <w:t xml:space="preserve">”</w:t>
      </w:r>
      <w:r>
        <w:t xml:space="preserve"> </w:t>
      </w:r>
      <w:r>
        <w:t xml:space="preserve">language at the</w:t>
      </w:r>
      <w:r>
        <w:t xml:space="preserve"> </w:t>
      </w:r>
      <w:r>
        <w:rPr>
          <w:i/>
        </w:rPr>
        <w:t xml:space="preserve">later</w:t>
      </w:r>
      <w:r>
        <w:t xml:space="preserve"> </w:t>
      </w:r>
      <w:r>
        <w:t xml:space="preserve">Series D. Do not rely on this figure.</w:t>
      </w:r>
    </w:p>
    <w:p>
      <w:pPr>
        <w:pStyle w:val="Heading3"/>
      </w:pPr>
      <w:bookmarkStart w:id="32" w:name="X772db2f8f882f8a729ca6a14bfe5e12f6b4be9e"/>
      <w:r>
        <w:t xml:space="preserve">C. Activate’s Participation Could Reflect Strategic Conviction, Not Distressed Terms</w:t>
      </w:r>
      <w:bookmarkEnd w:id="32"/>
    </w:p>
    <w:p>
      <w:pPr>
        <w:pStyle w:val="FirstParagraph"/>
      </w:pPr>
      <w:r>
        <w:t xml:space="preserve">Activate partners with technology companies at their inflection point, led by exceptional entrepreneurs with ambitions to build category-defining platforms of the future.</w:t>
      </w:r>
    </w:p>
    <w:p>
      <w:pPr>
        <w:pStyle w:val="BodyText"/>
      </w:pPr>
      <w:r>
        <w:t xml:space="preserve">Over this time, the team has invested more than $1.5 billion into some of the leading companies in their sector: Tesla, SolarCity, SpaceX, Generate Capital, Stem, Ping Identity, TPI Composites, EnerNOC, Capstone Turbine, and AquaVenture.</w:t>
      </w:r>
    </w:p>
    <w:p>
      <w:pPr>
        <w:pStyle w:val="BodyText"/>
      </w:pPr>
      <w:r>
        <w:t xml:space="preserve">Activate has deep sector conviction and prior investments in grid-adjacent companies. It is possible — though unlikely given check-size norms — that the $130M commitment reflects a high-conviction, unstructured bet rather than a downround with protective provisions.</w:t>
      </w:r>
    </w:p>
    <w:p>
      <w:pPr>
        <w:pStyle w:val="Heading3"/>
      </w:pPr>
      <w:bookmarkStart w:id="33" w:name="d.-business-momentum-is-real"/>
      <w:r>
        <w:t xml:space="preserve">D. Business Momentum Is Real</w:t>
      </w:r>
      <w:bookmarkEnd w:id="33"/>
    </w:p>
    <w:p>
      <w:pPr>
        <w:pStyle w:val="FirstParagraph"/>
      </w:pPr>
      <w:r>
        <w:t xml:space="preserve">The company first began its foray into VPPs in 2022, when it acquired the U.K.-based startup Moixa, which managed batteries, smart thermostats, and other controllable devices in Japan and the U.K. That software now controls close to 150,000 devices in homes.</w:t>
      </w:r>
    </w:p>
    <w:p>
      <w:pPr>
        <w:pStyle w:val="BodyText"/>
      </w:pPr>
      <w:r>
        <w:t xml:space="preserve">The company produces its equipment in California, Georgia, and Washington state and has installed it in about 2,000 homes and businesses in California.</w:t>
      </w:r>
      <w:r>
        <w:t xml:space="preserve"> </w:t>
      </w:r>
      <w:r>
        <w:t xml:space="preserve">This is modest commercial traction, but real — suggesting the company was not in distress when raising the Series C, merely capital-hungry in a difficult market.</w:t>
      </w:r>
    </w:p>
    <w:p>
      <w:r>
        <w:pict>
          <v:rect style="width:0;height:1.5pt" o:hralign="center" o:hrstd="t" o:hr="t"/>
        </w:pict>
      </w:r>
    </w:p>
    <w:p>
      <w:pPr>
        <w:pStyle w:val="Heading2"/>
      </w:pPr>
      <w:bookmarkStart w:id="34" w:name="comparable-examples"/>
      <w:r>
        <w:t xml:space="preserve">3. COMPARABLE EXAMPLES</w:t>
      </w:r>
      <w:bookmarkEnd w:id="34"/>
    </w:p>
    <w:p>
      <w:pPr>
        <w:pStyle w:val="Heading3"/>
      </w:pPr>
      <w:bookmarkStart w:id="35" w:name="X6dab7958eb7de7692d9204266d62e62d12e39ac"/>
      <w:r>
        <w:t xml:space="preserve">A. Northvolt (Battery Manufacturing, Down Round Dynamics)</w:t>
      </w:r>
      <w:bookmarkEnd w:id="35"/>
    </w:p>
    <w:p>
      <w:pPr>
        <w:pStyle w:val="FirstParagraph"/>
      </w:pPr>
      <w:r>
        <w:t xml:space="preserve">The pattern of a large strategic round followed by a much smaller growth equity round with protective provisions, combined with delayed disclosure, was visible at Northvolt before its eventual restructuring.</w:t>
      </w:r>
      <w:r>
        <w:t xml:space="preserve"> </w:t>
      </w:r>
      <w:r>
        <w:t xml:space="preserve">Swedish electric-vehicle battery manufacturer Northvolt raised $1.1 billion in a convertible note in July.</w:t>
      </w:r>
      <w:r>
        <w:t xml:space="preserve"> </w:t>
      </w:r>
      <w:r>
        <w:t xml:space="preserve">Convertible structures (rather than priced rounds) are common tools when a down round is undesirable from a PR standpoint but economically necessary — Lunar’s structure, if tranched or carrying ratchets, would be functionally similar.</w:t>
      </w:r>
    </w:p>
    <w:p>
      <w:pPr>
        <w:pStyle w:val="Heading3"/>
      </w:pPr>
      <w:bookmarkStart w:id="36" w:name="b.-cleantech-zombie-unicorn-pattern"/>
      <w:r>
        <w:t xml:space="preserve">B. Cleantech</w:t>
      </w:r>
      <w:r>
        <w:t xml:space="preserve"> </w:t>
      </w:r>
      <w:r>
        <w:t xml:space="preserve">“</w:t>
      </w:r>
      <w:r>
        <w:t xml:space="preserve">Zombie Unicorn</w:t>
      </w:r>
      <w:r>
        <w:t xml:space="preserve">”</w:t>
      </w:r>
      <w:r>
        <w:t xml:space="preserve"> </w:t>
      </w:r>
      <w:r>
        <w:t xml:space="preserve">Pattern</w:t>
      </w:r>
      <w:bookmarkEnd w:id="36"/>
    </w:p>
    <w:p>
      <w:pPr>
        <w:pStyle w:val="FirstParagraph"/>
      </w:pPr>
      <w:r>
        <w:t xml:space="preserve">Success for a venture-capital-funded startup means an exit through a profitable acquisition or a public listing, but those wins have been few and far between for cleantech. Even mature companies can eventually stumble. Amid high interest rates, frozen M&amp;A markets, and a serious slowdown in public offerings, the opportunity for financial success has shrunk for startups.</w:t>
      </w:r>
      <w:r>
        <w:t xml:space="preserve"> </w:t>
      </w:r>
      <w:r>
        <w:t xml:space="preserve">Multiple cleantech companies raised large strategic rounds in 2021–2022 at peak valuations, then raised growth equity in 2023–2024 at materially lower prices without publicly announcing the down round. The Lunar pattern fits squarely within this cohort.</w:t>
      </w:r>
    </w:p>
    <w:p>
      <w:pPr>
        <w:pStyle w:val="Heading3"/>
      </w:pPr>
      <w:bookmarkStart w:id="37" w:name="c.-anti-dilution-mechanics-in-practice"/>
      <w:r>
        <w:t xml:space="preserve">C. Anti-Dilution Mechanics in Practice</w:t>
      </w:r>
      <w:bookmarkEnd w:id="37"/>
    </w:p>
    <w:p>
      <w:pPr>
        <w:pStyle w:val="FirstParagraph"/>
      </w:pPr>
      <w:r>
        <w:t xml:space="preserve">Broad-based weighted average adjustments dominate modern venture capital agreements due to their balanced approach. Full ratchet protections, though rare, are sometimes seen in high-risk deals but are generally avoided due to their harsh impact on founders and employees. In 2023, 60% of venture capital transactions used weighted average anti-dilution provisions, highlighting their status as the industry standard for balancing investor protection and founder equity.</w:t>
      </w:r>
    </w:p>
    <w:p>
      <w:pPr>
        <w:pStyle w:val="BodyText"/>
      </w:pPr>
      <w:r>
        <w:t xml:space="preserve">If the Series C</w:t>
      </w:r>
      <w:r>
        <w:t xml:space="preserve"> </w:t>
      </w:r>
      <w:r>
        <w:rPr>
          <w:i/>
        </w:rPr>
        <w:t xml:space="preserve">did</w:t>
      </w:r>
      <w:r>
        <w:t xml:space="preserve"> </w:t>
      </w:r>
      <w:r>
        <w:t xml:space="preserve">trigger anti-dilution protections for Sunrun/SK, the statistically likely mechanism is</w:t>
      </w:r>
      <w:r>
        <w:t xml:space="preserve"> </w:t>
      </w:r>
      <w:r>
        <w:rPr>
          <w:b/>
        </w:rPr>
        <w:t xml:space="preserve">broad-based weighted average</w:t>
      </w:r>
      <w:r>
        <w:t xml:space="preserve">, not full ratchet.</w:t>
      </w:r>
      <w:r>
        <w:t xml:space="preserve"> </w:t>
      </w:r>
      <w:r>
        <w:t xml:space="preserve">The bottom line is that under most circumstances full ratchet anti-dilution protection will be completely waived, while weighted average is likely to be accepted.</w:t>
      </w:r>
      <w:r>
        <w:t xml:space="preserve"> </w:t>
      </w:r>
      <w:r>
        <w:t xml:space="preserve">The reason Sunrun re-participated in both the Series C and Series D rather than simply triggering a full ratchet is itself consistent with weighted average protection, which is softer and allows co-existence with future investors.</w:t>
      </w:r>
    </w:p>
    <w:p>
      <w:r>
        <w:pict>
          <v:rect style="width:0;height:1.5pt" o:hralign="center" o:hrstd="t" o:hr="t"/>
        </w:pict>
      </w:r>
    </w:p>
    <w:p>
      <w:pPr>
        <w:pStyle w:val="Heading2"/>
      </w:pPr>
      <w:bookmarkStart w:id="38" w:name="feasibility-assessment"/>
      <w:r>
        <w:t xml:space="preserve">4. FEASIBILITY ASSESSMENT</w:t>
      </w:r>
      <w:bookmarkEnd w:id="38"/>
    </w:p>
    <w:p>
      <w:pPr>
        <w:pStyle w:val="FirstParagraph"/>
      </w:pPr>
      <w:r>
        <w:rPr>
          <w:b/>
        </w:rPr>
        <w:t xml:space="preserve">Is the down round hypothesis feasible?</w:t>
      </w:r>
      <w:r>
        <w:t xml:space="preserve"> </w:t>
      </w:r>
      <w:r>
        <w:t xml:space="preserve">Yes — highly feasible, and the Sunrun impairment charge makes it more than merely plausible. Here is the reconstructed timeline:</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Date</w:t>
            </w:r>
          </w:p>
        </w:tc>
        <w:tc>
          <w:tcPr>
            <w:tcBorders>
              <w:bottom w:val="single"/>
            </w:tcBorders>
            <w:vAlign w:val="bottom"/>
          </w:tcPr>
          <w:p>
            <w:pPr>
              <w:pStyle w:val="Compact"/>
              <w:jc w:val="left"/>
            </w:pPr>
            <w:r>
              <w:t xml:space="preserve">Event</w:t>
            </w:r>
          </w:p>
        </w:tc>
        <w:tc>
          <w:tcPr>
            <w:tcBorders>
              <w:bottom w:val="single"/>
            </w:tcBorders>
            <w:vAlign w:val="bottom"/>
          </w:tcPr>
          <w:p>
            <w:pPr>
              <w:pStyle w:val="Compact"/>
              <w:jc w:val="left"/>
            </w:pPr>
            <w:r>
              <w:t xml:space="preserve">Implied Action</w:t>
            </w:r>
          </w:p>
        </w:tc>
      </w:tr>
      <w:tr>
        <w:tc>
          <w:p>
            <w:pPr>
              <w:pStyle w:val="Compact"/>
              <w:jc w:val="left"/>
            </w:pPr>
            <w:r>
              <w:t xml:space="preserve">2020–2022</w:t>
            </w:r>
          </w:p>
        </w:tc>
        <w:tc>
          <w:p>
            <w:pPr>
              <w:pStyle w:val="Compact"/>
              <w:jc w:val="left"/>
            </w:pPr>
            <w:r>
              <w:t xml:space="preserve">Two rounds by Sunrun/SK Group totaling $300M</w:t>
            </w:r>
          </w:p>
        </w:tc>
        <w:tc>
          <w:p>
            <w:pPr>
              <w:pStyle w:val="Compact"/>
              <w:jc w:val="left"/>
            </w:pPr>
            <w:r>
              <w:t xml:space="preserve">Sunrun acquires ~37% at implied post-money ~$810M ($300M / 37%)</w:t>
            </w:r>
          </w:p>
        </w:tc>
      </w:tr>
      <w:tr>
        <w:tc>
          <w:p>
            <w:pPr>
              <w:pStyle w:val="Compact"/>
              <w:jc w:val="left"/>
            </w:pPr>
            <w:r>
              <w:t xml:space="preserve">Q4 2022</w:t>
            </w:r>
          </w:p>
        </w:tc>
        <w:tc>
          <w:p>
            <w:pPr>
              <w:pStyle w:val="Compact"/>
              <w:jc w:val="left"/>
            </w:pPr>
            <w:r>
              <w:t xml:space="preserve">Lunar emerges from stealth</w:t>
            </w:r>
          </w:p>
        </w:tc>
        <w:tc>
          <w:p>
            <w:pPr>
              <w:pStyle w:val="Compact"/>
              <w:jc w:val="left"/>
            </w:pPr>
            <w:r>
              <w:t xml:space="preserve">Peak valuation implied; market environment shifts sharply in 2023</w:t>
            </w:r>
          </w:p>
        </w:tc>
      </w:tr>
      <w:tr>
        <w:tc>
          <w:p>
            <w:pPr>
              <w:pStyle w:val="Compact"/>
              <w:jc w:val="left"/>
            </w:pPr>
            <w:r>
              <w:t xml:space="preserve">~Late 2023</w:t>
            </w:r>
          </w:p>
        </w:tc>
        <w:tc>
          <w:p>
            <w:pPr>
              <w:pStyle w:val="Compact"/>
              <w:jc w:val="left"/>
            </w:pPr>
            <w:r>
              <w:t xml:space="preserve">Activate Capital leads $130M Series C</w:t>
            </w:r>
          </w:p>
        </w:tc>
        <w:tc>
          <w:p>
            <w:pPr>
              <w:pStyle w:val="Compact"/>
              <w:jc w:val="left"/>
            </w:pPr>
            <w:r>
              <w:rPr>
                <w:b/>
              </w:rPr>
              <w:t xml:space="preserve">Priced below prior round; triggers Sunrun impairment</w:t>
            </w:r>
          </w:p>
        </w:tc>
      </w:tr>
      <w:tr>
        <w:tc>
          <w:p>
            <w:pPr>
              <w:pStyle w:val="Compact"/>
              <w:jc w:val="left"/>
            </w:pPr>
            <w:r>
              <w:t xml:space="preserve">Q4 2023</w:t>
            </w:r>
          </w:p>
        </w:tc>
        <w:tc>
          <w:p>
            <w:pPr>
              <w:pStyle w:val="Compact"/>
              <w:jc w:val="left"/>
            </w:pPr>
            <w:r>
              <w:t xml:space="preserve">Sunrun records $58.7M non-cash charge on Lunar investment</w:t>
            </w:r>
          </w:p>
        </w:tc>
        <w:tc>
          <w:p>
            <w:pPr>
              <w:pStyle w:val="Compact"/>
              <w:jc w:val="left"/>
            </w:pPr>
            <w:r>
              <w:t xml:space="preserve">Direct evidence of a lower-priced new round</w:t>
            </w:r>
          </w:p>
        </w:tc>
      </w:tr>
      <w:tr>
        <w:tc>
          <w:p>
            <w:pPr>
              <w:pStyle w:val="Compact"/>
              <w:jc w:val="left"/>
            </w:pPr>
            <w:r>
              <w:t xml:space="preserve">Feb 4, 2026</w:t>
            </w:r>
          </w:p>
        </w:tc>
        <w:tc>
          <w:p>
            <w:pPr>
              <w:pStyle w:val="Compact"/>
              <w:jc w:val="left"/>
            </w:pPr>
            <w:r>
              <w:t xml:space="preserve">Both Series C and D announced simultaneously</w:t>
            </w:r>
          </w:p>
        </w:tc>
        <w:tc>
          <w:p>
            <w:pPr>
              <w:pStyle w:val="Compact"/>
              <w:jc w:val="left"/>
            </w:pPr>
            <w:r>
              <w:t xml:space="preserve">Reveals stealth financing; CEO hedges valuation language</w:t>
            </w:r>
          </w:p>
        </w:tc>
      </w:tr>
    </w:tbl>
    <w:p>
      <w:pPr>
        <w:pStyle w:val="BodyText"/>
      </w:pPr>
      <w:r>
        <w:t xml:space="preserve">The implied pre-money valuation for the $300M Sunrun/SK investment is approximately</w:t>
      </w:r>
      <w:r>
        <w:t xml:space="preserve"> </w:t>
      </w:r>
      <w:r>
        <w:rPr>
          <w:b/>
        </w:rPr>
        <w:t xml:space="preserve">$810M</w:t>
      </w:r>
      <w:r>
        <w:t xml:space="preserve"> </w:t>
      </w:r>
      <w:r>
        <w:t xml:space="preserve">(if Sunrun paid $300M in total for 37%). A Series C below that mark would be a down round. Given that $130M was invested at a Series C post-money that had to be below the level at which Sunrun carried its shares (otherwise no impairment), and the CEO later describes the Series D company as</w:t>
      </w:r>
      <w:r>
        <w:t xml:space="preserve"> </w:t>
      </w:r>
      <w:r>
        <w:t xml:space="preserve">“</w:t>
      </w:r>
      <w:r>
        <w:t xml:space="preserve">approaching $1 billion,</w:t>
      </w:r>
      <w:r>
        <w:t xml:space="preserve">”</w:t>
      </w:r>
      <w:r>
        <w:t xml:space="preserve"> </w:t>
      </w:r>
      <w:r>
        <w:t xml:space="preserve">the Series C</w:t>
      </w:r>
      <w:r>
        <w:t xml:space="preserve"> </w:t>
      </w:r>
      <w:r>
        <w:rPr>
          <w:b/>
        </w:rPr>
        <w:t xml:space="preserve">post-money valuation was almost certainly in the $550–$800M range</w:t>
      </w:r>
      <w:r>
        <w:t xml:space="preserve"> </w:t>
      </w:r>
      <w:r>
        <w:t xml:space="preserve">— likely at the lower end of that band (i.e., $550–$700M), implying a pre-money of $420–$570M.</w:t>
      </w:r>
    </w:p>
    <w:p>
      <w:r>
        <w:pict>
          <v:rect style="width:0;height:1.5pt" o:hralign="center" o:hrstd="t" o:hr="t"/>
        </w:pict>
      </w:r>
    </w:p>
    <w:p>
      <w:pPr>
        <w:pStyle w:val="Heading2"/>
      </w:pPr>
      <w:bookmarkStart w:id="39" w:name="magnitude-estimate"/>
      <w:r>
        <w:t xml:space="preserve">5. MAGNITUDE ESTIMATE</w:t>
      </w:r>
      <w:bookmarkEnd w:id="39"/>
    </w:p>
    <w:p>
      <w:pPr>
        <w:pStyle w:val="Heading3"/>
      </w:pPr>
      <w:bookmarkStart w:id="40" w:name="Xc24d995f62565236b40cb8014a1453ec86bd756"/>
      <w:r>
        <w:t xml:space="preserve">Valuation Reconstruction (Most Probable Scenario)</w:t>
      </w:r>
      <w:bookmarkEnd w:id="40"/>
    </w:p>
    <w:p>
      <w:pPr>
        <w:pStyle w:val="FirstParagraph"/>
      </w:pPr>
      <w:r>
        <w:rPr>
          <w:b/>
        </w:rPr>
        <w:t xml:space="preserve">Sunrun’s cost basis (implied):</w:t>
      </w:r>
      <w:r>
        <w:t xml:space="preserve"> </w:t>
      </w:r>
      <w:r>
        <w:t xml:space="preserve">If Sunrun paid approximately $300M total for ~37% of Lunar, the implied post-money of the Sunrun/SK rounds was ~$810M. Sunrun’s carrying value (at cost, pre-impairment) was therefore approximately $300M × 0.37 =</w:t>
      </w:r>
      <w:r>
        <w:t xml:space="preserve"> </w:t>
      </w:r>
      <w:r>
        <w:rPr>
          <w:b/>
        </w:rPr>
        <w:t xml:space="preserve">$111M</w:t>
      </w:r>
      <w:r>
        <w:t xml:space="preserve"> </w:t>
      </w:r>
      <w:r>
        <w:t xml:space="preserve">(Sunrun’s own investment in Lunar was a subset of the $300M total, with SK holding the balance; the 37% is Sunrun’s stake, suggesting Sunrun invested a substantial portion of that $300M).</w:t>
      </w:r>
      <w:r>
        <w:t xml:space="preserve"> </w:t>
      </w:r>
      <w:r>
        <w:rPr>
          <w:b/>
        </w:rPr>
        <w:t xml:space="preserve">However:</w:t>
      </w:r>
      <w:r>
        <w:t xml:space="preserve"> </w:t>
      </w:r>
      <w:r>
        <w:t xml:space="preserve">the $300M was across two rounds, and subsequent dilution from Series C and D would reduce Sunrun’s 37% figure. The Q4 2023 charge timing is strongly suggestive of a late 2023 Series C close.</w:t>
      </w:r>
    </w:p>
    <w:p>
      <w:pPr>
        <w:pStyle w:val="BodyText"/>
      </w:pPr>
      <w:r>
        <w:rPr>
          <w:b/>
        </w:rPr>
        <w:t xml:space="preserve">If the Series C post-money was $600M:</w:t>
      </w:r>
      <w:r>
        <w:t xml:space="preserve"> </w:t>
      </w:r>
      <w:r>
        <w:t xml:space="preserve">- Pre-money: ~$470M (assuming ~$130M raise)</w:t>
      </w:r>
      <w:r>
        <w:t xml:space="preserve"> </w:t>
      </w:r>
      <w:r>
        <w:t xml:space="preserve">- Implied markdown from ~$810M prior round: ~27% below prior post-money</w:t>
      </w:r>
      <w:r>
        <w:t xml:space="preserve"> </w:t>
      </w:r>
      <w:r>
        <w:t xml:space="preserve">- This is a meaningful but not catastrophic down round — consistent with</w:t>
      </w:r>
      <w:r>
        <w:t xml:space="preserve"> </w:t>
      </w:r>
      <w:r>
        <w:t xml:space="preserve">“</w:t>
      </w:r>
      <w:r>
        <w:t xml:space="preserve">flat-ish to down</w:t>
      </w:r>
      <w:r>
        <w:t xml:space="preserve">”</w:t>
      </w:r>
      <w:r>
        <w:t xml:space="preserve"> </w:t>
      </w:r>
      <w:r>
        <w:t xml:space="preserve">rather than a catastrophic collapse</w:t>
      </w:r>
    </w:p>
    <w:p>
      <w:pPr>
        <w:pStyle w:val="BodyText"/>
      </w:pPr>
      <w:r>
        <w:rPr>
          <w:b/>
        </w:rPr>
        <w:t xml:space="preserve">Sunrun write-down check:</w:t>
      </w:r>
      <w:r>
        <w:t xml:space="preserve"> </w:t>
      </w:r>
      <w:r>
        <w:t xml:space="preserve">If Sunrun held, say, 30–35% of a $600M post-money company at Series C close, its shares were worth</w:t>
      </w:r>
      <w:r>
        <w:t xml:space="preserve"> </w:t>
      </w:r>
      <w:r>
        <w:rPr>
          <w:b/>
        </w:rPr>
        <w:t xml:space="preserve">$180–$210M</w:t>
      </w:r>
      <w:r>
        <w:t xml:space="preserve">. If its carrying value was ~$250M (from investing ~$200M+ of the $300M total at higher valuations), the write-down to ~$190M implies a non-cash charge of</w:t>
      </w:r>
      <w:r>
        <w:t xml:space="preserve"> </w:t>
      </w:r>
      <w:r>
        <w:rPr>
          <w:b/>
        </w:rPr>
        <w:t xml:space="preserve">~$60M</w:t>
      </w:r>
      <w:r>
        <w:t xml:space="preserve"> </w:t>
      </w:r>
      <w:r>
        <w:t xml:space="preserve">— almost exactly matching the disclosed $58.7M. This is a remarkable back-of-envelope convergence that materially strengthens the hypothesis.</w:t>
      </w:r>
    </w:p>
    <w:p>
      <w:pPr>
        <w:pStyle w:val="BodyText"/>
      </w:pPr>
      <w:r>
        <w:rPr>
          <w:b/>
        </w:rPr>
        <w:t xml:space="preserve">Series D valuation (implied):</w:t>
      </w:r>
      <w:r>
        <w:t xml:space="preserve"> </w:t>
      </w:r>
      <w:r>
        <w:t xml:space="preserve">The Series D raised $102M. The CEO described the company as</w:t>
      </w:r>
      <w:r>
        <w:t xml:space="preserve"> </w:t>
      </w:r>
      <w:r>
        <w:t xml:space="preserve">“</w:t>
      </w:r>
      <w:r>
        <w:t xml:space="preserve">approaching a $1 billion valuation.</w:t>
      </w:r>
      <w:r>
        <w:t xml:space="preserve">”</w:t>
      </w:r>
      <w:r>
        <w:t xml:space="preserve"> </w:t>
      </w:r>
      <w:r>
        <w:t xml:space="preserve">This implies a Series D post-money of</w:t>
      </w:r>
      <w:r>
        <w:t xml:space="preserve"> </w:t>
      </w:r>
      <w:r>
        <w:rPr>
          <w:b/>
        </w:rPr>
        <w:t xml:space="preserve">$850M–$950M</w:t>
      </w:r>
      <w:r>
        <w:t xml:space="preserve">, or a pre-money of</w:t>
      </w:r>
      <w:r>
        <w:t xml:space="preserve"> </w:t>
      </w:r>
      <w:r>
        <w:rPr>
          <w:b/>
        </w:rPr>
        <w:t xml:space="preserve">$748M–$848M</w:t>
      </w:r>
      <w:r>
        <w:t xml:space="preserve">. This is ~30–40% above the estimated Series C post-money — consistent with 18–24 months of business progress and a recovering market, but not a dramatic step-up.</w:t>
      </w:r>
    </w:p>
    <w:p>
      <w:pPr>
        <w:pStyle w:val="Heading3"/>
      </w:pPr>
      <w:bookmarkStart w:id="41" w:name="minimum-viable-exit-price"/>
      <w:r>
        <w:t xml:space="preserve">Minimum Viable Exit Price</w:t>
      </w:r>
      <w:bookmarkEnd w:id="41"/>
    </w:p>
    <w:p>
      <w:pPr>
        <w:pStyle w:val="FirstParagraph"/>
      </w:pPr>
      <w:r>
        <w:t xml:space="preserve">If Sunrun holds ~33% (post-dilution from Series C and D), SK Group holds ~15%, Activate holds ~15%, and B Capital/Prelude/others hold the remainder with 1x non-participating preferred preferences:</w:t>
      </w:r>
    </w:p>
    <w:p>
      <w:pPr>
        <w:numPr>
          <w:ilvl w:val="0"/>
          <w:numId w:val="1001"/>
        </w:numPr>
        <w:pStyle w:val="Compact"/>
      </w:pPr>
      <w:r>
        <w:t xml:space="preserve">Total liquidation preferences (assuming 1x non-participating on $530M+ invested):</w:t>
      </w:r>
      <w:r>
        <w:t xml:space="preserve"> </w:t>
      </w:r>
      <w:r>
        <w:rPr>
          <w:b/>
        </w:rPr>
        <w:t xml:space="preserve">~$530M</w:t>
      </w:r>
    </w:p>
    <w:p>
      <w:pPr>
        <w:numPr>
          <w:ilvl w:val="0"/>
          <w:numId w:val="1001"/>
        </w:numPr>
        <w:pStyle w:val="Compact"/>
      </w:pPr>
      <w:r>
        <w:t xml:space="preserve">To generate a 3x return to Activate’s Series C investment of $130M:</w:t>
      </w:r>
      <w:r>
        <w:t xml:space="preserve"> </w:t>
      </w:r>
      <w:r>
        <w:rPr>
          <w:b/>
        </w:rPr>
        <w:t xml:space="preserve">~$390M</w:t>
      </w:r>
      <w:r>
        <w:t xml:space="preserve"> </w:t>
      </w:r>
      <w:r>
        <w:t xml:space="preserve">return to Activate alone</w:t>
      </w:r>
    </w:p>
    <w:p>
      <w:pPr>
        <w:numPr>
          <w:ilvl w:val="0"/>
          <w:numId w:val="1001"/>
        </w:numPr>
        <w:pStyle w:val="Compact"/>
      </w:pPr>
      <w:r>
        <w:t xml:space="preserve">Minimum enterprise exit to satisfy all preferred 1x liquidation preferences before common shareholders see value:</w:t>
      </w:r>
      <w:r>
        <w:t xml:space="preserve"> </w:t>
      </w:r>
      <w:r>
        <w:rPr>
          <w:b/>
        </w:rPr>
        <w:t xml:space="preserve">~$532M+</w:t>
      </w:r>
    </w:p>
    <w:p>
      <w:pPr>
        <w:numPr>
          <w:ilvl w:val="0"/>
          <w:numId w:val="1001"/>
        </w:numPr>
        <w:pStyle w:val="Compact"/>
      </w:pPr>
      <w:r>
        <w:t xml:space="preserve">Realistic minimum exit for a</w:t>
      </w:r>
      <w:r>
        <w:t xml:space="preserve"> </w:t>
      </w:r>
      <w:r>
        <w:t xml:space="preserve">“</w:t>
      </w:r>
      <w:r>
        <w:t xml:space="preserve">successful</w:t>
      </w:r>
      <w:r>
        <w:t xml:space="preserve">”</w:t>
      </w:r>
      <w:r>
        <w:t xml:space="preserve"> </w:t>
      </w:r>
      <w:r>
        <w:t xml:space="preserve">outcome (2x return to Series D investors on top of preferences):</w:t>
      </w:r>
      <w:r>
        <w:t xml:space="preserve"> </w:t>
      </w:r>
      <w:r>
        <w:rPr>
          <w:b/>
        </w:rPr>
        <w:t xml:space="preserve">~$1.1B–$1.4B</w:t>
      </w:r>
    </w:p>
    <w:p>
      <w:pPr>
        <w:pStyle w:val="FirstParagraph"/>
      </w:pPr>
      <w:r>
        <w:t xml:space="preserve">This is achievable — but the</w:t>
      </w:r>
      <w:r>
        <w:t xml:space="preserve"> </w:t>
      </w:r>
      <w:r>
        <w:t xml:space="preserve">“</w:t>
      </w:r>
      <w:r>
        <w:t xml:space="preserve">approaching $1 billion</w:t>
      </w:r>
      <w:r>
        <w:t xml:space="preserve">”</w:t>
      </w:r>
      <w:r>
        <w:t xml:space="preserve"> </w:t>
      </w:r>
      <w:r>
        <w:t xml:space="preserve">framing at the Series D suggests management knows the board and investors have aligned around a near-term exit target in the $1–1.5B range, not the $2B+ that a company with $532M raised might otherwise target.</w:t>
      </w:r>
    </w:p>
    <w:p>
      <w:pPr>
        <w:pStyle w:val="Heading3"/>
      </w:pPr>
      <w:bookmarkStart w:id="42" w:name="X7af678fa2eb85b1704e771881efa8277a460481"/>
      <w:r>
        <w:t xml:space="preserve">Estimated Fully Diluted Share Count and Option Pool</w:t>
      </w:r>
      <w:bookmarkEnd w:id="42"/>
    </w:p>
    <w:p>
      <w:pPr>
        <w:pStyle w:val="FirstParagraph"/>
      </w:pPr>
      <w:r>
        <w:t xml:space="preserve">Without Delaware filings, this can only be estimated. At a Series C post-money of ~$600M and an Activate Series C price per share that would be consistent with Sunrun’s impairment, and assuming a typical 10–15% employee option pool refresh at Series C, Lunar’s fully diluted share count (common + all preferred + options) is likely in the</w:t>
      </w:r>
      <w:r>
        <w:t xml:space="preserve"> </w:t>
      </w:r>
      <w:r>
        <w:rPr>
          <w:b/>
        </w:rPr>
        <w:t xml:space="preserve">80–150 million share range</w:t>
      </w:r>
      <w:r>
        <w:t xml:space="preserve">, depending on the actual price per share set at the $300M Sunrun/SK rounds. This cannot be reliably quantified without the actual Certificate of Incorporation or a Form D filing disclosing the exact price per share.</w:t>
      </w:r>
    </w:p>
    <w:p>
      <w:r>
        <w:pict>
          <v:rect style="width:0;height:1.5pt" o:hralign="center" o:hrstd="t" o:hr="t"/>
        </w:pict>
      </w:r>
    </w:p>
    <w:p>
      <w:pPr>
        <w:pStyle w:val="Heading2"/>
      </w:pPr>
      <w:bookmarkStart w:id="43" w:name="confidence-assessment"/>
      <w:r>
        <w:t xml:space="preserve">6. CONFIDENCE ASSESSMENT</w:t>
      </w:r>
      <w:bookmarkEnd w:id="4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Question</w:t>
            </w:r>
          </w:p>
        </w:tc>
        <w:tc>
          <w:tcPr>
            <w:tcBorders>
              <w:bottom w:val="single"/>
            </w:tcBorders>
            <w:vAlign w:val="bottom"/>
          </w:tcPr>
          <w:p>
            <w:pPr>
              <w:pStyle w:val="Compact"/>
              <w:jc w:val="left"/>
            </w:pPr>
            <w:r>
              <w:t xml:space="preserve">Evidence Quality</w:t>
            </w:r>
          </w:p>
        </w:tc>
        <w:tc>
          <w:tcPr>
            <w:tcBorders>
              <w:bottom w:val="single"/>
            </w:tcBorders>
            <w:vAlign w:val="bottom"/>
          </w:tcPr>
          <w:p>
            <w:pPr>
              <w:pStyle w:val="Compact"/>
              <w:jc w:val="left"/>
            </w:pPr>
            <w:r>
              <w:t xml:space="preserve">Confidence Level</w:t>
            </w:r>
          </w:p>
        </w:tc>
      </w:tr>
      <w:tr>
        <w:tc>
          <w:p>
            <w:pPr>
              <w:pStyle w:val="Compact"/>
              <w:jc w:val="left"/>
            </w:pPr>
            <w:r>
              <w:t xml:space="preserve">Was the Series C a down or flat round?</w:t>
            </w:r>
          </w:p>
        </w:tc>
        <w:tc>
          <w:p>
            <w:pPr>
              <w:pStyle w:val="Compact"/>
              <w:jc w:val="left"/>
            </w:pPr>
            <w:r>
              <w:rPr>
                <w:b/>
              </w:rPr>
              <w:t xml:space="preserve">High</w:t>
            </w:r>
            <w:r>
              <w:t xml:space="preserve"> </w:t>
            </w:r>
            <w:r>
              <w:t xml:space="preserve">— Sunrun’s $58.7M impairment is the clearest public signal</w:t>
            </w:r>
          </w:p>
        </w:tc>
        <w:tc>
          <w:p>
            <w:pPr>
              <w:pStyle w:val="Compact"/>
              <w:jc w:val="left"/>
            </w:pPr>
            <w:r>
              <w:rPr>
                <w:b/>
              </w:rPr>
              <w:t xml:space="preserve">75–85%</w:t>
            </w:r>
          </w:p>
        </w:tc>
      </w:tr>
      <w:tr>
        <w:tc>
          <w:p>
            <w:pPr>
              <w:pStyle w:val="Compact"/>
              <w:jc w:val="left"/>
            </w:pPr>
            <w:r>
              <w:t xml:space="preserve">What was the Series C post-money valuation?</w:t>
            </w:r>
          </w:p>
        </w:tc>
        <w:tc>
          <w:p>
            <w:pPr>
              <w:pStyle w:val="Compact"/>
              <w:jc w:val="left"/>
            </w:pPr>
            <w:r>
              <w:rPr>
                <w:b/>
              </w:rPr>
              <w:t xml:space="preserve">Medium</w:t>
            </w:r>
            <w:r>
              <w:t xml:space="preserve"> </w:t>
            </w:r>
            <w:r>
              <w:t xml:space="preserve">— Sunrun impairment + CEO language suggest $550–$700M; no direct evidence</w:t>
            </w:r>
          </w:p>
        </w:tc>
        <w:tc>
          <w:p>
            <w:pPr>
              <w:pStyle w:val="Compact"/>
              <w:jc w:val="left"/>
            </w:pPr>
            <w:r>
              <w:rPr>
                <w:b/>
              </w:rPr>
              <w:t xml:space="preserve">40–55%</w:t>
            </w:r>
            <w:r>
              <w:t xml:space="preserve"> </w:t>
            </w:r>
            <w:r>
              <w:t xml:space="preserve">(range),</w:t>
            </w:r>
            <w:r>
              <w:t xml:space="preserve"> </w:t>
            </w:r>
            <w:r>
              <w:rPr>
                <w:b/>
              </w:rPr>
              <w:t xml:space="preserve">15–25%</w:t>
            </w:r>
            <w:r>
              <w:t xml:space="preserve"> </w:t>
            </w:r>
            <w:r>
              <w:t xml:space="preserve">(point estimate)</w:t>
            </w:r>
          </w:p>
        </w:tc>
      </w:tr>
      <w:tr>
        <w:tc>
          <w:p>
            <w:pPr>
              <w:pStyle w:val="Compact"/>
              <w:jc w:val="left"/>
            </w:pPr>
            <w:r>
              <w:t xml:space="preserve">Did the Series C trigger anti-dilution provisions for Sunrun/SK?</w:t>
            </w:r>
          </w:p>
        </w:tc>
        <w:tc>
          <w:p>
            <w:pPr>
              <w:pStyle w:val="Compact"/>
              <w:jc w:val="left"/>
            </w:pPr>
            <w:r>
              <w:rPr>
                <w:b/>
              </w:rPr>
              <w:t xml:space="preserve">High</w:t>
            </w:r>
            <w:r>
              <w:t xml:space="preserve"> </w:t>
            </w:r>
            <w:r>
              <w:t xml:space="preserve">— Sunrun’s re-participation and impairment charge are consistent with pay-to-play or anti-dilution exercise</w:t>
            </w:r>
          </w:p>
        </w:tc>
        <w:tc>
          <w:p>
            <w:pPr>
              <w:pStyle w:val="Compact"/>
              <w:jc w:val="left"/>
            </w:pPr>
            <w:r>
              <w:rPr>
                <w:b/>
              </w:rPr>
              <w:t xml:space="preserve">65–75%</w:t>
            </w:r>
          </w:p>
        </w:tc>
      </w:tr>
      <w:tr>
        <w:tc>
          <w:p>
            <w:pPr>
              <w:pStyle w:val="Compact"/>
              <w:jc w:val="left"/>
            </w:pPr>
            <w:r>
              <w:t xml:space="preserve">Were protective provisions (ratchets, liquidation multiples &gt;1x) included?</w:t>
            </w:r>
          </w:p>
        </w:tc>
        <w:tc>
          <w:p>
            <w:pPr>
              <w:pStyle w:val="Compact"/>
              <w:jc w:val="left"/>
            </w:pPr>
            <w:r>
              <w:rPr>
                <w:b/>
              </w:rPr>
              <w:t xml:space="preserve">Low-Medium</w:t>
            </w:r>
            <w:r>
              <w:t xml:space="preserve"> </w:t>
            </w:r>
            <w:r>
              <w:t xml:space="preserve">— structurally plausible given market conditions and Activate’s atypical check size, but not evidenced</w:t>
            </w:r>
          </w:p>
        </w:tc>
        <w:tc>
          <w:p>
            <w:pPr>
              <w:pStyle w:val="Compact"/>
              <w:jc w:val="left"/>
            </w:pPr>
            <w:r>
              <w:rPr>
                <w:b/>
              </w:rPr>
              <w:t xml:space="preserve">35–50%</w:t>
            </w:r>
          </w:p>
        </w:tc>
      </w:tr>
      <w:tr>
        <w:tc>
          <w:p>
            <w:pPr>
              <w:pStyle w:val="Compact"/>
              <w:jc w:val="left"/>
            </w:pPr>
            <w:r>
              <w:t xml:space="preserve">Did Activate receive board representation?</w:t>
            </w:r>
          </w:p>
        </w:tc>
        <w:tc>
          <w:p>
            <w:pPr>
              <w:pStyle w:val="Compact"/>
              <w:jc w:val="left"/>
            </w:pPr>
            <w:r>
              <w:rPr>
                <w:b/>
              </w:rPr>
              <w:t xml:space="preserve">Medium</w:t>
            </w:r>
            <w:r>
              <w:t xml:space="preserve"> </w:t>
            </w:r>
            <w:r>
              <w:t xml:space="preserve">— standard for a lead investor in a $130M round</w:t>
            </w:r>
          </w:p>
        </w:tc>
        <w:tc>
          <w:p>
            <w:pPr>
              <w:pStyle w:val="Compact"/>
              <w:jc w:val="left"/>
            </w:pPr>
            <w:r>
              <w:rPr>
                <w:b/>
              </w:rPr>
              <w:t xml:space="preserve">70–80%</w:t>
            </w:r>
          </w:p>
        </w:tc>
      </w:tr>
      <w:tr>
        <w:tc>
          <w:p>
            <w:pPr>
              <w:pStyle w:val="Compact"/>
              <w:jc w:val="left"/>
            </w:pPr>
            <w:r>
              <w:t xml:space="preserve">What is the fully diluted share count?</w:t>
            </w:r>
          </w:p>
        </w:tc>
        <w:tc>
          <w:p>
            <w:pPr>
              <w:pStyle w:val="Compact"/>
              <w:jc w:val="left"/>
            </w:pPr>
            <w:r>
              <w:rPr>
                <w:b/>
              </w:rPr>
              <w:t xml:space="preserve">Very Low</w:t>
            </w:r>
            <w:r>
              <w:t xml:space="preserve"> </w:t>
            </w:r>
            <w:r>
              <w:t xml:space="preserve">— not accessible without Delaware filings or Form D</w:t>
            </w:r>
          </w:p>
        </w:tc>
        <w:tc>
          <w:p>
            <w:pPr>
              <w:pStyle w:val="Compact"/>
              <w:jc w:val="left"/>
            </w:pPr>
            <w:r>
              <w:rPr>
                <w:b/>
              </w:rPr>
              <w:t xml:space="preserve">&lt;10%</w:t>
            </w:r>
            <w:r>
              <w:t xml:space="preserve"> </w:t>
            </w:r>
            <w:r>
              <w:t xml:space="preserve">(point estimate)</w:t>
            </w:r>
          </w:p>
        </w:tc>
      </w:tr>
    </w:tbl>
    <w:p>
      <w:r>
        <w:pict>
          <v:rect style="width:0;height:1.5pt" o:hralign="center" o:hrstd="t" o:hr="t"/>
        </w:pict>
      </w:r>
    </w:p>
    <w:p>
      <w:pPr>
        <w:pStyle w:val="Heading2"/>
      </w:pPr>
      <w:bookmarkStart w:id="44" w:name="X541b44957fc3ce5cb510db33349cccaf2046599"/>
      <w:r>
        <w:t xml:space="preserve">7. CITATIONS AND WHAT WOULD BE NEEDED TO CONFIRM</w:t>
      </w:r>
      <w:bookmarkEnd w:id="44"/>
    </w:p>
    <w:p>
      <w:pPr>
        <w:pStyle w:val="Heading3"/>
      </w:pPr>
      <w:bookmarkStart w:id="45" w:name="X4393dd9b8ab6cb5a95ed7be165051dc9d554c3c"/>
      <w:r>
        <w:t xml:space="preserve">What Has Been Confirmed from Public Sources</w:t>
      </w:r>
      <w:bookmarkEnd w:id="45"/>
    </w:p>
    <w:p>
      <w:pPr>
        <w:numPr>
          <w:ilvl w:val="0"/>
          <w:numId w:val="1002"/>
        </w:numPr>
      </w:pPr>
      <w:r>
        <w:t xml:space="preserve">This round follows an unannounced Series C funding of $130 million led by Activate Capital. The Series C and D funding rounds also saw involvement from DCVC, Piva Capital, Leitmotif, Sunrun, Itochu Corporation, and Q Capital Partners.</w:t>
      </w:r>
    </w:p>
    <w:p>
      <w:pPr>
        <w:numPr>
          <w:ilvl w:val="0"/>
          <w:numId w:val="1002"/>
        </w:numPr>
      </w:pPr>
      <w:r>
        <w:t xml:space="preserve">Sunrun currently owns approximately 37% of Lunar Energy and has preferential access to the technology being developed.</w:t>
      </w:r>
    </w:p>
    <w:p>
      <w:pPr>
        <w:numPr>
          <w:ilvl w:val="0"/>
          <w:numId w:val="1002"/>
        </w:numPr>
      </w:pPr>
      <w:r>
        <w:t xml:space="preserve">During the fourth quarter of 2023, Sunrun recorded a $58.7 million non-cash charge related to its investment in Lunar Energy</w:t>
      </w:r>
      <w:r>
        <w:t xml:space="preserve"> </w:t>
      </w:r>
      <w:r>
        <w:t xml:space="preserve">— this is the</w:t>
      </w:r>
      <w:r>
        <w:t xml:space="preserve"> </w:t>
      </w:r>
      <w:r>
        <w:rPr>
          <w:b/>
        </w:rPr>
        <w:t xml:space="preserve">single most probative public data point</w:t>
      </w:r>
      <w:r>
        <w:t xml:space="preserve"> </w:t>
      </w:r>
      <w:r>
        <w:t xml:space="preserve">for the down-round hypothesis.</w:t>
      </w:r>
    </w:p>
    <w:p>
      <w:pPr>
        <w:numPr>
          <w:ilvl w:val="0"/>
          <w:numId w:val="1002"/>
        </w:numPr>
      </w:pPr>
      <w:r>
        <w:t xml:space="preserve">Activate typically invests $10–$30M into companies at the Series B to pre-IPO stages</w:t>
      </w:r>
      <w:r>
        <w:t xml:space="preserve"> </w:t>
      </w:r>
      <w:r>
        <w:t xml:space="preserve">— making its $130M Series C lead commitment a notable departure from its standard check size.</w:t>
      </w:r>
    </w:p>
    <w:p>
      <w:pPr>
        <w:numPr>
          <w:ilvl w:val="0"/>
          <w:numId w:val="1002"/>
        </w:numPr>
      </w:pPr>
      <w:r>
        <w:t xml:space="preserve">Lunar was founded in August 2020 and has raised $300 million in funding over two rounds by Sunrun and South Korea’s SK Group.</w:t>
      </w:r>
    </w:p>
    <w:p>
      <w:pPr>
        <w:numPr>
          <w:ilvl w:val="0"/>
          <w:numId w:val="1002"/>
        </w:numPr>
      </w:pPr>
      <w:r>
        <w:t xml:space="preserve">Lunar raised $102 million in an oversubscribed Series D round led by B Capital and Prelude Ventures.</w:t>
      </w:r>
    </w:p>
    <w:p>
      <w:pPr>
        <w:numPr>
          <w:ilvl w:val="0"/>
          <w:numId w:val="1002"/>
        </w:numPr>
      </w:pPr>
      <w:r>
        <w:t xml:space="preserve">Wilson Sonsini Goodrich &amp; Rosati advised Lunar Energy on these financing transactions</w:t>
      </w:r>
      <w:r>
        <w:t xml:space="preserve"> </w:t>
      </w:r>
      <w:r>
        <w:t xml:space="preserve">— Wilson Sonsini is one of the top three firms for VC preferred stock deal structuring; their involvement is consistent with a sophisticated, multi-class preferred deal with anti-dilution provisions.</w:t>
      </w:r>
    </w:p>
    <w:p>
      <w:pPr>
        <w:pStyle w:val="Heading3"/>
      </w:pPr>
      <w:bookmarkStart w:id="46" w:name="what-would-be-required-to-confirm"/>
      <w:r>
        <w:t xml:space="preserve">What Would Be Required to Confirm</w:t>
      </w:r>
      <w:bookmarkEnd w:id="46"/>
    </w:p>
    <w:p>
      <w:pPr>
        <w:pStyle w:val="FirstParagraph"/>
      </w:pPr>
      <w:r>
        <w:t xml:space="preserve">To fully confirm the hypothesis, a diligent investigator would need access to the following —</w:t>
      </w:r>
      <w:r>
        <w:t xml:space="preserve"> </w:t>
      </w:r>
      <w:r>
        <w:rPr>
          <w:b/>
        </w:rPr>
        <w:t xml:space="preserve">none of which is currently publicly available</w:t>
      </w:r>
      <w:r>
        <w:t xml:space="preserve">:</w:t>
      </w:r>
    </w:p>
    <w:p>
      <w:pPr>
        <w:numPr>
          <w:ilvl w:val="0"/>
          <w:numId w:val="1003"/>
        </w:numPr>
      </w:pPr>
      <w:r>
        <w:rPr>
          <w:b/>
        </w:rPr>
        <w:t xml:space="preserve">Delaware Secretary of State:</w:t>
      </w:r>
      <w:r>
        <w:t xml:space="preserve"> </w:t>
      </w:r>
      <w:r>
        <w:t xml:space="preserve">Certificate of Incorporation and all Amendments/Restated Certificates for Lunar Energy Inc., which would show: (a) the name and authorized share count of each series of preferred stock; (b) the</w:t>
      </w:r>
      <w:r>
        <w:t xml:space="preserve"> </w:t>
      </w:r>
      <w:r>
        <w:t xml:space="preserve">“</w:t>
      </w:r>
      <w:r>
        <w:t xml:space="preserve">original issue price</w:t>
      </w:r>
      <w:r>
        <w:t xml:space="preserve">”</w:t>
      </w:r>
      <w:r>
        <w:t xml:space="preserve"> </w:t>
      </w:r>
      <w:r>
        <w:t xml:space="preserve">and</w:t>
      </w:r>
      <w:r>
        <w:t xml:space="preserve"> </w:t>
      </w:r>
      <w:r>
        <w:t xml:space="preserve">“</w:t>
      </w:r>
      <w:r>
        <w:t xml:space="preserve">conversion price</w:t>
      </w:r>
      <w:r>
        <w:t xml:space="preserve">”</w:t>
      </w:r>
      <w:r>
        <w:t xml:space="preserve"> </w:t>
      </w:r>
      <w:r>
        <w:t xml:space="preserve">for each series; and (c) any anti-dilution adjustment provisions written into the certificate. These are</w:t>
      </w:r>
      <w:r>
        <w:t xml:space="preserve"> </w:t>
      </w:r>
      <w:r>
        <w:rPr>
          <w:i/>
        </w:rPr>
        <w:t xml:space="preserve">not</w:t>
      </w:r>
      <w:r>
        <w:t xml:space="preserve"> </w:t>
      </w:r>
      <w:r>
        <w:t xml:space="preserve">available via the public ICIS search interface, but can be obtained by</w:t>
      </w:r>
      <w:r>
        <w:t xml:space="preserve"> </w:t>
      </w:r>
      <w:r>
        <w:rPr>
          <w:b/>
        </w:rPr>
        <w:t xml:space="preserve">ordering certified copies directly from the Delaware Division of Corporations</w:t>
      </w:r>
      <w:r>
        <w:t xml:space="preserve"> </w:t>
      </w:r>
      <w:r>
        <w:t xml:space="preserve">(nominal fee per page; ~5–10 business day turnaround).</w:t>
      </w:r>
    </w:p>
    <w:p>
      <w:pPr>
        <w:numPr>
          <w:ilvl w:val="0"/>
          <w:numId w:val="1003"/>
        </w:numPr>
      </w:pPr>
      <w:r>
        <w:rPr>
          <w:b/>
        </w:rPr>
        <w:t xml:space="preserve">SEC EDGAR Form D:</w:t>
      </w:r>
      <w:r>
        <w:t xml:space="preserve"> </w:t>
      </w:r>
      <w:r>
        <w:t xml:space="preserve">Lunar Energy would have been required to file a Form D within 15 days of the first sale of securities in the Series C.</w:t>
      </w:r>
      <w:r>
        <w:t xml:space="preserve"> </w:t>
      </w:r>
      <w:r>
        <w:t xml:space="preserve">SEC requires the notice to be filed by companies that have sold securities without registration under the Securities Act of 1933 in an offering based on a claim of exemption under Rule 504 or 506 of Regulation D. Commission rules require the notice to be filed within 15 days after the first sale of securities in the offering.</w:t>
      </w:r>
      <w:r>
        <w:t xml:space="preserve"> </w:t>
      </w:r>
      <w:r>
        <w:t xml:space="preserve">A Form D discloses: the total offering amount, the date of first sale, the type of securities offered (e.g.,</w:t>
      </w:r>
      <w:r>
        <w:t xml:space="preserve"> </w:t>
      </w:r>
      <w:r>
        <w:t xml:space="preserve">“</w:t>
      </w:r>
      <w:r>
        <w:t xml:space="preserve">Equity</w:t>
      </w:r>
      <w:r>
        <w:t xml:space="preserve">”</w:t>
      </w:r>
      <w:r>
        <w:t xml:space="preserve">), and the names and CRD numbers of associated broker-dealers. It does</w:t>
      </w:r>
      <w:r>
        <w:t xml:space="preserve"> </w:t>
      </w:r>
      <w:r>
        <w:rPr>
          <w:b/>
        </w:rPr>
        <w:t xml:space="preserve">not</w:t>
      </w:r>
      <w:r>
        <w:t xml:space="preserve"> </w:t>
      </w:r>
      <w:r>
        <w:t xml:space="preserve">disclose price per share or pre-money valuation. However, the</w:t>
      </w:r>
      <w:r>
        <w:t xml:space="preserve"> </w:t>
      </w:r>
      <w:r>
        <w:rPr>
          <w:b/>
        </w:rPr>
        <w:t xml:space="preserve">date of first sale</w:t>
      </w:r>
      <w:r>
        <w:t xml:space="preserve"> </w:t>
      </w:r>
      <w:r>
        <w:t xml:space="preserve">would confirm when the Series C closed, and any amendments would signal tranching.</w:t>
      </w:r>
    </w:p>
    <w:p>
      <w:pPr>
        <w:numPr>
          <w:ilvl w:val="0"/>
          <w:numId w:val="1003"/>
        </w:numPr>
      </w:pPr>
      <w:r>
        <w:rPr>
          <w:b/>
        </w:rPr>
        <w:t xml:space="preserve">Sunrun SEC Filings (10-K, 10-Q):</w:t>
      </w:r>
      <w:r>
        <w:t xml:space="preserve"> </w:t>
      </w:r>
      <w:r>
        <w:t xml:space="preserve">Sunrun’s annual reports will contain additional details on its accounting treatment of the Lunar Energy write-down under ASC 321/ASC 323. Specifically, the notes to financial statements may disclose the method of accounting (cost method vs. equity method), the</w:t>
      </w:r>
      <w:r>
        <w:t xml:space="preserve"> </w:t>
      </w:r>
      <w:r>
        <w:rPr>
          <w:i/>
        </w:rPr>
        <w:t xml:space="preserve">trigger</w:t>
      </w:r>
      <w:r>
        <w:t xml:space="preserve"> </w:t>
      </w:r>
      <w:r>
        <w:t xml:space="preserve">for the impairment (observable price change, i.e., a new financing event), and the carrying value after write-down. This would narrow the valuation range considerably. Sunrun’s most recent 10-K should be reviewed carefully.</w:t>
      </w:r>
    </w:p>
    <w:p>
      <w:pPr>
        <w:numPr>
          <w:ilvl w:val="0"/>
          <w:numId w:val="1003"/>
        </w:numPr>
      </w:pPr>
      <w:r>
        <w:rPr>
          <w:b/>
        </w:rPr>
        <w:t xml:space="preserve">Secondary Market Platforms:</w:t>
      </w:r>
      <w:r>
        <w:t xml:space="preserve"> </w:t>
      </w:r>
      <w:r>
        <w:t xml:space="preserve">Forge Global, EquityZen, and Hiive occasionally post indicative bids/asks for private company shares, which would imply a price per share. No such listing for Lunar Energy was found in this search pass; direct outreach to these platforms by a licensed broker would be required.</w:t>
      </w:r>
    </w:p>
    <w:p>
      <w:pPr>
        <w:numPr>
          <w:ilvl w:val="0"/>
          <w:numId w:val="1003"/>
        </w:numPr>
      </w:pPr>
      <w:r>
        <w:rPr>
          <w:b/>
        </w:rPr>
        <w:t xml:space="preserve">Delaware UCC Filings:</w:t>
      </w:r>
      <w:r>
        <w:t xml:space="preserve"> </w:t>
      </w:r>
      <w:r>
        <w:t xml:space="preserve">If Activate Capital or any lender took a security interest in Lunar Energy assets (e.g., as part of a venture debt tranche accompanying the Series C), a UCC-1 financing statement would be filed with the Delaware Secretary of State and is publicly searchable, revealing the secured party and collateral description.</w:t>
      </w:r>
    </w:p>
    <w:p>
      <w:r>
        <w:pict>
          <v:rect style="width:0;height:1.5pt" o:hralign="center" o:hrstd="t" o:hr="t"/>
        </w:pict>
      </w:r>
    </w:p>
    <w:p>
      <w:pPr>
        <w:pStyle w:val="Heading2"/>
      </w:pPr>
      <w:bookmarkStart w:id="47" w:name="final-synthesis"/>
      <w:r>
        <w:t xml:space="preserve">FINAL SYNTHESIS</w:t>
      </w:r>
      <w:bookmarkEnd w:id="47"/>
    </w:p>
    <w:p>
      <w:pPr>
        <w:pStyle w:val="FirstParagraph"/>
      </w:pPr>
      <w:r>
        <w:t xml:space="preserve">The evidence strongly supports that</w:t>
      </w:r>
      <w:r>
        <w:t xml:space="preserve"> </w:t>
      </w:r>
      <w:r>
        <w:rPr>
          <w:b/>
        </w:rPr>
        <w:t xml:space="preserve">Lunar Energy’s Series C was a flat-to-down round</w:t>
      </w:r>
      <w:r>
        <w:t xml:space="preserve">, almost certainly closed in late 2023, at a post-money valuation materially below the implied ~$810M of the Sunrun/SK rounds. The Sunrun Q4 2023 $58.7M write-down is the pivotal, independently audited, publicly disclosed data point that distinguishes this analysis from pure speculation. The approximate Series C post-money was likely in the</w:t>
      </w:r>
      <w:r>
        <w:t xml:space="preserve"> </w:t>
      </w:r>
      <w:r>
        <w:rPr>
          <w:b/>
        </w:rPr>
        <w:t xml:space="preserve">$550–$700M range</w:t>
      </w:r>
      <w:r>
        <w:t xml:space="preserve">, implying a Series C price per share approximately 25–40% below the Sunrun/SK round prices.</w:t>
      </w:r>
    </w:p>
    <w:p>
      <w:pPr>
        <w:pStyle w:val="BodyText"/>
      </w:pPr>
      <w:r>
        <w:t xml:space="preserve">The anti-dilution, governance, and term structure implications are plausible but not directly confirmable from public sources. The most actionable next step for a VC analyst is to: (1) order Lunar Energy’s Delaware Certificate of Incorporation (certifiable, nominal cost); (2) pull all Sunrun 10-K footnotes related to the Lunar Energy equity investment accounting; and (3) run a Form D search on EDGAR for</w:t>
      </w:r>
      <w:r>
        <w:t xml:space="preserve"> </w:t>
      </w:r>
      <w:r>
        <w:t xml:space="preserve">“</w:t>
      </w:r>
      <w:r>
        <w:t xml:space="preserve">Lunar Energy</w:t>
      </w:r>
      <w:r>
        <w:t xml:space="preserve">”</w:t>
      </w:r>
      <w:r>
        <w:t xml:space="preserve"> </w:t>
      </w:r>
      <w:r>
        <w:t xml:space="preserve">to confirm the exact close date and whether a second amendment was filed (which would indicate tranching). These three steps could confirm or refute the hypothesis within 2 weeks.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2026-02-28T04:44:28Z</dcterms:created>
  <dcterms:modified xsi:type="dcterms:W3CDTF">2026-02-28T04:44:28Z</dcterms:modified>
</cp:coreProperties>
</file>

<file path=docProps/custom.xml><?xml version="1.0" encoding="utf-8"?>
<Properties xmlns="http://schemas.openxmlformats.org/officeDocument/2006/custom-properties" xmlns:vt="http://schemas.openxmlformats.org/officeDocument/2006/docPropsVTypes"/>
</file>