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comprehensive research data. Let me compile the full analysis.</w:t>
      </w:r>
    </w:p>
    <w:p>
      <w:r>
        <w:pict>
          <v:rect style="width:0;height:1.5pt" o:hralign="center" o:hrstd="t" o:hr="t"/>
        </w:pict>
      </w:r>
    </w:p>
    <w:p>
      <w:pPr>
        <w:pStyle w:val="Heading1"/>
      </w:pPr>
      <w:bookmarkStart w:id="20" w:name="X7fde5976a7e87afcb4e615a67f04bd622ea3257"/>
      <w:r>
        <w:t xml:space="preserve">LUNAR ENERGY</w:t>
      </w:r>
      <w:r>
        <w:t xml:space="preserve"> </w:t>
      </w:r>
      <w:r>
        <w:t xml:space="preserve">“</w:t>
      </w:r>
      <w:r>
        <w:t xml:space="preserve">FOR UTILITIES</w:t>
      </w:r>
      <w:r>
        <w:t xml:space="preserve">”</w:t>
      </w:r>
      <w:r>
        <w:t xml:space="preserve"> </w:t>
      </w:r>
      <w:r>
        <w:t xml:space="preserve">WHITE-LABEL PROGRAM: STRATEGIC FEASIBILITY ASSESSMENT</w:t>
      </w:r>
      <w:bookmarkEnd w:id="20"/>
    </w:p>
    <w:p>
      <w:pPr>
        <w:pStyle w:val="Heading3"/>
      </w:pPr>
      <w:bookmarkStart w:id="21" w:name="as-of-february-28-2026"/>
      <w:r>
        <w:rPr>
          <w:i/>
        </w:rPr>
        <w:t xml:space="preserve">As of February 28, 2026</w:t>
      </w:r>
      <w:bookmarkEnd w:id="21"/>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d8b3e1350af9a4a085960767cc2cee7d5fd77c9"/>
      <w:r>
        <w:t xml:space="preserve">A. The Regulatory Wave Is Real, Accelerating, and Multi-State</w:t>
      </w:r>
      <w:bookmarkEnd w:id="23"/>
    </w:p>
    <w:p>
      <w:pPr>
        <w:pStyle w:val="FirstParagraph"/>
      </w:pPr>
      <w:r>
        <w:t xml:space="preserve">The hypothesis rests on a genuine surge in legislatively mandated utility DER procurement. The evidence is now overwhelming that this is not a niche phenomenon but a structural shift across multiple regulatory jurisdictions simultaneously.</w:t>
      </w:r>
    </w:p>
    <w:p>
      <w:pPr>
        <w:pStyle w:val="BodyText"/>
      </w:pPr>
      <w:r>
        <w:rPr>
          <w:b/>
        </w:rPr>
        <w:t xml:space="preserve">Virginia/Dominion Energy:</w:t>
      </w:r>
      <w:r>
        <w:t xml:space="preserve"> </w:t>
      </w:r>
      <w:r>
        <w:t xml:space="preserve">On May 2, Virginia Governor Glenn Youngkin signed the Community Energy Act (HB 2346/SB 1100) into law, which directs Dominion Energy to launch a 450-MW virtual power plant pilot allowing homes and businesses to aggregate solar panels, batteries, EV chargers, and smart devices.</w:t>
      </w:r>
      <w:r>
        <w:t xml:space="preserve"> </w:t>
      </w:r>
      <w:r>
        <w:t xml:space="preserve">Critically for Lunar’s timeline analysis,</w:t>
      </w:r>
      <w:r>
        <w:t xml:space="preserve"> </w:t>
      </w:r>
      <w:r>
        <w:t xml:space="preserve">the pilot must be filed by December 2025 and evaluated by 2028 for possible long-term deployment.</w:t>
      </w:r>
      <w:r>
        <w:t xml:space="preserve"> </w:t>
      </w:r>
      <w:r>
        <w:t xml:space="preserve">Dominion has indeed filed:</w:t>
      </w:r>
      <w:r>
        <w:t xml:space="preserve"> </w:t>
      </w:r>
      <w:r>
        <w:t xml:space="preserve">Dominion Energy Virginia has officially filed its VPP Pilot with the Virginia State Corporation Commission, a major step toward modernizing energy for all Virginians.</w:t>
      </w:r>
    </w:p>
    <w:p>
      <w:pPr>
        <w:pStyle w:val="BodyText"/>
      </w:pPr>
      <w:r>
        <w:t xml:space="preserve">The specific residential battery component is germane:</w:t>
      </w:r>
      <w:r>
        <w:t xml:space="preserve"> </w:t>
      </w:r>
      <w:r>
        <w:t xml:space="preserve">Dominion also needs to craft programs of at least 15 MW incentivizing residential customers to purchase battery storage devices, filing the proposal with the State Corporation Commission by December 1, 2025.</w:t>
      </w:r>
      <w:r>
        <w:t xml:space="preserve"> </w:t>
      </w:r>
      <w:r>
        <w:t xml:space="preserve">However, an important caveat:</w:t>
      </w:r>
      <w:r>
        <w:t xml:space="preserve"> </w:t>
      </w:r>
      <w:r>
        <w:t xml:space="preserve">in August, the SCC approved Dominion’s proposed Non-Residential Distributed Generation Program and Non-Residential Curtailment Program, but because the 2025 law requires Dominion to propose a pilot program, the SCC rejected the proposed Residential Battery Storage Pilot Program and instead referred it to a stakeholder process.</w:t>
      </w:r>
      <w:r>
        <w:t xml:space="preserve"> </w:t>
      </w:r>
      <w:r>
        <w:t xml:space="preserve">This means the residential battery component remains in regulatory flux — creating both an opportunity and a delay for potential Lunar positioning.</w:t>
      </w:r>
    </w:p>
    <w:p>
      <w:pPr>
        <w:pStyle w:val="BodyText"/>
      </w:pPr>
      <w:r>
        <w:t xml:space="preserve">Separately, Dominion issued a large-scale utility storage RFP in October 2025 focused on grid-scale assets:</w:t>
      </w:r>
      <w:r>
        <w:t xml:space="preserve"> </w:t>
      </w:r>
      <w:r>
        <w:t xml:space="preserve">in early October 2025, Dominion Energy Virginia and Dominion Energy North Carolina issued a major Request for Proposals aimed at accelerating their transition toward a cleaner and more resilient energy portfolio, a cornerstone of Dominion’s effort to fulfill the Virginia Clean Economy Act mandate and the IRP calling for 4.5 GW of battery storage by 2040.</w:t>
      </w:r>
      <w:r>
        <w:t xml:space="preserve"> </w:t>
      </w:r>
      <w:r>
        <w:t xml:space="preserve">However,</w:t>
      </w:r>
      <w:r>
        <w:t xml:space="preserve"> </w:t>
      </w:r>
      <w:r>
        <w:t xml:space="preserve">this RFP invites proposals across five project categories — solar, solar co-located with storage, onshore wind, onshore wind co-located with storage, and stand-alone energy storage, with projects divided into utility-scale (&gt;3 MW) and distributed-scale (≤3 MW) proposals.</w:t>
      </w:r>
      <w:r>
        <w:t xml:space="preserve"> </w:t>
      </w:r>
      <w:r>
        <w:t xml:space="preserve">This is a grid-scale energy procurement, not a residential battery program — the two Dominion procurements are distinct.</w:t>
      </w:r>
    </w:p>
    <w:p>
      <w:pPr>
        <w:pStyle w:val="BodyText"/>
      </w:pPr>
      <w:r>
        <w:rPr>
          <w:b/>
        </w:rPr>
        <w:t xml:space="preserve">Minnesota/Xcel Energy:</w:t>
      </w:r>
      <w:r>
        <w:t xml:space="preserve"> </w:t>
      </w:r>
      <w:r>
        <w:t xml:space="preserve">Xcel Energy filed a first-of-its-kind proposal to build out a battery storage network across Minnesota, with its Capacity*Connect proposal to install up to 200 megawatts of battery storage resources at strategic locations on the grid by 2028, deployed in collaboration with Sparkfund.</w:t>
      </w:r>
    </w:p>
    <w:p>
      <w:pPr>
        <w:pStyle w:val="BodyText"/>
      </w:pPr>
      <w:r>
        <w:t xml:space="preserve">Xcel requested the Minnesota Public Utilities Commission approve the program with a budget range of $152 million, based on a minimum procurement of 50 MW, to $430 million if it deploys all 200 MW.</w:t>
      </w:r>
      <w:r>
        <w:t xml:space="preserve"> </w:t>
      </w:r>
      <w:r>
        <w:t xml:space="preserve">However, this program targets commercial and industrial hosts at 1–3 MW per site — it is not a residential battery program and is therefore largely outside Lunar’s residential system sweet spot.</w:t>
      </w:r>
      <w:r>
        <w:t xml:space="preserve"> </w:t>
      </w:r>
      <w:r>
        <w:t xml:space="preserve">Xcel is not planning to aggregate individual residential batteries at homes.</w:t>
      </w:r>
    </w:p>
    <w:p>
      <w:pPr>
        <w:pStyle w:val="BodyText"/>
      </w:pPr>
      <w:r>
        <w:t xml:space="preserve">A critical observation from the Xcel docket:</w:t>
      </w:r>
      <w:r>
        <w:t xml:space="preserve"> </w:t>
      </w:r>
      <w:r>
        <w:t xml:space="preserve">as of January 2026, Sparkfund was in talks with 15 DCP-curious utilities,</w:t>
      </w:r>
      <w:r>
        <w:t xml:space="preserve"> </w:t>
      </w:r>
      <w:r>
        <w:t xml:space="preserve">suggesting that the Capacity*Connect model — utility-owned distributed batteries installed at customer sites — is being actively replicated across the country, a pipeline that could eventually include residential-scale assets.</w:t>
      </w:r>
    </w:p>
    <w:p>
      <w:pPr>
        <w:pStyle w:val="BodyText"/>
      </w:pPr>
      <w:r>
        <w:rPr>
          <w:b/>
        </w:rPr>
        <w:t xml:space="preserve">Illinois (ComEd/Ameren):</w:t>
      </w:r>
      <w:r>
        <w:t xml:space="preserve"> </w:t>
      </w:r>
      <w:r>
        <w:t xml:space="preserve">On January 8, 2026, Illinois Governor J.B. Pritzker signed the Illinois Clean and Reliable Grid Affordability Act (CRGA), the most wide-ranging energy legislation passed in Illinois since the 2021 Climate and Equitable Jobs Act.</w:t>
      </w:r>
      <w:r>
        <w:t xml:space="preserve"> </w:t>
      </w:r>
      <w:r>
        <w:t xml:space="preserve">The storage procurement targets are massive:</w:t>
      </w:r>
      <w:r>
        <w:t xml:space="preserve"> </w:t>
      </w:r>
      <w:r>
        <w:t xml:space="preserve">CRGA creates Illinois’ first energy storage procurement program to procure 3,000 MW of energy storage capacity by 2030.</w:t>
      </w:r>
      <w:r>
        <w:t xml:space="preserve"> </w:t>
      </w:r>
      <w:r>
        <w:t xml:space="preserve">For VPPs specifically:</w:t>
      </w:r>
      <w:r>
        <w:t xml:space="preserve"> </w:t>
      </w:r>
      <w:r>
        <w:t xml:space="preserve">CRGA mandates that each electric public utility must file an initial VPP tariff by June 1, 2026, for ICC approval, establishing a two-stage VPP framework.</w:t>
      </w:r>
      <w:r>
        <w:t xml:space="preserve"> </w:t>
      </w:r>
      <w:r>
        <w:t xml:space="preserve">And for the near-term:</w:t>
      </w:r>
      <w:r>
        <w:t xml:space="preserve"> </w:t>
      </w:r>
      <w:r>
        <w:t xml:space="preserve">Illinois utilities ComEd and Ameren will submit proposals by end of 2027 to create multi-faceted VPP programs, but things will kick off sooner for a</w:t>
      </w:r>
      <w:r>
        <w:t xml:space="preserve"> </w:t>
      </w:r>
      <w:r>
        <w:t xml:space="preserve">“</w:t>
      </w:r>
      <w:r>
        <w:t xml:space="preserve">scheduled dispatch</w:t>
      </w:r>
      <w:r>
        <w:t xml:space="preserve">”</w:t>
      </w:r>
      <w:r>
        <w:t xml:space="preserve"> </w:t>
      </w:r>
      <w:r>
        <w:t xml:space="preserve">offering; under CRGA, the utilities will propose details by June 1, 2026, for an initial program of rebates for battery equipment and compensation for customers providing electricity to the grid at scheduled times of expected peak demand.</w:t>
      </w:r>
    </w:p>
    <w:p>
      <w:pPr>
        <w:pStyle w:val="BodyText"/>
      </w:pPr>
      <w:r>
        <w:rPr>
          <w:b/>
        </w:rPr>
        <w:t xml:space="preserve">Maryland (BG&amp;E):</w:t>
      </w:r>
      <w:r>
        <w:t xml:space="preserve"> </w:t>
      </w:r>
      <w:r>
        <w:t xml:space="preserve">In Maryland, Baltimore Gas and Electric’s DCP proposal awaits regulatory guidelines,</w:t>
      </w:r>
      <w:r>
        <w:t xml:space="preserve"> </w:t>
      </w:r>
      <w:r>
        <w:t xml:space="preserve">adding another mid-Atlantic regulated utility to the pipeline.</w:t>
      </w:r>
    </w:p>
    <w:p>
      <w:pPr>
        <w:pStyle w:val="BodyText"/>
      </w:pPr>
      <w:r>
        <w:rPr>
          <w:b/>
        </w:rPr>
        <w:t xml:space="preserve">New Orleans/Entergy:</w:t>
      </w:r>
      <w:r>
        <w:t xml:space="preserve"> </w:t>
      </w:r>
      <w:r>
        <w:t xml:space="preserve">The New Orleans City Council ordered local utility Entergy New Orleans to design a $28 million battery incentive program for homes, businesses, and nonprofits.</w:t>
      </w:r>
    </w:p>
    <w:p>
      <w:pPr>
        <w:pStyle w:val="BodyText"/>
      </w:pPr>
      <w:r>
        <w:t xml:space="preserve">The Neighborhood Power Plan will install backup batteries tied to solar panels at about 1,500 homes and 150–250 community institutions across the city, creating the largest Virtual Power Plant in the Deep South.</w:t>
      </w:r>
    </w:p>
    <w:p>
      <w:pPr>
        <w:pStyle w:val="BodyText"/>
      </w:pPr>
      <w:r>
        <w:t xml:space="preserve">Entergy has until March 1 to file an implementation plan for the program, which is expected to launch later this year.</w:t>
      </w:r>
      <w:r>
        <w:t xml:space="preserve"> </w:t>
      </w:r>
      <w:r>
        <w:t xml:space="preserve">This is a concrete, funded, near-term residential battery program with a known procurement timeline.</w:t>
      </w:r>
    </w:p>
    <w:p>
      <w:pPr>
        <w:pStyle w:val="BodyText"/>
      </w:pPr>
      <w:r>
        <w:rPr>
          <w:b/>
        </w:rPr>
        <w:t xml:space="preserve">Arizona:</w:t>
      </w:r>
      <w:r>
        <w:t xml:space="preserve"> </w:t>
      </w:r>
      <w:r>
        <w:t xml:space="preserve">Arizona regulators approved Arizona Public Service’s new Bring Your Own Device Battery pilot.</w:t>
      </w:r>
    </w:p>
    <w:p>
      <w:pPr>
        <w:pStyle w:val="BodyText"/>
      </w:pPr>
      <w:r>
        <w:rPr>
          <w:b/>
        </w:rPr>
        <w:t xml:space="preserve">Georgia Power:</w:t>
      </w:r>
      <w:r>
        <w:t xml:space="preserve"> </w:t>
      </w:r>
      <w:r>
        <w:t xml:space="preserve">Georgia regulators approved Georgia Power’s new customer-side solar-plus-storage pilot.</w:t>
      </w:r>
    </w:p>
    <w:p>
      <w:pPr>
        <w:pStyle w:val="BodyText"/>
      </w:pPr>
      <w:r>
        <w:t xml:space="preserve">The SEPA/NCCETC 2025 State Policy Snapshot confirms the breadth:</w:t>
      </w:r>
      <w:r>
        <w:t xml:space="preserve"> </w:t>
      </w:r>
      <w:r>
        <w:t xml:space="preserve">a dozen states are also weighing legislation to launch or expand virtual power plants, including Michigan, Minnesota, New Jersey, and Pennsylvania, in addition to 34 states that have already instituted programs that call on utilities to use smart energy management systems, as well as VPP bills passed in Illinois, Virginia, Maryland, and Colorado.</w:t>
      </w:r>
    </w:p>
    <w:p>
      <w:r>
        <w:pict>
          <v:rect style="width:0;height:1.5pt" o:hralign="center" o:hrstd="t" o:hr="t"/>
        </w:pict>
      </w:r>
    </w:p>
    <w:p>
      <w:pPr>
        <w:pStyle w:val="Heading3"/>
      </w:pPr>
      <w:bookmarkStart w:id="24" w:name="X652fb11d1ed27095f7cf7b593dbc7175fdd6270"/>
      <w:r>
        <w:t xml:space="preserve">B. The FEOC/Domestic Content Tailwind Is Accelerating — and Tightening Into a Moat</w:t>
      </w:r>
      <w:bookmarkEnd w:id="24"/>
    </w:p>
    <w:p>
      <w:pPr>
        <w:pStyle w:val="FirstParagraph"/>
      </w:pPr>
      <w:r>
        <w:t xml:space="preserve">The regulatory environment around domestic content and FEOC compliance has intensified dramatically following the One Big Beautiful Bill Act (OBBBA), signed July 4, 2025:</w:t>
      </w:r>
    </w:p>
    <w:p>
      <w:pPr>
        <w:pStyle w:val="BodyText"/>
      </w:pPr>
      <w:r>
        <w:t xml:space="preserve">On July 4, 2025, President Trump signed into law the One Big Beautiful Bill Act (OBBBA), which significantly changes the clean energy tax credit landscape and introduces accelerated repeal schedules for most renewable energy tax credits, enhances domestic content requirements, eliminates several residential energy incentives, and implements new FEOC restrictions barring certain foreign entities from accessing credits.</w:t>
      </w:r>
    </w:p>
    <w:p>
      <w:pPr>
        <w:pStyle w:val="BodyText"/>
      </w:pPr>
      <w:r>
        <w:t xml:space="preserve">A key part of this effort was the dramatic expansion of FEOC restrictions; under the OBBBA, the restrictions now apply more broadly to many more energy tax provisions, reaching more deeply than the original FEOC rules.</w:t>
      </w:r>
      <w:r>
        <w:t xml:space="preserve"> </w:t>
      </w:r>
      <w:r>
        <w:t xml:space="preserve">“</w:t>
      </w:r>
      <w:r>
        <w:t xml:space="preserve">The new PFE rules are, essentially, FEOC on steroids.</w:t>
      </w:r>
      <w:r>
        <w:t xml:space="preserve">”</w:t>
      </w:r>
    </w:p>
    <w:p>
      <w:pPr>
        <w:pStyle w:val="BodyText"/>
      </w:pPr>
      <w:r>
        <w:t xml:space="preserve">For utilities seeking to claim ITC on utility-owned battery assets:</w:t>
      </w:r>
      <w:r>
        <w:t xml:space="preserve"> </w:t>
      </w:r>
      <w:r>
        <w:t xml:space="preserve">if a qualified facility, energy storage technology, or eligible component receives</w:t>
      </w:r>
      <w:r>
        <w:t xml:space="preserve"> </w:t>
      </w:r>
      <w:r>
        <w:t xml:space="preserve">“</w:t>
      </w:r>
      <w:r>
        <w:t xml:space="preserve">material assistance</w:t>
      </w:r>
      <w:r>
        <w:t xml:space="preserve">”</w:t>
      </w:r>
      <w:r>
        <w:t xml:space="preserve"> </w:t>
      </w:r>
      <w:r>
        <w:t xml:space="preserve">from a prohibited foreign entity, it becomes ineligible for tax credits under Sections 45Y, 48E, or 45X.</w:t>
      </w:r>
    </w:p>
    <w:p>
      <w:pPr>
        <w:pStyle w:val="BodyText"/>
      </w:pPr>
      <w:r>
        <w:t xml:space="preserve">This creates a structural procurement filter that disadvantages Chinese-content batteries — including virtually all Korean and Chinese lithium-ion supply chains with FEOC component exposure. A manufacturer with verified FEOC-free status and domestic content compliance becomes a preferred vendor for tax-credit-seeking utilities. Lunar’s FEOC-free and domestic content status, per the hypothesis, could thus be a decisive differentiator in utility RFPs.</w:t>
      </w:r>
    </w:p>
    <w:p>
      <w:r>
        <w:pict>
          <v:rect style="width:0;height:1.5pt" o:hralign="center" o:hrstd="t" o:hr="t"/>
        </w:pict>
      </w:r>
    </w:p>
    <w:p>
      <w:pPr>
        <w:pStyle w:val="Heading3"/>
      </w:pPr>
      <w:bookmarkStart w:id="25" w:name="Xfc77f9769aeea08b67047187e8fbeacf844a342"/>
      <w:r>
        <w:t xml:space="preserve">C. Comparable Business Models Are Already Proven and Scaling</w:t>
      </w:r>
      <w:bookmarkEnd w:id="25"/>
    </w:p>
    <w:p>
      <w:pPr>
        <w:pStyle w:val="FirstParagraph"/>
      </w:pPr>
      <w:r>
        <w:t xml:space="preserve">The hypothesis does not require Lunar to pioneer a new commercial model. Multiple analogous utility-hardware supplier partnerships now exist at meaningful scale:</w:t>
      </w:r>
    </w:p>
    <w:p>
      <w:pPr>
        <w:pStyle w:val="BodyText"/>
      </w:pPr>
      <w:r>
        <w:rPr>
          <w:b/>
        </w:rPr>
        <w:t xml:space="preserve">Green Mountain Power (Vermont) — Tesla Powerwall Program (Most Mature):</w:t>
      </w:r>
      <w:r>
        <w:t xml:space="preserve"> </w:t>
      </w:r>
      <w:r>
        <w:t xml:space="preserve">GMP began offering home batteries to customers through pilot programs in 2017, as the first utility in the country to partner with Tesla, and in 2020 became the first utility in the country to earn regulatory approval to offer fully tariffed home energy programs.</w:t>
      </w:r>
      <w:r>
        <w:t xml:space="preserve"> </w:t>
      </w:r>
      <w:r>
        <w:t xml:space="preserve">The commercial structure is well-defined:</w:t>
      </w:r>
      <w:r>
        <w:t xml:space="preserve"> </w:t>
      </w:r>
      <w:r>
        <w:t xml:space="preserve">through GMP’s Powerwall program, customers lease 2 batteries from GMP for $55 per month or a one-time payment of $5,500 — both options reflect significant savings because customers share energy during peak use times.</w:t>
      </w:r>
      <w:r>
        <w:t xml:space="preserve"> </w:t>
      </w:r>
      <w:r>
        <w:t xml:space="preserve">Critically for scale benchmarking:</w:t>
      </w:r>
      <w:r>
        <w:t xml:space="preserve"> </w:t>
      </w:r>
      <w:r>
        <w:t xml:space="preserve">on the Tesla Powerwall partnership, the utility would add up to 1,000 Powerwall batteries per year, totaling 5 MW and just over 13 MWh.</w:t>
      </w:r>
      <w:r>
        <w:t xml:space="preserve"> </w:t>
      </w:r>
      <w:r>
        <w:t xml:space="preserve">With</w:t>
      </w:r>
      <w:r>
        <w:t xml:space="preserve"> </w:t>
      </w:r>
      <w:r>
        <w:t xml:space="preserve">the Vermont PUC limiting the number of new customers who could sign up each year to 1,000</w:t>
      </w:r>
      <w:r>
        <w:t xml:space="preserve"> </w:t>
      </w:r>
      <w:r>
        <w:t xml:space="preserve">before removing the cap in August 2023, GMP’s program represents a proven but small-scale ($55/month lease) model capped by Vermont’s utility size (~270,000 customers).</w:t>
      </w:r>
    </w:p>
    <w:p>
      <w:pPr>
        <w:pStyle w:val="BodyText"/>
      </w:pPr>
      <w:r>
        <w:rPr>
          <w:b/>
        </w:rPr>
        <w:t xml:space="preserve">GMP — New Enphase Partnership (November 2025):</w:t>
      </w:r>
      <w:r>
        <w:t xml:space="preserve"> </w:t>
      </w:r>
      <w:r>
        <w:t xml:space="preserve">On November 12, 2025, Enphase Energy and Green Mountain Power announced an expanded partnership that adds Enphase battery systems to GMP’s existing home energy storage lease program.</w:t>
      </w:r>
      <w:r>
        <w:t xml:space="preserve"> </w:t>
      </w:r>
      <w:r>
        <w:t xml:space="preserve">This is significant: GMP is now</w:t>
      </w:r>
      <w:r>
        <w:t xml:space="preserve"> </w:t>
      </w:r>
      <w:r>
        <w:rPr>
          <w:i/>
        </w:rPr>
        <w:t xml:space="preserve">diversifying its hardware suppliers</w:t>
      </w:r>
      <w:r>
        <w:t xml:space="preserve">, moving beyond exclusive Tesla dependency. This establishes the precedent that utilities can and do multi-source residential battery hardware, opening the door for manufacturers like Lunar.</w:t>
      </w:r>
    </w:p>
    <w:p>
      <w:pPr>
        <w:pStyle w:val="BodyText"/>
      </w:pPr>
      <w:r>
        <w:rPr>
          <w:b/>
        </w:rPr>
        <w:t xml:space="preserve">Sonnen — Rocky Mountain Power (Utah) Wattsmart Program:</w:t>
      </w:r>
      <w:r>
        <w:t xml:space="preserve"> </w:t>
      </w:r>
      <w:r>
        <w:t xml:space="preserve">This is the most operationally advanced utility-integrated residential battery program in the US.</w:t>
      </w:r>
      <w:r>
        <w:t xml:space="preserve"> </w:t>
      </w:r>
      <w:r>
        <w:t xml:space="preserve">Sonnen’s most sophisticated US VPP serves Utah, where Rocky Mountain Power customers in the Wattsmart battery program enjoy upfront and ongoing participation incentives; with at least 4,000 enrolled batteries and a 2024 capacity target of 100 MWh, the program is big enough to influence Rocky Mountain Power’s capacity planning and secure distributed resources’ place in future IRPs.</w:t>
      </w:r>
      <w:r>
        <w:t xml:space="preserve"> </w:t>
      </w:r>
      <w:r>
        <w:t xml:space="preserve">The installation velocity is remarkable:</w:t>
      </w:r>
      <w:r>
        <w:t xml:space="preserve"> </w:t>
      </w:r>
      <w:r>
        <w:t xml:space="preserve">ES Solar has already sold an unprecedented 18 MWh of sonnen retrofit energy storage systems via the Go Back initiative, with more than 75% of its 2024 sales via the Go Back Program, resulting in 200–500 sonnen battery installations in Utah each month.</w:t>
      </w:r>
      <w:r>
        <w:t xml:space="preserve"> </w:t>
      </w:r>
      <w:r>
        <w:t xml:space="preserve">At that pace, the Wattsmart/sonnen program alone is delivering 2,400–6,000 units per year through a single installer in a single state — directly confirming the hypothesis’s volume assumption of 10,000–30,000 units/year at scale.</w:t>
      </w:r>
    </w:p>
    <w:p>
      <w:pPr>
        <w:pStyle w:val="BodyText"/>
      </w:pPr>
      <w:r>
        <w:rPr>
          <w:b/>
        </w:rPr>
        <w:t xml:space="preserve">Base Power — El Paso Electric (February 2026, the freshest comparable):</w:t>
      </w:r>
      <w:r>
        <w:t xml:space="preserve"> </w:t>
      </w:r>
      <w:r>
        <w:t xml:space="preserve">This is the most structurally analogous program to the Lunar hypothesis.</w:t>
      </w:r>
      <w:r>
        <w:t xml:space="preserve"> </w:t>
      </w:r>
      <w:r>
        <w:t xml:space="preserve">The program represents a scalable model for utilities seeking to add flexible, customer-sited capacity to the grid on significantly shorter timelines than traditional generation buildout; through the program, Base Power will deploy a fleet of networked residential battery systems in EPE’s Texas service region, providing EPE with dispatchable capacity; the batteries will be installed at qualifying residential customer homes; the partnership was selected through EPE’s Residential Distributed Energy Storage Pilot Program (DESPP), which seeks to bring up to 10 MW of residential energy storage online ahead of the 2026 summer peak.</w:t>
      </w:r>
      <w:r>
        <w:t xml:space="preserve"> </w:t>
      </w:r>
      <w:r>
        <w:t xml:space="preserve">The commercial structure is key:</w:t>
      </w:r>
      <w:r>
        <w:t xml:space="preserve"> </w:t>
      </w:r>
      <w:r>
        <w:t xml:space="preserve">EPE will manage the battery fleet including dispatch, scheduling, and performance monitoring; Base Power is responsible for system installation and ongoing maintenance, enabling EPE to deploy capacity efficiently without adding operational complexity.</w:t>
      </w:r>
      <w:r>
        <w:t xml:space="preserve"> </w:t>
      </w:r>
      <w:r>
        <w:t xml:space="preserve">Importantly, Base Power was founded in 2023 and</w:t>
      </w:r>
      <w:r>
        <w:t xml:space="preserve"> </w:t>
      </w:r>
      <w:r>
        <w:t xml:space="preserve">claims to have deployed more than 100 MWh of residential battery capacity in under two years</w:t>
      </w:r>
      <w:r>
        <w:t xml:space="preserve"> </w:t>
      </w:r>
      <w:r>
        <w:t xml:space="preserve">— yet it successfully won an IOU utility pilot RFP. This directly challenges the assumption that only large established manufacturers can win utility contracts. Note:</w:t>
      </w:r>
      <w:r>
        <w:t xml:space="preserve"> </w:t>
      </w:r>
      <w:r>
        <w:t xml:space="preserve">Base is building its first energy storage and power electronics manufacturing plant</w:t>
      </w:r>
      <w:r>
        <w:t xml:space="preserve"> </w:t>
      </w:r>
      <w:r>
        <w:t xml:space="preserve">— it is vertically integrating, not just assembling.</w:t>
      </w:r>
    </w:p>
    <w:p>
      <w:pPr>
        <w:pStyle w:val="BodyText"/>
      </w:pPr>
      <w:r>
        <w:rPr>
          <w:b/>
        </w:rPr>
        <w:t xml:space="preserve">Sonnen — Texas VPP (SOLRITE, 2025):</w:t>
      </w:r>
      <w:r>
        <w:t xml:space="preserve"> </w:t>
      </w:r>
      <w:r>
        <w:t xml:space="preserve">According to Sonnen, 3,000 Texas customers have enrolled in the program; with the new battery-only option, Solrite and sonnen aim to add up to 10,000 new customers by the end of 2026, adding 600 MWh of energy to Texas’s grid.</w:t>
      </w:r>
    </w:p>
    <w:p>
      <w:pPr>
        <w:pStyle w:val="BodyText"/>
      </w:pPr>
      <w:r>
        <w:rPr>
          <w:b/>
        </w:rPr>
        <w:t xml:space="preserve">New Orleans/Entergy (December 2025):</w:t>
      </w:r>
      <w:r>
        <w:t xml:space="preserve"> </w:t>
      </w:r>
      <w:r>
        <w:t xml:space="preserve">The New Orleans, Louisiana City Council voted unanimously to approve a $28 million VPP program; on December 16, New Orleans mayor-elect Helena Moreno announced the start of the program, which will deploy</w:t>
      </w:r>
      <w:r>
        <w:t xml:space="preserve"> </w:t>
      </w:r>
      <w:r>
        <w:t xml:space="preserve">“</w:t>
      </w:r>
      <w:r>
        <w:t xml:space="preserve">hundreds</w:t>
      </w:r>
      <w:r>
        <w:t xml:space="preserve">”</w:t>
      </w:r>
      <w:r>
        <w:t xml:space="preserve"> </w:t>
      </w:r>
      <w:r>
        <w:t xml:space="preserve">of solar-plus-energy storage systems throughout the city.</w:t>
      </w:r>
      <w:r>
        <w:t xml:space="preserve"> </w:t>
      </w:r>
      <w:r>
        <w:t xml:space="preserve">This program will require a hardware procurement process in 2026 — an identifiable near-term RFP opportunity.</w:t>
      </w:r>
    </w:p>
    <w:p>
      <w:r>
        <w:pict>
          <v:rect style="width:0;height:1.5pt" o:hralign="center" o:hrstd="t" o:hr="t"/>
        </w:pict>
      </w:r>
    </w:p>
    <w:p>
      <w:pPr>
        <w:pStyle w:val="Heading3"/>
      </w:pPr>
      <w:bookmarkStart w:id="26" w:name="X8f200f48debe1120dd46aed87db072dbe3aebf5"/>
      <w:r>
        <w:t xml:space="preserve">D. The Dominion Partnership Model Explicitly Supports Third-Party Hardware/Software Vendors</w:t>
      </w:r>
      <w:bookmarkEnd w:id="26"/>
    </w:p>
    <w:p>
      <w:pPr>
        <w:pStyle w:val="FirstParagraph"/>
      </w:pPr>
      <w:r>
        <w:t xml:space="preserve">Dominion affirms:</w:t>
      </w:r>
      <w:r>
        <w:t xml:space="preserve"> </w:t>
      </w:r>
      <w:r>
        <w:t xml:space="preserve">“</w:t>
      </w:r>
      <w:r>
        <w:t xml:space="preserve">We partner with trusted third-party implementation vendors who may provide hardware, software, and customer support to help make the VPP successful.</w:t>
      </w:r>
      <w:r>
        <w:t xml:space="preserve">”</w:t>
      </w:r>
      <w:r>
        <w:t xml:space="preserve"> </w:t>
      </w:r>
      <w:r>
        <w:t xml:space="preserve">This is a direct statement of openness to the kind of vendor relationship Lunar would seek.</w:t>
      </w:r>
    </w:p>
    <w:p>
      <w:r>
        <w:pict>
          <v:rect style="width:0;height:1.5pt" o:hralign="center" o:hrstd="t" o:hr="t"/>
        </w:pict>
      </w:r>
    </w:p>
    <w:p>
      <w:pPr>
        <w:pStyle w:val="Heading2"/>
      </w:pPr>
      <w:bookmarkStart w:id="27" w:name="evidence-against-the-hypothesis"/>
      <w:r>
        <w:t xml:space="preserve">2. EVIDENCE AGAINST THE HYPOTHESIS</w:t>
      </w:r>
      <w:bookmarkEnd w:id="27"/>
    </w:p>
    <w:p>
      <w:pPr>
        <w:pStyle w:val="Heading3"/>
      </w:pPr>
      <w:bookmarkStart w:id="28" w:name="X930125c6e0b605d77a13b8cf805bc8441e8e086"/>
      <w:r>
        <w:t xml:space="preserve">A. Virginia’s 450 MW Is Not a Residential Battery Hardware RFP — It’s Mostly Aggregated Customer-Owned DERs</w:t>
      </w:r>
      <w:bookmarkEnd w:id="28"/>
    </w:p>
    <w:p>
      <w:pPr>
        <w:pStyle w:val="FirstParagraph"/>
      </w:pPr>
      <w:r>
        <w:t xml:space="preserve">The most important caveat to the Virginia math is definitional. The 450 MW VPP pilot is primarily designed to aggregate</w:t>
      </w:r>
      <w:r>
        <w:t xml:space="preserve"> </w:t>
      </w:r>
      <w:r>
        <w:rPr>
          <w:i/>
        </w:rPr>
        <w:t xml:space="preserve">customer-owned</w:t>
      </w:r>
      <w:r>
        <w:t xml:space="preserve"> </w:t>
      </w:r>
      <w:r>
        <w:t xml:space="preserve">distributed assets — existing solar, smart thermostats, EV chargers, and batteries — into a dispatch-controlled virtual power plant.</w:t>
      </w:r>
      <w:r>
        <w:t xml:space="preserve"> </w:t>
      </w:r>
      <w:r>
        <w:t xml:space="preserve">The program calls for 450 MW to</w:t>
      </w:r>
      <w:r>
        <w:t xml:space="preserve"> </w:t>
      </w:r>
      <w:r>
        <w:t xml:space="preserve">“</w:t>
      </w:r>
      <w:r>
        <w:t xml:space="preserve">optimize demand</w:t>
      </w:r>
      <w:r>
        <w:t xml:space="preserve">”</w:t>
      </w:r>
      <w:r>
        <w:t xml:space="preserve"> </w:t>
      </w:r>
      <w:r>
        <w:t xml:space="preserve">with distributed energy resources, mainly batteries but also smart thermostats, electric vehicle charging, and non-battery storage.</w:t>
      </w:r>
      <w:r>
        <w:t xml:space="preserve"> </w:t>
      </w:r>
      <w:r>
        <w:t xml:space="preserve">The mandated residential battery incentive is a floor of just 15 MW, not 450 MW.</w:t>
      </w:r>
      <w:r>
        <w:t xml:space="preserve"> </w:t>
      </w:r>
      <w:r>
        <w:t xml:space="preserve">The proposal must include incentives for at least 15 MW of residential batteries.</w:t>
      </w:r>
    </w:p>
    <w:p>
      <w:pPr>
        <w:pStyle w:val="BodyText"/>
      </w:pPr>
      <w:r>
        <w:t xml:space="preserve">This means the</w:t>
      </w:r>
      <w:r>
        <w:t xml:space="preserve"> </w:t>
      </w:r>
      <w:r>
        <w:t xml:space="preserve">“</w:t>
      </w:r>
      <w:r>
        <w:t xml:space="preserve">22,500 Lunar units</w:t>
      </w:r>
      <w:r>
        <w:t xml:space="preserve">”</w:t>
      </w:r>
      <w:r>
        <w:t xml:space="preserve"> </w:t>
      </w:r>
      <w:r>
        <w:t xml:space="preserve">math in the hypothesis requires a utility-ownership model (Dominion buying Lunar systems and installing them in customer homes at its own expense) rather than the more likely customer-incentive model (Dominion offering rebates/tariffs for customers to purchase their own batteries, with Lunar competing in the retail installer channel as before). The GMP/Tesla model (utility-owned leased assets) is the exception, not the norm.</w:t>
      </w:r>
    </w:p>
    <w:p>
      <w:pPr>
        <w:pStyle w:val="Heading3"/>
      </w:pPr>
      <w:bookmarkStart w:id="29" w:name="Xf4cea21deb6f3b227a7f5aaa8db25a7f33623b4"/>
      <w:r>
        <w:t xml:space="preserve">B. The Dominion Residential Battery Pilot Was Rejected and Referred to Stakeholder Process</w:t>
      </w:r>
      <w:bookmarkEnd w:id="29"/>
    </w:p>
    <w:p>
      <w:pPr>
        <w:pStyle w:val="FirstParagraph"/>
      </w:pPr>
      <w:r>
        <w:t xml:space="preserve">As noted above,</w:t>
      </w:r>
      <w:r>
        <w:t xml:space="preserve"> </w:t>
      </w:r>
      <w:r>
        <w:t xml:space="preserve">the SCC rejected the proposed Residential Battery Storage Pilot Program and instead referred it to a stakeholder process; when the stakeholder process concludes, Dominion must file a report alongside its proposed VPP pilot.</w:t>
      </w:r>
      <w:r>
        <w:t xml:space="preserve"> </w:t>
      </w:r>
      <w:r>
        <w:t xml:space="preserve">This introduces regulatory uncertainty and delay into the specific component (residential battery incentive/ownership programs) most relevant to Lunar.</w:t>
      </w:r>
    </w:p>
    <w:p>
      <w:pPr>
        <w:pStyle w:val="Heading3"/>
      </w:pPr>
      <w:bookmarkStart w:id="30" w:name="X8c7d18c71d0f5a8470c940980fd088a6a93fbca"/>
      <w:r>
        <w:t xml:space="preserve">C. Xcel’s Capacity*Connect Is Not a Residential Program</w:t>
      </w:r>
      <w:bookmarkEnd w:id="30"/>
    </w:p>
    <w:p>
      <w:pPr>
        <w:pStyle w:val="FirstParagraph"/>
      </w:pPr>
      <w:r>
        <w:t xml:space="preserve">Xcel’s flagship distributed capacity procurement, while the largest and most structured utility-owned battery program currently in development, targets front-of-meter commercial-scale assets.</w:t>
      </w:r>
      <w:r>
        <w:t xml:space="preserve"> </w:t>
      </w:r>
      <w:r>
        <w:t xml:space="preserve">Xcel intends to locate the batteries at local businesses, commercial or industrial sites, or nonprofit organizations, with each site having approximately one to three megawatts of storage.</w:t>
      </w:r>
      <w:r>
        <w:t xml:space="preserve"> </w:t>
      </w:r>
      <w:r>
        <w:t xml:space="preserve">This is fundamentally incompatible with Lunar’s residential 15–30 kWh residential system design.</w:t>
      </w:r>
    </w:p>
    <w:p>
      <w:pPr>
        <w:pStyle w:val="Heading3"/>
      </w:pPr>
      <w:bookmarkStart w:id="31" w:name="Xefd023554dea61e6adb4b684040110c5c2d8abc"/>
      <w:r>
        <w:t xml:space="preserve">D. Illinois’s 3 GW Storage Procurement Is Utility-Scale, Not Residential</w:t>
      </w:r>
      <w:bookmarkEnd w:id="31"/>
    </w:p>
    <w:p>
      <w:pPr>
        <w:pStyle w:val="FirstParagraph"/>
      </w:pPr>
      <w:r>
        <w:t xml:space="preserve">CRGA specifies that the Illinois Power Agency will conduct an initial procurement by August 2026 for new utility-scale battery storage projects, seeking just over 1,000 megawatts of 4-hour duration batteries in the first procurement.</w:t>
      </w:r>
      <w:r>
        <w:t xml:space="preserve"> </w:t>
      </w:r>
      <w:r>
        <w:t xml:space="preserve">This is utility-scale grid storage — BESS containers, not residential systems. The VPP component is customer-incentive based, not utility hardware procurement.</w:t>
      </w:r>
    </w:p>
    <w:p>
      <w:pPr>
        <w:pStyle w:val="Heading3"/>
      </w:pPr>
      <w:bookmarkStart w:id="32" w:name="Xa6b03f53a003c384c89caaa93bc95f3283d93ad"/>
      <w:r>
        <w:t xml:space="preserve">E. Scale/Track Record Risk Is Real but May Be Surmountable</w:t>
      </w:r>
      <w:bookmarkEnd w:id="32"/>
    </w:p>
    <w:p>
      <w:pPr>
        <w:pStyle w:val="FirstParagraph"/>
      </w:pPr>
      <w:r>
        <w:t xml:space="preserve">Standard utility procurement best practices require demonstrated track records. The Port of Oakland’s BESS RFP template requires:</w:t>
      </w:r>
      <w:r>
        <w:t xml:space="preserve"> </w:t>
      </w:r>
      <w:r>
        <w:t xml:space="preserve">sellers must provide details of a minimum of three BESS projects that have been completed in the United States, including verifiable client names, project locations, quantities and sizes, and total project costs.</w:t>
      </w:r>
      <w:r>
        <w:t xml:space="preserve"> </w:t>
      </w:r>
      <w:r>
        <w:t xml:space="preserve">Salt River Project’s 2025 All-Source RFP requires:</w:t>
      </w:r>
      <w:r>
        <w:t xml:space="preserve"> </w:t>
      </w:r>
      <w:r>
        <w:t xml:space="preserve">at least 5 years of utility scale generation experience with proposed technology and at least one 100 MW generation project in operation in the U.S.; for storage, the transacting entity must have demonstrated experience with similar, utility-scale (at least 25 MW) projects.</w:t>
      </w:r>
    </w:p>
    <w:p>
      <w:pPr>
        <w:pStyle w:val="BodyText"/>
      </w:pPr>
      <w:r>
        <w:t xml:space="preserve">These requirements are for utility-scale grid storage — not residential battery programs. The El Paso Electric/Base Power precedent suggests that for residential DER programs, utilities may apply far less stringent scale minimums. Base Power was founded in 2023 with ~100 MWh deployed when it won the EPE DESPP contract — roughly comparable to Lunar’s current position.</w:t>
      </w:r>
    </w:p>
    <w:p>
      <w:pPr>
        <w:pStyle w:val="Heading3"/>
      </w:pPr>
      <w:bookmarkStart w:id="33" w:name="Xeb87b763a6790e39bf5c64489188135b1387d81"/>
      <w:r>
        <w:t xml:space="preserve">F. No Lunar White-Label Utility Program Exists — No Evidence of Active Pursuit</w:t>
      </w:r>
      <w:bookmarkEnd w:id="33"/>
    </w:p>
    <w:p>
      <w:pPr>
        <w:pStyle w:val="FirstParagraph"/>
      </w:pPr>
      <w:r>
        <w:t xml:space="preserve">There is no public evidence that Lunar has engaged any utility in a formal procurement process, submitted responses to any utility RFI or RFP, or publicly announced any utility partnership discussions. This is either a strategic gap or a deliberate sequencing decision (build installer channel first, then expand). Either way, the company lacks an existing utility reference customer — a procurement disadvantage.</w:t>
      </w:r>
    </w:p>
    <w:p>
      <w:pPr>
        <w:pStyle w:val="Heading3"/>
      </w:pPr>
      <w:bookmarkStart w:id="34" w:name="Xb0aa6ee4d65f98069ab4af410137c409ae2a367"/>
      <w:r>
        <w:t xml:space="preserve">G. The Dominant Utility DER Model Is Customer-Incentive, Not Utility Hardware Ownership</w:t>
      </w:r>
      <w:bookmarkEnd w:id="34"/>
    </w:p>
    <w:p>
      <w:pPr>
        <w:pStyle w:val="FirstParagraph"/>
      </w:pPr>
      <w:r>
        <w:t xml:space="preserve">The broader industry pattern from the SEPA/NCCETC 2025 State Policy Snapshot suggests utilities are primarily pursuing: (1) customer-owned BYOD with incentives (Rocky Mountain Power Wattsmart BYOD, GMP BYOD), (2) aggregator-led VPPs using existing customer assets, and (3) demand response programs. Utility-owned residential battery hardware (GMP/Tesla model) is the exception, pursued only by small utilities with unusual regulatory environments. Large IOUs like Dominion and ComEd are more likely to pursue aggregator-led VPP tariffs than to own residential hardware assets at scale.</w:t>
      </w:r>
    </w:p>
    <w:p>
      <w:r>
        <w:pict>
          <v:rect style="width:0;height:1.5pt" o:hralign="center" o:hrstd="t" o:hr="t"/>
        </w:pict>
      </w:r>
    </w:p>
    <w:p>
      <w:pPr>
        <w:pStyle w:val="Heading2"/>
      </w:pPr>
      <w:bookmarkStart w:id="35" w:name="comparable-examples"/>
      <w:r>
        <w:t xml:space="preserve">3. COMPARABLE EXAMPLES</w:t>
      </w:r>
      <w:bookmarkEnd w:id="35"/>
    </w:p>
    <w:p>
      <w:pPr>
        <w:pStyle w:val="Heading3"/>
      </w:pPr>
      <w:bookmarkStart w:id="36" w:name="X33e729043c0564bc5eb3f40efafa0e0440ea5d1"/>
      <w:r>
        <w:t xml:space="preserve">Tier 1: Direct Structural Analogues (Utility-Owned Residential Battery Programs)</w:t>
      </w:r>
      <w:bookmarkEnd w:id="3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Utility</w:t>
            </w:r>
          </w:p>
        </w:tc>
        <w:tc>
          <w:tcPr>
            <w:tcBorders>
              <w:bottom w:val="single"/>
            </w:tcBorders>
            <w:vAlign w:val="bottom"/>
          </w:tcPr>
          <w:p>
            <w:pPr>
              <w:pStyle w:val="Compact"/>
              <w:jc w:val="left"/>
            </w:pPr>
            <w:r>
              <w:t xml:space="preserve">Hardware Vendor</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Commercial Terms</w:t>
            </w:r>
          </w:p>
        </w:tc>
        <w:tc>
          <w:tcPr>
            <w:tcBorders>
              <w:bottom w:val="single"/>
            </w:tcBorders>
            <w:vAlign w:val="bottom"/>
          </w:tcPr>
          <w:p>
            <w:pPr>
              <w:pStyle w:val="Compact"/>
              <w:jc w:val="left"/>
            </w:pPr>
            <w:r>
              <w:t xml:space="preserve">Key Lessons</w:t>
            </w:r>
          </w:p>
        </w:tc>
      </w:tr>
      <w:tr>
        <w:tc>
          <w:p>
            <w:pPr>
              <w:pStyle w:val="Compact"/>
              <w:jc w:val="left"/>
            </w:pPr>
            <w:r>
              <w:rPr>
                <w:b/>
              </w:rPr>
              <w:t xml:space="preserve">GMP Powerwall</w:t>
            </w:r>
          </w:p>
        </w:tc>
        <w:tc>
          <w:p>
            <w:pPr>
              <w:pStyle w:val="Compact"/>
              <w:jc w:val="left"/>
            </w:pPr>
            <w:r>
              <w:t xml:space="preserve">Green Mountain Power (VT)</w:t>
            </w:r>
          </w:p>
        </w:tc>
        <w:tc>
          <w:p>
            <w:pPr>
              <w:pStyle w:val="Compact"/>
              <w:jc w:val="left"/>
            </w:pPr>
            <w:r>
              <w:t xml:space="preserve">Tesla</w:t>
            </w:r>
          </w:p>
        </w:tc>
        <w:tc>
          <w:p>
            <w:pPr>
              <w:pStyle w:val="Compact"/>
              <w:jc w:val="left"/>
            </w:pPr>
            <w:r>
              <w:t xml:space="preserve">~500 new units/yr (cap lifted 2023)</w:t>
            </w:r>
          </w:p>
        </w:tc>
        <w:tc>
          <w:p>
            <w:pPr>
              <w:pStyle w:val="Compact"/>
              <w:jc w:val="left"/>
            </w:pPr>
            <w:r>
              <w:t xml:space="preserve">10-yr lease: $55/mo or $5,500 upfront</w:t>
            </w:r>
          </w:p>
        </w:tc>
        <w:tc>
          <w:p>
            <w:pPr>
              <w:pStyle w:val="Compact"/>
              <w:jc w:val="left"/>
            </w:pPr>
            <w:r>
              <w:t xml:space="preserve">Utility owns assets; customer pays lease; utility dispatches for grid services. Works in small-service-territory utilities with progressive regulatory environments</w:t>
            </w:r>
          </w:p>
        </w:tc>
      </w:tr>
      <w:tr>
        <w:tc>
          <w:p>
            <w:pPr>
              <w:pStyle w:val="Compact"/>
              <w:jc w:val="left"/>
            </w:pPr>
            <w:r>
              <w:rPr>
                <w:b/>
              </w:rPr>
              <w:t xml:space="preserve">GMP + Enphase</w:t>
            </w:r>
          </w:p>
        </w:tc>
        <w:tc>
          <w:p>
            <w:pPr>
              <w:pStyle w:val="Compact"/>
              <w:jc w:val="left"/>
            </w:pPr>
            <w:r>
              <w:t xml:space="preserve">Green Mountain Power (VT)</w:t>
            </w:r>
          </w:p>
        </w:tc>
        <w:tc>
          <w:p>
            <w:pPr>
              <w:pStyle w:val="Compact"/>
              <w:jc w:val="left"/>
            </w:pPr>
            <w:r>
              <w:t xml:space="preserve">Enphase</w:t>
            </w:r>
          </w:p>
        </w:tc>
        <w:tc>
          <w:p>
            <w:pPr>
              <w:pStyle w:val="Compact"/>
              <w:jc w:val="left"/>
            </w:pPr>
            <w:r>
              <w:t xml:space="preserve">Newly launched Nov 2025</w:t>
            </w:r>
          </w:p>
        </w:tc>
        <w:tc>
          <w:p>
            <w:pPr>
              <w:pStyle w:val="Compact"/>
              <w:jc w:val="left"/>
            </w:pPr>
            <w:r>
              <w:t xml:space="preserve">Same $55/mo terms</w:t>
            </w:r>
          </w:p>
        </w:tc>
        <w:tc>
          <w:p>
            <w:pPr>
              <w:pStyle w:val="Compact"/>
              <w:jc w:val="left"/>
            </w:pPr>
            <w:r>
              <w:t xml:space="preserve">Utility diversifying hardware; Enphase partnership validates multi-vendor approach</w:t>
            </w:r>
          </w:p>
        </w:tc>
      </w:tr>
      <w:tr>
        <w:tc>
          <w:p>
            <w:pPr>
              <w:pStyle w:val="Compact"/>
              <w:jc w:val="left"/>
            </w:pPr>
            <w:r>
              <w:rPr>
                <w:b/>
              </w:rPr>
              <w:t xml:space="preserve">EPE DESPP</w:t>
            </w:r>
          </w:p>
        </w:tc>
        <w:tc>
          <w:p>
            <w:pPr>
              <w:pStyle w:val="Compact"/>
              <w:jc w:val="left"/>
            </w:pPr>
            <w:r>
              <w:t xml:space="preserve">El Paso Electric (TX)</w:t>
            </w:r>
          </w:p>
        </w:tc>
        <w:tc>
          <w:p>
            <w:pPr>
              <w:pStyle w:val="Compact"/>
              <w:jc w:val="left"/>
            </w:pPr>
            <w:r>
              <w:t xml:space="preserve">Base Power</w:t>
            </w:r>
          </w:p>
        </w:tc>
        <w:tc>
          <w:p>
            <w:pPr>
              <w:pStyle w:val="Compact"/>
              <w:jc w:val="left"/>
            </w:pPr>
            <w:r>
              <w:t xml:space="preserve">10 MW target (2026 summer)</w:t>
            </w:r>
          </w:p>
        </w:tc>
        <w:tc>
          <w:p>
            <w:pPr>
              <w:pStyle w:val="Compact"/>
              <w:jc w:val="left"/>
            </w:pPr>
            <w:r>
              <w:t xml:space="preserve">Utility manages dispatch; Base installs/maintains; customers get free batteries</w:t>
            </w:r>
          </w:p>
        </w:tc>
        <w:tc>
          <w:p>
            <w:pPr>
              <w:pStyle w:val="Compact"/>
              <w:jc w:val="left"/>
            </w:pPr>
            <w:r>
              <w:t xml:space="preserve">Brand-new IOUs buying residential batteries for grid use; Base Power (2-year-old company) won; validates startup viability</w:t>
            </w:r>
          </w:p>
        </w:tc>
      </w:tr>
    </w:tbl>
    <w:p>
      <w:pPr>
        <w:pStyle w:val="Heading3"/>
      </w:pPr>
      <w:bookmarkStart w:id="37" w:name="X651487ecf29354f68c4e20c6e46ab7b44700c0d"/>
      <w:r>
        <w:t xml:space="preserve">Tier 2: Utility-VPP Aggregated Customer Incentive Programs (Adjacent, Not Direct)</w:t>
      </w:r>
      <w:bookmarkEnd w:id="3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Utility</w:t>
            </w:r>
          </w:p>
        </w:tc>
        <w:tc>
          <w:tcPr>
            <w:tcBorders>
              <w:bottom w:val="single"/>
            </w:tcBorders>
            <w:vAlign w:val="bottom"/>
          </w:tcPr>
          <w:p>
            <w:pPr>
              <w:pStyle w:val="Compact"/>
              <w:jc w:val="left"/>
            </w:pPr>
            <w:r>
              <w:t xml:space="preserve">Hardware</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Terms</w:t>
            </w:r>
          </w:p>
        </w:tc>
      </w:tr>
      <w:tr>
        <w:tc>
          <w:p>
            <w:pPr>
              <w:pStyle w:val="Compact"/>
              <w:jc w:val="left"/>
            </w:pPr>
            <w:r>
              <w:rPr>
                <w:b/>
              </w:rPr>
              <w:t xml:space="preserve">Wattsmart Battery</w:t>
            </w:r>
          </w:p>
        </w:tc>
        <w:tc>
          <w:p>
            <w:pPr>
              <w:pStyle w:val="Compact"/>
              <w:jc w:val="left"/>
            </w:pPr>
            <w:r>
              <w:t xml:space="preserve">Rocky Mountain Power (UT)</w:t>
            </w:r>
          </w:p>
        </w:tc>
        <w:tc>
          <w:p>
            <w:pPr>
              <w:pStyle w:val="Compact"/>
              <w:jc w:val="left"/>
            </w:pPr>
            <w:r>
              <w:t xml:space="preserve">Sonnen</w:t>
            </w:r>
          </w:p>
        </w:tc>
        <w:tc>
          <w:p>
            <w:pPr>
              <w:pStyle w:val="Compact"/>
              <w:jc w:val="left"/>
            </w:pPr>
            <w:r>
              <w:t xml:space="preserve">4,000+ batteries, 100 MWh target</w:t>
            </w:r>
          </w:p>
        </w:tc>
        <w:tc>
          <w:p>
            <w:pPr>
              <w:pStyle w:val="Compact"/>
              <w:jc w:val="left"/>
            </w:pPr>
            <w:r>
              <w:t xml:space="preserve">Upfront incentive + ongoing bill credit; customer-owned; utility dispatches</w:t>
            </w:r>
          </w:p>
        </w:tc>
      </w:tr>
      <w:tr>
        <w:tc>
          <w:p>
            <w:pPr>
              <w:pStyle w:val="Compact"/>
              <w:jc w:val="left"/>
            </w:pPr>
            <w:r>
              <w:rPr>
                <w:b/>
              </w:rPr>
              <w:t xml:space="preserve">SOLRITE/sonnen Texas VPP</w:t>
            </w:r>
          </w:p>
        </w:tc>
        <w:tc>
          <w:p>
            <w:pPr>
              <w:pStyle w:val="Compact"/>
              <w:jc w:val="left"/>
            </w:pPr>
            <w:r>
              <w:t xml:space="preserve">Retail REPs (ERCOT)</w:t>
            </w:r>
          </w:p>
        </w:tc>
        <w:tc>
          <w:p>
            <w:pPr>
              <w:pStyle w:val="Compact"/>
              <w:jc w:val="left"/>
            </w:pPr>
            <w:r>
              <w:t xml:space="preserve">Sonnen</w:t>
            </w:r>
          </w:p>
        </w:tc>
        <w:tc>
          <w:p>
            <w:pPr>
              <w:pStyle w:val="Compact"/>
              <w:jc w:val="left"/>
            </w:pPr>
            <w:r>
              <w:t xml:space="preserve">3,000 customers; targeting 10,000 by end 2026; 600 MWh</w:t>
            </w:r>
          </w:p>
        </w:tc>
        <w:tc>
          <w:p>
            <w:pPr>
              <w:pStyle w:val="Compact"/>
              <w:jc w:val="left"/>
            </w:pPr>
            <w:r>
              <w:t xml:space="preserve">No-upfront-cost customer acquisition; sonnen owns VPP dispatch rights</w:t>
            </w:r>
          </w:p>
        </w:tc>
      </w:tr>
      <w:tr>
        <w:tc>
          <w:p>
            <w:pPr>
              <w:pStyle w:val="Compact"/>
              <w:jc w:val="left"/>
            </w:pPr>
            <w:r>
              <w:rPr>
                <w:b/>
              </w:rPr>
              <w:t xml:space="preserve">BYOD (GMP)</w:t>
            </w:r>
          </w:p>
        </w:tc>
        <w:tc>
          <w:p>
            <w:pPr>
              <w:pStyle w:val="Compact"/>
              <w:jc w:val="left"/>
            </w:pPr>
            <w:r>
              <w:t xml:space="preserve">Green Mountain Power (VT)</w:t>
            </w:r>
          </w:p>
        </w:tc>
        <w:tc>
          <w:p>
            <w:pPr>
              <w:pStyle w:val="Compact"/>
              <w:jc w:val="left"/>
            </w:pPr>
            <w:r>
              <w:t xml:space="preserve">Hardware-agnostic</w:t>
            </w:r>
          </w:p>
        </w:tc>
        <w:tc>
          <w:p>
            <w:pPr>
              <w:pStyle w:val="Compact"/>
              <w:jc w:val="left"/>
            </w:pPr>
            <w:r>
              <w:t xml:space="preserve">500/yr (before cap lift)</w:t>
            </w:r>
          </w:p>
        </w:tc>
        <w:tc>
          <w:p>
            <w:pPr>
              <w:pStyle w:val="Compact"/>
              <w:jc w:val="left"/>
            </w:pPr>
            <w:r>
              <w:t xml:space="preserve">Up to $10,500 upfront rebate; customer chooses battery</w:t>
            </w:r>
          </w:p>
        </w:tc>
      </w:tr>
    </w:tbl>
    <w:p>
      <w:pPr>
        <w:pStyle w:val="Heading3"/>
      </w:pPr>
      <w:bookmarkStart w:id="38" w:name="Xc561f0f531f46eecfe234ae40bc5da5a625f591"/>
      <w:r>
        <w:t xml:space="preserve">Tier 3: Near-Term Emerging Programs (RFP Opportunities in 2026)</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Utility</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Volume Estimate</w:t>
            </w:r>
          </w:p>
        </w:tc>
      </w:tr>
      <w:tr>
        <w:tc>
          <w:p>
            <w:pPr>
              <w:pStyle w:val="Compact"/>
              <w:jc w:val="left"/>
            </w:pPr>
            <w:r>
              <w:rPr>
                <w:b/>
              </w:rPr>
              <w:t xml:space="preserve">Entergy New Orleans VPP</w:t>
            </w:r>
          </w:p>
        </w:tc>
        <w:tc>
          <w:p>
            <w:pPr>
              <w:pStyle w:val="Compact"/>
              <w:jc w:val="left"/>
            </w:pPr>
            <w:r>
              <w:t xml:space="preserve">Entergy New Orleans</w:t>
            </w:r>
          </w:p>
        </w:tc>
        <w:tc>
          <w:p>
            <w:pPr>
              <w:pStyle w:val="Compact"/>
              <w:jc w:val="left"/>
            </w:pPr>
            <w:r>
              <w:t xml:space="preserve">Approved Dec 2025; implementation plan due Mar 1, 2026; launch 2026</w:t>
            </w:r>
          </w:p>
        </w:tc>
        <w:tc>
          <w:p>
            <w:pPr>
              <w:pStyle w:val="Compact"/>
              <w:jc w:val="left"/>
            </w:pPr>
            <w:r>
              <w:t xml:space="preserve">~1,500 homes + 250 institutions; ~10 MW residential</w:t>
            </w:r>
          </w:p>
        </w:tc>
      </w:tr>
      <w:tr>
        <w:tc>
          <w:p>
            <w:pPr>
              <w:pStyle w:val="Compact"/>
              <w:jc w:val="left"/>
            </w:pPr>
            <w:r>
              <w:rPr>
                <w:b/>
              </w:rPr>
              <w:t xml:space="preserve">Dominion Virginia VPP</w:t>
            </w:r>
          </w:p>
        </w:tc>
        <w:tc>
          <w:p>
            <w:pPr>
              <w:pStyle w:val="Compact"/>
              <w:jc w:val="left"/>
            </w:pPr>
            <w:r>
              <w:t xml:space="preserve">Dominion Energy Virginia</w:t>
            </w:r>
          </w:p>
        </w:tc>
        <w:tc>
          <w:p>
            <w:pPr>
              <w:pStyle w:val="Compact"/>
              <w:jc w:val="left"/>
            </w:pPr>
            <w:r>
              <w:t xml:space="preserve">SCC filing submitted Dec 2025; stakeholder process ongoing for residential battery</w:t>
            </w:r>
          </w:p>
        </w:tc>
        <w:tc>
          <w:p>
            <w:pPr>
              <w:pStyle w:val="Compact"/>
              <w:jc w:val="left"/>
            </w:pPr>
            <w:r>
              <w:t xml:space="preserve">15 MW mandated residential battery incentive minimum; up to 450 MW total</w:t>
            </w:r>
          </w:p>
        </w:tc>
      </w:tr>
      <w:tr>
        <w:tc>
          <w:p>
            <w:pPr>
              <w:pStyle w:val="Compact"/>
              <w:jc w:val="left"/>
            </w:pPr>
            <w:r>
              <w:rPr>
                <w:b/>
              </w:rPr>
              <w:t xml:space="preserve">ComEd/Ameren VPP (Illinois)</w:t>
            </w:r>
          </w:p>
        </w:tc>
        <w:tc>
          <w:p>
            <w:pPr>
              <w:pStyle w:val="Compact"/>
              <w:jc w:val="left"/>
            </w:pPr>
            <w:r>
              <w:t xml:space="preserve">ComEd; Ameren Illinois</w:t>
            </w:r>
          </w:p>
        </w:tc>
        <w:tc>
          <w:p>
            <w:pPr>
              <w:pStyle w:val="Compact"/>
              <w:jc w:val="left"/>
            </w:pPr>
            <w:r>
              <w:t xml:space="preserve">VPP tariff proposals due Jun 1, 2026 to ICC</w:t>
            </w:r>
          </w:p>
        </w:tc>
        <w:tc>
          <w:p>
            <w:pPr>
              <w:pStyle w:val="Compact"/>
              <w:jc w:val="left"/>
            </w:pPr>
            <w:r>
              <w:t xml:space="preserve">Unclear scale at this stage; IPA storage procurement of &gt;1 GW utility-scale by Aug 2026</w:t>
            </w:r>
          </w:p>
        </w:tc>
      </w:tr>
      <w:tr>
        <w:tc>
          <w:p>
            <w:pPr>
              <w:pStyle w:val="Compact"/>
              <w:jc w:val="left"/>
            </w:pPr>
            <w:r>
              <w:rPr>
                <w:b/>
              </w:rPr>
              <w:t xml:space="preserve">Maryland BG&amp;E DCP</w:t>
            </w:r>
          </w:p>
        </w:tc>
        <w:tc>
          <w:p>
            <w:pPr>
              <w:pStyle w:val="Compact"/>
              <w:jc w:val="left"/>
            </w:pPr>
            <w:r>
              <w:t xml:space="preserve">Baltimore Gas &amp; Electric</w:t>
            </w:r>
          </w:p>
        </w:tc>
        <w:tc>
          <w:p>
            <w:pPr>
              <w:pStyle w:val="Compact"/>
              <w:jc w:val="left"/>
            </w:pPr>
            <w:r>
              <w:t xml:space="preserve">Awaiting regulatory guidelines</w:t>
            </w:r>
          </w:p>
        </w:tc>
        <w:tc>
          <w:p>
            <w:pPr>
              <w:pStyle w:val="Compact"/>
              <w:jc w:val="left"/>
            </w:pPr>
            <w:r>
              <w:t xml:space="preserve">Unclear</w:t>
            </w:r>
          </w:p>
        </w:tc>
      </w:tr>
      <w:tr>
        <w:tc>
          <w:p>
            <w:pPr>
              <w:pStyle w:val="Compact"/>
              <w:jc w:val="left"/>
            </w:pPr>
            <w:r>
              <w:rPr>
                <w:b/>
              </w:rPr>
              <w:t xml:space="preserve">Arizona APS BYOD</w:t>
            </w:r>
          </w:p>
        </w:tc>
        <w:tc>
          <w:p>
            <w:pPr>
              <w:pStyle w:val="Compact"/>
              <w:jc w:val="left"/>
            </w:pPr>
            <w:r>
              <w:t xml:space="preserve">Arizona Public Service</w:t>
            </w:r>
          </w:p>
        </w:tc>
        <w:tc>
          <w:p>
            <w:pPr>
              <w:pStyle w:val="Compact"/>
              <w:jc w:val="left"/>
            </w:pPr>
            <w:r>
              <w:t xml:space="preserve">Approved 2025</w:t>
            </w:r>
          </w:p>
        </w:tc>
        <w:tc>
          <w:p>
            <w:pPr>
              <w:pStyle w:val="Compact"/>
              <w:jc w:val="left"/>
            </w:pPr>
            <w:r>
              <w:t xml:space="preserve">Unknown scale</w:t>
            </w:r>
          </w:p>
        </w:tc>
      </w:tr>
      <w:tr>
        <w:tc>
          <w:p>
            <w:pPr>
              <w:pStyle w:val="Compact"/>
              <w:jc w:val="left"/>
            </w:pPr>
            <w:r>
              <w:rPr>
                <w:b/>
              </w:rPr>
              <w:t xml:space="preserve">Georgia Power Solar+Storage Pilot</w:t>
            </w:r>
          </w:p>
        </w:tc>
        <w:tc>
          <w:p>
            <w:pPr>
              <w:pStyle w:val="Compact"/>
              <w:jc w:val="left"/>
            </w:pPr>
            <w:r>
              <w:t xml:space="preserve">Georgia Power</w:t>
            </w:r>
          </w:p>
        </w:tc>
        <w:tc>
          <w:p>
            <w:pPr>
              <w:pStyle w:val="Compact"/>
              <w:jc w:val="left"/>
            </w:pPr>
            <w:r>
              <w:t xml:space="preserve">Approved 2025</w:t>
            </w:r>
          </w:p>
        </w:tc>
        <w:tc>
          <w:p>
            <w:pPr>
              <w:pStyle w:val="Compact"/>
              <w:jc w:val="left"/>
            </w:pPr>
            <w:r>
              <w:t xml:space="preserve">Pilot-scale</w:t>
            </w:r>
          </w:p>
        </w:tc>
      </w:tr>
    </w:tbl>
    <w:p>
      <w:r>
        <w:pict>
          <v:rect style="width:0;height:1.5pt" o:hralign="center" o:hrstd="t" o:hr="t"/>
        </w:pict>
      </w:r>
    </w:p>
    <w:p>
      <w:pPr>
        <w:pStyle w:val="Heading2"/>
      </w:pPr>
      <w:bookmarkStart w:id="39" w:name="feasibility-assessment"/>
      <w:r>
        <w:t xml:space="preserve">4. FEASIBILITY ASSESSMENT</w:t>
      </w:r>
      <w:bookmarkEnd w:id="39"/>
    </w:p>
    <w:p>
      <w:pPr>
        <w:pStyle w:val="FirstParagraph"/>
      </w:pPr>
      <w:r>
        <w:t xml:space="preserve">The</w:t>
      </w:r>
      <w:r>
        <w:t xml:space="preserve"> </w:t>
      </w:r>
      <w:r>
        <w:t xml:space="preserve">“</w:t>
      </w:r>
      <w:r>
        <w:t xml:space="preserve">Lunar for Utilities</w:t>
      </w:r>
      <w:r>
        <w:t xml:space="preserve">”</w:t>
      </w:r>
      <w:r>
        <w:t xml:space="preserve"> </w:t>
      </w:r>
      <w:r>
        <w:t xml:space="preserve">white-label hypothesis is strategically coherent but requires a significant reframing of both the commercial model and the realistic near-term target set. Here is a structured assessment:</w:t>
      </w:r>
    </w:p>
    <w:p>
      <w:pPr>
        <w:pStyle w:val="Heading3"/>
      </w:pPr>
      <w:bookmarkStart w:id="40" w:name="X1469b523fb55566cd23e493c55cdb5a67e511bb"/>
      <w:r>
        <w:t xml:space="preserve">What Is Structurally Feasible (High Confidence)</w:t>
      </w:r>
      <w:bookmarkEnd w:id="40"/>
    </w:p>
    <w:p>
      <w:pPr>
        <w:pStyle w:val="FirstParagraph"/>
      </w:pPr>
      <w:r>
        <w:rPr>
          <w:b/>
        </w:rPr>
        <w:t xml:space="preserve">The GMP-style utility-owned lease model:</w:t>
      </w:r>
      <w:r>
        <w:t xml:space="preserve"> </w:t>
      </w:r>
      <w:r>
        <w:t xml:space="preserve">Lunar could pursue partnership with small-to-medium utilities (similar to GMP’s scale) seeking to offer a branded residential battery program. GMP’s expansion to Enphase in November 2025 establishes that utilities are willing to add new hardware partners, not remain exclusively Tesla-dependent. A utility seeking a domestic-content-compliant, FEOC-free system with integrated smart panel and VPP dispatch capability would find Lunar’s spec sheet compelling. Target utilities for this model: Green Mountain Power (already doing this), Vermont Electric Co-op, Holy Cross Energy (CO), Seattle City Light, Austin Energy, Hawaiian Electric.</w:t>
      </w:r>
    </w:p>
    <w:p>
      <w:pPr>
        <w:pStyle w:val="BodyText"/>
      </w:pPr>
      <w:r>
        <w:rPr>
          <w:b/>
        </w:rPr>
        <w:t xml:space="preserve">The Base Power-style DER-as-a-service model:</w:t>
      </w:r>
      <w:r>
        <w:t xml:space="preserve"> </w:t>
      </w:r>
      <w:r>
        <w:t xml:space="preserve">Rather than selling hardware to utilities, Lunar could pursue a managed service structure analogous to Base Power’s EPE contract: Lunar installs and maintains residential batteries in utility service territories; the utility controls dispatch via Gridshare; customers receive free or subsidized backup power. The utility pays Lunar a per-MW or per-kWh grid services fee from ratepayer cost avoidance. This avoids the capital requirements of a direct purchase and positions Gridshare as the platform of record. Base Power’s success with this model at EPE — despite being only 2 years old at contract award — directly validates this approach for an early-stage Lunar.</w:t>
      </w:r>
    </w:p>
    <w:p>
      <w:pPr>
        <w:pStyle w:val="BodyText"/>
      </w:pPr>
      <w:r>
        <w:rPr>
          <w:b/>
        </w:rPr>
        <w:t xml:space="preserve">The Sonnen/RMP Wattsmart aggregated incentive model:</w:t>
      </w:r>
      <w:r>
        <w:t xml:space="preserve"> </w:t>
      </w:r>
      <w:r>
        <w:t xml:space="preserve">Lunar’s Gridshare platform could participate as the dispatch software for a utility VPP program in which</w:t>
      </w:r>
      <w:r>
        <w:t xml:space="preserve"> </w:t>
      </w:r>
      <w:r>
        <w:rPr>
          <w:i/>
        </w:rPr>
        <w:t xml:space="preserve">customer-owned</w:t>
      </w:r>
      <w:r>
        <w:t xml:space="preserve"> </w:t>
      </w:r>
      <w:r>
        <w:t xml:space="preserve">Lunar systems are incentivized through a tariff. In this model, Lunar doesn’t need to white-label hardware to a utility — it positions Gridshare as the aggregation platform and Lunar Systems as the preferred hardware within the utility’s incentive program. This is the lowest-regulatory-barrier entry and most consistent with existing Gridshare CCA relationships in California.</w:t>
      </w:r>
    </w:p>
    <w:p>
      <w:pPr>
        <w:pStyle w:val="Heading3"/>
      </w:pPr>
      <w:bookmarkStart w:id="41" w:name="Xa353a398f33ba91788f0cd279f0100c8b28cb04"/>
      <w:r>
        <w:t xml:space="preserve">What Is Feasible but Hard (Medium Confidence)</w:t>
      </w:r>
      <w:bookmarkEnd w:id="41"/>
    </w:p>
    <w:p>
      <w:pPr>
        <w:pStyle w:val="FirstParagraph"/>
      </w:pPr>
      <w:r>
        <w:rPr>
          <w:b/>
        </w:rPr>
        <w:t xml:space="preserve">Dominion Virginia residential battery procurement:</w:t>
      </w:r>
      <w:r>
        <w:t xml:space="preserve"> </w:t>
      </w:r>
      <w:r>
        <w:t xml:space="preserve">The regulatory timeline is real but uncertain. The SCC rejected the initial residential battery pilot and sent it to stakeholder process. If that process concludes favorably and Dominion launches a utility-owned residential battery procurement (rather than a customer incentive tariff), Lunar would be a credible bidder given domestic content compliance. However, the more likely Dominion outcome is a BYOD incentive tariff with hardware-agnostic eligibility — Lunar would compete in that market through its installer channel, not a direct utility contract.</w:t>
      </w:r>
    </w:p>
    <w:p>
      <w:pPr>
        <w:pStyle w:val="BodyText"/>
      </w:pPr>
      <w:r>
        <w:rPr>
          <w:b/>
        </w:rPr>
        <w:t xml:space="preserve">The 22,500-unit Virginia math:</w:t>
      </w:r>
      <w:r>
        <w:t xml:space="preserve"> </w:t>
      </w:r>
      <w:r>
        <w:t xml:space="preserve">The full 450 MW VPP mandate, if converted to Lunar 20 kWh systems, would indeed require 22,500 units — but this assumes: (a) all 450 MW is residential batteries (false — includes thermostats, EVs, hot water heaters), (b) Dominion owns and installs the hardware (unlikely for most of the capacity), and (c) Lunar wins a competitive RFP against Tesla Powerwall, Enphase, and Base Power-style managed service providers. The realistic residential battery hardware opportunity within Dominion’s VPP is likely the mandated 15 MW floor (~750 Lunar 20 kWh systems), not 22,500.</w:t>
      </w:r>
    </w:p>
    <w:p>
      <w:pPr>
        <w:pStyle w:val="Heading3"/>
      </w:pPr>
      <w:bookmarkStart w:id="42" w:name="what-is-not-feasible-now-low-confidence"/>
      <w:r>
        <w:t xml:space="preserve">What Is Not Feasible Now (Low Confidence)</w:t>
      </w:r>
      <w:bookmarkEnd w:id="42"/>
    </w:p>
    <w:p>
      <w:pPr>
        <w:pStyle w:val="FirstParagraph"/>
      </w:pPr>
      <w:r>
        <w:rPr>
          <w:b/>
        </w:rPr>
        <w:t xml:space="preserve">Large-scale IOU utility-scale storage RFPs:</w:t>
      </w:r>
      <w:r>
        <w:t xml:space="preserve"> </w:t>
      </w:r>
      <w:r>
        <w:t xml:space="preserve">Dominion’s October 2025 battery storage RFP, Xcel’s Capacity*Connect, and Illinois’s 1 GW IPA procurement are all for grid-scale battery systems (1 MW+), not residential units. Lunar’s residential system architecture is the wrong product for these opportunities.</w:t>
      </w:r>
    </w:p>
    <w:p>
      <w:pPr>
        <w:pStyle w:val="BodyText"/>
      </w:pPr>
      <w:r>
        <w:rPr>
          <w:b/>
        </w:rPr>
        <w:t xml:space="preserve">Any utility RFP requiring multi-hundred-MWh demonstrated deployments:</w:t>
      </w:r>
      <w:r>
        <w:t xml:space="preserve"> </w:t>
      </w:r>
      <w:r>
        <w:t xml:space="preserve">With ~2,000 cumulative units, Lunar cannot satisfy the track record requirements of Salt River Project-style procurement minimums. However, as the EPE/Base Power precedent shows, residential-focused pilot program RFPs apply significantly lower thresholds.</w:t>
      </w:r>
    </w:p>
    <w:p>
      <w:r>
        <w:pict>
          <v:rect style="width:0;height:1.5pt" o:hralign="center" o:hrstd="t" o:hr="t"/>
        </w:pict>
      </w:r>
    </w:p>
    <w:p>
      <w:pPr>
        <w:pStyle w:val="Heading2"/>
      </w:pPr>
      <w:bookmarkStart w:id="43" w:name="magnitude-estimate"/>
      <w:r>
        <w:t xml:space="preserve">5. MAGNITUDE ESTIMATE</w:t>
      </w:r>
      <w:bookmarkEnd w:id="43"/>
    </w:p>
    <w:p>
      <w:pPr>
        <w:pStyle w:val="Heading3"/>
      </w:pPr>
      <w:bookmarkStart w:id="44" w:name="X0d270977e7e443de3225e85699300398cd07b97"/>
      <w:r>
        <w:t xml:space="preserve">Realistic 2026–2028 Unit Volume Potential (Utility Channel Only)</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Opportunity</w:t>
            </w:r>
          </w:p>
        </w:tc>
        <w:tc>
          <w:tcPr>
            <w:tcBorders>
              <w:bottom w:val="single"/>
            </w:tcBorders>
            <w:vAlign w:val="bottom"/>
          </w:tcPr>
          <w:p>
            <w:pPr>
              <w:pStyle w:val="Compact"/>
              <w:jc w:val="left"/>
            </w:pPr>
            <w:r>
              <w:t xml:space="preserve">Realistic Unit Target</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Timeline</w:t>
            </w:r>
          </w:p>
        </w:tc>
      </w:tr>
      <w:tr>
        <w:tc>
          <w:p>
            <w:pPr>
              <w:pStyle w:val="Compact"/>
              <w:jc w:val="left"/>
            </w:pPr>
            <w:r>
              <w:rPr>
                <w:b/>
              </w:rPr>
              <w:t xml:space="preserve">New Orleans/Entergy VPP</w:t>
            </w:r>
            <w:r>
              <w:t xml:space="preserve"> </w:t>
            </w:r>
            <w:r>
              <w:t xml:space="preserve">(1,500 homes)</w:t>
            </w:r>
          </w:p>
        </w:tc>
        <w:tc>
          <w:p>
            <w:pPr>
              <w:pStyle w:val="Compact"/>
              <w:jc w:val="left"/>
            </w:pPr>
            <w:r>
              <w:t xml:space="preserve">~1,000–1,500 if Lunar wins competitive bid</w:t>
            </w:r>
          </w:p>
        </w:tc>
        <w:tc>
          <w:p>
            <w:pPr>
              <w:pStyle w:val="Compact"/>
              <w:jc w:val="left"/>
            </w:pPr>
            <w:r>
              <w:t xml:space="preserve">Low-Medium</w:t>
            </w:r>
          </w:p>
        </w:tc>
        <w:tc>
          <w:p>
            <w:pPr>
              <w:pStyle w:val="Compact"/>
              <w:jc w:val="left"/>
            </w:pPr>
            <w:r>
              <w:t xml:space="preserve">H2 2026 launch</w:t>
            </w:r>
          </w:p>
        </w:tc>
      </w:tr>
      <w:tr>
        <w:tc>
          <w:p>
            <w:pPr>
              <w:pStyle w:val="Compact"/>
              <w:jc w:val="left"/>
            </w:pPr>
            <w:r>
              <w:rPr>
                <w:b/>
              </w:rPr>
              <w:t xml:space="preserve">Dominion Virginia Residential Battery Incentive</w:t>
            </w:r>
            <w:r>
              <w:t xml:space="preserve"> </w:t>
            </w:r>
            <w:r>
              <w:t xml:space="preserve">(15 MW floor)</w:t>
            </w:r>
          </w:p>
        </w:tc>
        <w:tc>
          <w:p>
            <w:pPr>
              <w:pStyle w:val="Compact"/>
              <w:jc w:val="left"/>
            </w:pPr>
            <w:r>
              <w:t xml:space="preserve">~500–750 (if tariff-based BYOD; Lunar competes via installer)</w:t>
            </w:r>
          </w:p>
        </w:tc>
        <w:tc>
          <w:p>
            <w:pPr>
              <w:pStyle w:val="Compact"/>
              <w:jc w:val="left"/>
            </w:pPr>
            <w:r>
              <w:t xml:space="preserve">Medium</w:t>
            </w:r>
          </w:p>
        </w:tc>
        <w:tc>
          <w:p>
            <w:pPr>
              <w:pStyle w:val="Compact"/>
              <w:jc w:val="left"/>
            </w:pPr>
            <w:r>
              <w:t xml:space="preserve">2026–2027</w:t>
            </w:r>
          </w:p>
        </w:tc>
      </w:tr>
      <w:tr>
        <w:tc>
          <w:p>
            <w:pPr>
              <w:pStyle w:val="Compact"/>
              <w:jc w:val="left"/>
            </w:pPr>
            <w:r>
              <w:rPr>
                <w:b/>
              </w:rPr>
              <w:t xml:space="preserve">GMP-style partnership (new utility)</w:t>
            </w:r>
          </w:p>
        </w:tc>
        <w:tc>
          <w:p>
            <w:pPr>
              <w:pStyle w:val="Compact"/>
              <w:jc w:val="left"/>
            </w:pPr>
            <w:r>
              <w:t xml:space="preserve">500–1,000/year per utility partner</w:t>
            </w:r>
          </w:p>
        </w:tc>
        <w:tc>
          <w:p>
            <w:pPr>
              <w:pStyle w:val="Compact"/>
              <w:jc w:val="left"/>
            </w:pPr>
            <w:r>
              <w:t xml:space="preserve">Medium</w:t>
            </w:r>
          </w:p>
        </w:tc>
        <w:tc>
          <w:p>
            <w:pPr>
              <w:pStyle w:val="Compact"/>
              <w:jc w:val="left"/>
            </w:pPr>
            <w:r>
              <w:t xml:space="preserve">1–2 new partners by end 2027</w:t>
            </w:r>
          </w:p>
        </w:tc>
      </w:tr>
      <w:tr>
        <w:tc>
          <w:p>
            <w:pPr>
              <w:pStyle w:val="Compact"/>
              <w:jc w:val="left"/>
            </w:pPr>
            <w:r>
              <w:rPr>
                <w:b/>
              </w:rPr>
              <w:t xml:space="preserve">Base Power-style DER-as-a-service (3–5 utilities)</w:t>
            </w:r>
          </w:p>
        </w:tc>
        <w:tc>
          <w:p>
            <w:pPr>
              <w:pStyle w:val="Compact"/>
              <w:jc w:val="left"/>
            </w:pPr>
            <w:r>
              <w:t xml:space="preserve">1,000–3,000 total over 2 years</w:t>
            </w:r>
          </w:p>
        </w:tc>
        <w:tc>
          <w:p>
            <w:pPr>
              <w:pStyle w:val="Compact"/>
              <w:jc w:val="left"/>
            </w:pPr>
            <w:r>
              <w:t xml:space="preserve">Medium-High</w:t>
            </w:r>
          </w:p>
        </w:tc>
        <w:tc>
          <w:p>
            <w:pPr>
              <w:pStyle w:val="Compact"/>
              <w:jc w:val="left"/>
            </w:pPr>
            <w:r>
              <w:t xml:space="preserve">If Lunar raises capital for asset ownership</w:t>
            </w:r>
          </w:p>
        </w:tc>
      </w:tr>
      <w:tr>
        <w:tc>
          <w:p>
            <w:pPr>
              <w:pStyle w:val="Compact"/>
              <w:jc w:val="left"/>
            </w:pPr>
            <w:r>
              <w:rPr>
                <w:b/>
              </w:rPr>
              <w:t xml:space="preserve">Sonnen/Wattsmart-style aggregated VPP (2–3 utility programs)</w:t>
            </w:r>
          </w:p>
        </w:tc>
        <w:tc>
          <w:p>
            <w:pPr>
              <w:pStyle w:val="Compact"/>
              <w:jc w:val="left"/>
            </w:pPr>
            <w:r>
              <w:t xml:space="preserve">2,000–5,000 over 2 years</w:t>
            </w:r>
          </w:p>
        </w:tc>
        <w:tc>
          <w:p>
            <w:pPr>
              <w:pStyle w:val="Compact"/>
              <w:jc w:val="left"/>
            </w:pPr>
            <w:r>
              <w:t xml:space="preserve">Medium</w:t>
            </w:r>
          </w:p>
        </w:tc>
        <w:tc>
          <w:p>
            <w:pPr>
              <w:pStyle w:val="Compact"/>
              <w:jc w:val="left"/>
            </w:pPr>
            <w:r>
              <w:t xml:space="preserve">Where Gridshare is platform of record</w:t>
            </w:r>
          </w:p>
        </w:tc>
      </w:tr>
      <w:tr>
        <w:tc>
          <w:p>
            <w:pPr>
              <w:pStyle w:val="Compact"/>
              <w:jc w:val="left"/>
            </w:pPr>
            <w:r>
              <w:rPr>
                <w:b/>
              </w:rPr>
              <w:t xml:space="preserve">Illinois ComEd/Ameren VPP</w:t>
            </w:r>
          </w:p>
        </w:tc>
        <w:tc>
          <w:p>
            <w:pPr>
              <w:pStyle w:val="Compact"/>
              <w:jc w:val="left"/>
            </w:pPr>
            <w:r>
              <w:t xml:space="preserve">1,000–3,000 if hardware-specific incentive program</w:t>
            </w:r>
          </w:p>
        </w:tc>
        <w:tc>
          <w:p>
            <w:pPr>
              <w:pStyle w:val="Compact"/>
              <w:jc w:val="left"/>
            </w:pPr>
            <w:r>
              <w:t xml:space="preserve">Low-Medium</w:t>
            </w:r>
          </w:p>
        </w:tc>
        <w:tc>
          <w:p>
            <w:pPr>
              <w:pStyle w:val="Compact"/>
              <w:jc w:val="left"/>
            </w:pPr>
            <w:r>
              <w:t xml:space="preserve">2027 at earliest</w:t>
            </w:r>
          </w:p>
        </w:tc>
      </w:tr>
    </w:tbl>
    <w:p>
      <w:pPr>
        <w:pStyle w:val="BodyText"/>
      </w:pPr>
      <w:r>
        <w:rPr>
          <w:b/>
        </w:rPr>
        <w:t xml:space="preserve">Aggregate realistic near-term (2026–2028) utility-channel volume:</w:t>
      </w:r>
      <w:r>
        <w:t xml:space="preserve"> </w:t>
      </w:r>
      <w:r>
        <w:t xml:space="preserve">~5,000–12,000 units over 3 years, assuming 3–5 active utility programs of varying models. This is meaningful — potentially doubling Lunar’s total cumulative deployments — but well below the 10,000–30,000/year headline hypothesis.</w:t>
      </w:r>
    </w:p>
    <w:p>
      <w:pPr>
        <w:pStyle w:val="BodyText"/>
      </w:pPr>
      <w:r>
        <w:t xml:space="preserve">The 10,000–30,000 units/year figure requires: (a) a single large IOU adopting a utility-ownership residential battery model at GMP-or-greater scale, (b) Dominion or a comparable utility choosing Lunar as its exclusive or preferred hardware supplier, and (c) a 2–3 year uninterrupted deployment run. This is plausible but requires successful execution of multiple sequential steps that have not yet begun.</w:t>
      </w:r>
    </w:p>
    <w:p>
      <w:r>
        <w:pict>
          <v:rect style="width:0;height:1.5pt" o:hralign="center" o:hrstd="t" o:hr="t"/>
        </w:pict>
      </w:r>
    </w:p>
    <w:p>
      <w:pPr>
        <w:pStyle w:val="Heading2"/>
      </w:pPr>
      <w:bookmarkStart w:id="45" w:name="confidence-assessment"/>
      <w:r>
        <w:t xml:space="preserve">6. CONFIDENCE ASSESSMENT</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Confidence in Answer</w:t>
            </w:r>
          </w:p>
        </w:tc>
        <w:tc>
          <w:tcPr>
            <w:tcBorders>
              <w:bottom w:val="single"/>
            </w:tcBorders>
            <w:vAlign w:val="bottom"/>
          </w:tcPr>
          <w:p>
            <w:pPr>
              <w:pStyle w:val="Compact"/>
              <w:jc w:val="left"/>
            </w:pPr>
            <w:r>
              <w:t xml:space="preserve">Key Uncertainty</w:t>
            </w:r>
          </w:p>
        </w:tc>
      </w:tr>
      <w:tr>
        <w:tc>
          <w:p>
            <w:pPr>
              <w:pStyle w:val="Compact"/>
              <w:jc w:val="left"/>
            </w:pPr>
            <w:r>
              <w:t xml:space="preserve">Is the utility DER/VPP procurement wave real?</w:t>
            </w:r>
          </w:p>
        </w:tc>
        <w:tc>
          <w:p>
            <w:pPr>
              <w:pStyle w:val="Compact"/>
              <w:jc w:val="left"/>
            </w:pPr>
            <w:r>
              <w:rPr>
                <w:b/>
              </w:rPr>
              <w:t xml:space="preserve">Very High (95%)</w:t>
            </w:r>
          </w:p>
        </w:tc>
        <w:tc>
          <w:p>
            <w:pPr>
              <w:pStyle w:val="Compact"/>
              <w:jc w:val="left"/>
            </w:pPr>
            <w:r>
              <w:t xml:space="preserve">Legislative mandates now on the books in VA, IL, CO, MN, MD, AZ, plus explicit utility programs active</w:t>
            </w:r>
          </w:p>
        </w:tc>
      </w:tr>
      <w:tr>
        <w:tc>
          <w:p>
            <w:pPr>
              <w:pStyle w:val="Compact"/>
              <w:jc w:val="left"/>
            </w:pPr>
            <w:r>
              <w:t xml:space="preserve">Would Lunar’s FEOC/domestic content status be a competitive advantage in utility RFPs?</w:t>
            </w:r>
          </w:p>
        </w:tc>
        <w:tc>
          <w:p>
            <w:pPr>
              <w:pStyle w:val="Compact"/>
              <w:jc w:val="left"/>
            </w:pPr>
            <w:r>
              <w:rPr>
                <w:b/>
              </w:rPr>
              <w:t xml:space="preserve">High (80%)</w:t>
            </w:r>
          </w:p>
        </w:tc>
        <w:tc>
          <w:p>
            <w:pPr>
              <w:pStyle w:val="Compact"/>
              <w:jc w:val="left"/>
            </w:pPr>
            <w:r>
              <w:t xml:space="preserve">OBBBA has materially tightened this; utilities seeking ITC on owned assets now face strict supply chain scrutiny</w:t>
            </w:r>
          </w:p>
        </w:tc>
      </w:tr>
      <w:tr>
        <w:tc>
          <w:p>
            <w:pPr>
              <w:pStyle w:val="Compact"/>
              <w:jc w:val="left"/>
            </w:pPr>
            <w:r>
              <w:t xml:space="preserve">Is the Base Power model (DER-as-a-service to utilities) replicable by Lunar?</w:t>
            </w:r>
          </w:p>
        </w:tc>
        <w:tc>
          <w:p>
            <w:pPr>
              <w:pStyle w:val="Compact"/>
              <w:jc w:val="left"/>
            </w:pPr>
            <w:r>
              <w:rPr>
                <w:b/>
              </w:rPr>
              <w:t xml:space="preserve">Medium-High (65%)</w:t>
            </w:r>
          </w:p>
        </w:tc>
        <w:tc>
          <w:p>
            <w:pPr>
              <w:pStyle w:val="Compact"/>
              <w:jc w:val="left"/>
            </w:pPr>
            <w:r>
              <w:t xml:space="preserve">Base Power’s success at EPE is a direct precedent; key variables are Lunar’s balance sheet capacity and installer/logistics network</w:t>
            </w:r>
          </w:p>
        </w:tc>
      </w:tr>
      <w:tr>
        <w:tc>
          <w:p>
            <w:pPr>
              <w:pStyle w:val="Compact"/>
              <w:jc w:val="left"/>
            </w:pPr>
            <w:r>
              <w:t xml:space="preserve">Can Lunar win a utility hardware RFP against Tesla, Enphase, and sonnen?</w:t>
            </w:r>
          </w:p>
        </w:tc>
        <w:tc>
          <w:p>
            <w:pPr>
              <w:pStyle w:val="Compact"/>
              <w:jc w:val="left"/>
            </w:pPr>
            <w:r>
              <w:rPr>
                <w:b/>
              </w:rPr>
              <w:t xml:space="preserve">Medium (50%)</w:t>
            </w:r>
          </w:p>
        </w:tc>
        <w:tc>
          <w:p>
            <w:pPr>
              <w:pStyle w:val="Compact"/>
              <w:jc w:val="left"/>
            </w:pPr>
            <w:r>
              <w:t xml:space="preserve">Differentiation on domestic content, smart panel integration, and Gridshare are real; but Tesla’s GMP track record and Enphase’s brand recognition are formidable</w:t>
            </w:r>
          </w:p>
        </w:tc>
      </w:tr>
      <w:tr>
        <w:tc>
          <w:p>
            <w:pPr>
              <w:pStyle w:val="Compact"/>
              <w:jc w:val="left"/>
            </w:pPr>
            <w:r>
              <w:t xml:space="preserve">Is the Virginia 450 MW mandate a direct hardware procurement opportunity for Lunar?</w:t>
            </w:r>
          </w:p>
        </w:tc>
        <w:tc>
          <w:p>
            <w:pPr>
              <w:pStyle w:val="Compact"/>
              <w:jc w:val="left"/>
            </w:pPr>
            <w:r>
              <w:rPr>
                <w:b/>
              </w:rPr>
              <w:t xml:space="preserve">Low-Medium (30%)</w:t>
            </w:r>
          </w:p>
        </w:tc>
        <w:tc>
          <w:p>
            <w:pPr>
              <w:pStyle w:val="Compact"/>
              <w:jc w:val="left"/>
            </w:pPr>
            <w:r>
              <w:t xml:space="preserve">Most likely outcome is a customer-incentive tariff, not utility hardware ownership; residential battery component is 15 MW floor, not 450 MW ceiling</w:t>
            </w:r>
          </w:p>
        </w:tc>
      </w:tr>
      <w:tr>
        <w:tc>
          <w:p>
            <w:pPr>
              <w:pStyle w:val="Compact"/>
              <w:jc w:val="left"/>
            </w:pPr>
            <w:r>
              <w:t xml:space="preserve">Can Lunar achieve 10,000+ units/year from the utility channel by 2027?</w:t>
            </w:r>
          </w:p>
        </w:tc>
        <w:tc>
          <w:p>
            <w:pPr>
              <w:pStyle w:val="Compact"/>
              <w:jc w:val="left"/>
            </w:pPr>
            <w:r>
              <w:rPr>
                <w:b/>
              </w:rPr>
              <w:t xml:space="preserve">Low (20%)</w:t>
            </w:r>
          </w:p>
        </w:tc>
        <w:tc>
          <w:p>
            <w:pPr>
              <w:pStyle w:val="Compact"/>
              <w:jc w:val="left"/>
            </w:pPr>
            <w:r>
              <w:t xml:space="preserve">Requires multiple large contracts, none of which are in identified pipeline yet; production scale-up would be required in parallel</w:t>
            </w:r>
          </w:p>
        </w:tc>
      </w:tr>
      <w:tr>
        <w:tc>
          <w:p>
            <w:pPr>
              <w:pStyle w:val="Compact"/>
              <w:jc w:val="left"/>
            </w:pPr>
            <w:r>
              <w:t xml:space="preserve">Is there risk that Base Power, sonnen, or Enphase locks up the best utility pipeline before Lunar enters?</w:t>
            </w:r>
          </w:p>
        </w:tc>
        <w:tc>
          <w:p>
            <w:pPr>
              <w:pStyle w:val="Compact"/>
              <w:jc w:val="left"/>
            </w:pPr>
            <w:r>
              <w:rPr>
                <w:b/>
              </w:rPr>
              <w:t xml:space="preserve">High (75%)</w:t>
            </w:r>
          </w:p>
        </w:tc>
        <w:tc>
          <w:p>
            <w:pPr>
              <w:pStyle w:val="Compact"/>
              <w:jc w:val="left"/>
            </w:pPr>
            <w:r>
              <w:t xml:space="preserve">Base Power raised $1B Series C in October 2025 specifically to scale utility partnerships; sonnen has Rocky Mountain Power, SOLRITE/Texas; Enphase has GMP. The market is moving fast.</w:t>
            </w:r>
          </w:p>
        </w:tc>
      </w:tr>
    </w:tbl>
    <w:p>
      <w:r>
        <w:pict>
          <v:rect style="width:0;height:1.5pt" o:hralign="center" o:hrstd="t" o:hr="t"/>
        </w:pict>
      </w:r>
    </w:p>
    <w:p>
      <w:pPr>
        <w:pStyle w:val="Heading2"/>
      </w:pPr>
      <w:bookmarkStart w:id="46" w:name="citations"/>
      <w:r>
        <w:t xml:space="preserve">7. CITATIONS</w:t>
      </w:r>
      <w:bookmarkEnd w:id="46"/>
    </w:p>
    <w:p>
      <w:pPr>
        <w:pStyle w:val="FirstParagraph"/>
      </w:pPr>
      <w:r>
        <w:t xml:space="preserve">Key sources underlying this analysis:</w:t>
      </w:r>
    </w:p>
    <w:p>
      <w:pPr>
        <w:pStyle w:val="BodyText"/>
      </w:pPr>
      <w:r>
        <w:t xml:space="preserve">On May 2, Virginia Governor Glenn Youngkin signed the Community Energy Act (HB 2346/SB 1100) into law, directing Dominion Energy to launch a 450-MW virtual power plant pilot.</w:t>
      </w:r>
    </w:p>
    <w:p>
      <w:pPr>
        <w:pStyle w:val="BodyText"/>
      </w:pPr>
      <w:r>
        <w:t xml:space="preserve">Dominion will propose a pilot program to evaluate demand-optimization methods, including VPPs, to the State Corporation Commission by December 1. The pilot must consist of DER aggregations totaling up to 450 MW, sited in multiple geographic regions.</w:t>
      </w:r>
    </w:p>
    <w:p>
      <w:pPr>
        <w:pStyle w:val="BodyText"/>
      </w:pPr>
      <w:r>
        <w:t xml:space="preserve">The SCC rejected the proposed Residential Battery Storage Pilot Program and instead referred it to a stakeholder process.</w:t>
      </w:r>
    </w:p>
    <w:p>
      <w:pPr>
        <w:pStyle w:val="BodyText"/>
      </w:pPr>
      <w:r>
        <w:t xml:space="preserve">In early October 2025, Dominion Energy Virginia and Dominion Energy North Carolina issued a major Request for Proposals, a cornerstone of Dominion’s effort to fulfill the Virginia Clean Economy Act mandate and its IRP calling for 4.5 GW of battery storage by 2040.</w:t>
      </w:r>
    </w:p>
    <w:p>
      <w:pPr>
        <w:pStyle w:val="BodyText"/>
      </w:pPr>
      <w:r>
        <w:t xml:space="preserve">GMP began offering home batteries through pilot programs in 2017, as the first utility in the country to partner with Tesla, and in 2020 became the first utility to earn regulatory approval to offer fully tariffed home energy programs.</w:t>
      </w:r>
    </w:p>
    <w:p>
      <w:pPr>
        <w:pStyle w:val="BodyText"/>
      </w:pPr>
      <w:r>
        <w:t xml:space="preserve">On November 12, 2025, Enphase Energy and Green Mountain Power announced an expanded partnership that adds Enphase battery systems to GMP’s existing home energy storage lease program.</w:t>
      </w:r>
    </w:p>
    <w:p>
      <w:pPr>
        <w:pStyle w:val="BodyText"/>
      </w:pPr>
      <w:r>
        <w:t xml:space="preserve">Sonnen’s most sophisticated US VPP serves Utah, where Rocky Mountain Power customers in the Wattsmart battery program enjoy upfront and ongoing participation incentives, with at least 4,000 enrolled batteries and a 2024 capacity target of 100 MWh.</w:t>
      </w:r>
    </w:p>
    <w:p>
      <w:pPr>
        <w:pStyle w:val="BodyText"/>
      </w:pPr>
      <w:r>
        <w:t xml:space="preserve">According to Sonnen, 3,000 Texas customers have enrolled in the program; with the new battery-only option, Solrite and sonnen aim to add up to 10,000 new customers by the end of 2026, adding 600 MWh of energy to Texas’s grid.</w:t>
      </w:r>
    </w:p>
    <w:p>
      <w:pPr>
        <w:pStyle w:val="BodyText"/>
      </w:pPr>
      <w:r>
        <w:t xml:space="preserve">Xcel Energy filed a first-of-its-kind proposal to build a battery storage network across Minnesota — its Capacity*Connect proposal to install up to 200 megawatts of battery storage resources at strategic grid locations by 2028, deployed in collaboration with Sparkfund.</w:t>
      </w:r>
    </w:p>
    <w:p>
      <w:pPr>
        <w:pStyle w:val="BodyText"/>
      </w:pPr>
      <w:r>
        <w:t xml:space="preserve">As of January 2026, Sparkfund was in talks with 15 DCP-curious utilities.</w:t>
      </w:r>
    </w:p>
    <w:p>
      <w:pPr>
        <w:pStyle w:val="BodyText"/>
      </w:pPr>
      <w:r>
        <w:t xml:space="preserve">Xcel requested the Minnesota PUC approve the program with a budget range of $152 million to $430 million depending on whether 50 or 200 MW is deployed.</w:t>
      </w:r>
    </w:p>
    <w:p>
      <w:pPr>
        <w:pStyle w:val="BodyText"/>
      </w:pPr>
      <w:r>
        <w:t xml:space="preserve">The EPE/Base Power program represents a scalable model for utilities seeking to add flexible, customer-sited capacity; Base Power will deploy a fleet of networked residential battery systems providing dispatchable capacity; the partnership was selected through EPE’s Residential Distributed Energy Storage Pilot Program seeking to bring up to 10 MW of residential energy storage online ahead of the 2026 summer peak.</w:t>
      </w:r>
    </w:p>
    <w:p>
      <w:pPr>
        <w:pStyle w:val="BodyText"/>
      </w:pPr>
      <w:r>
        <w:t xml:space="preserve">Base Power claims to have deployed more than 100 MWh of residential battery capacity in under two years.</w:t>
      </w:r>
    </w:p>
    <w:p>
      <w:pPr>
        <w:pStyle w:val="BodyText"/>
      </w:pPr>
      <w:r>
        <w:t xml:space="preserve">CRGA mandates that each electric public utility must file an initial VPP tariff by June 1, 2026, for ICC approval, establishing a two-stage VPP framework.</w:t>
      </w:r>
    </w:p>
    <w:p>
      <w:pPr>
        <w:pStyle w:val="BodyText"/>
      </w:pPr>
      <w:r>
        <w:t xml:space="preserve">CRGA creates Illinois’ first energy storage procurement program to procure 3,000 MW of energy storage capacity by 2030.</w:t>
      </w:r>
    </w:p>
    <w:p>
      <w:pPr>
        <w:pStyle w:val="BodyText"/>
      </w:pPr>
      <w:r>
        <w:t xml:space="preserve">The New Orleans City Council ordered local utility Entergy New Orleans to design a $28 million battery incentive program for homes, businesses, and nonprofits.</w:t>
      </w:r>
    </w:p>
    <w:p>
      <w:pPr>
        <w:pStyle w:val="BodyText"/>
      </w:pPr>
      <w:r>
        <w:t xml:space="preserve">The Neighborhood Power Plan will install backup batteries tied to solar panels at about 1,500 homes and 150–250 community institutions across the city.</w:t>
      </w:r>
    </w:p>
    <w:p>
      <w:pPr>
        <w:pStyle w:val="BodyText"/>
      </w:pPr>
      <w:r>
        <w:t xml:space="preserve">Entergy has until March 1 to file an implementation plan for the program, which is expected to launch later this year.</w:t>
      </w:r>
    </w:p>
    <w:p>
      <w:pPr>
        <w:pStyle w:val="BodyText"/>
      </w:pPr>
      <w:r>
        <w:t xml:space="preserve">The OBBBA introduces accelerated repeal schedules for most renewable energy tax credits, enhances domestic content requirements, eliminates several residential energy incentives, and implements new FEOC restrictions.</w:t>
      </w:r>
    </w:p>
    <w:p>
      <w:pPr>
        <w:pStyle w:val="BodyText"/>
      </w:pPr>
      <w:r>
        <w:t xml:space="preserve">The FEOC restrictions now apply more broadly to many more energy tax provisions, reaching more deeply than before.</w:t>
      </w:r>
      <w:r>
        <w:t xml:space="preserve"> </w:t>
      </w:r>
      <w:r>
        <w:t xml:space="preserve">“</w:t>
      </w:r>
      <w:r>
        <w:t xml:space="preserve">The new PFE rules are, essentially, FEOC on steroids.</w:t>
      </w:r>
      <w:r>
        <w:t xml:space="preserve">”</w:t>
      </w:r>
    </w:p>
    <w:p>
      <w:pPr>
        <w:pStyle w:val="BodyText"/>
      </w:pPr>
      <w:r>
        <w:t xml:space="preserve">The 2025 State Policy Snapshot highlights four primary trends: the development of utility portfolios of demand-flexibility programs; the expansion of eligible technologies beyond battery storage; a continued focus on pilot programs; and the use of DERMS to support VPP programs.</w:t>
      </w:r>
    </w:p>
    <w:p>
      <w:r>
        <w:pict>
          <v:rect style="width:0;height:1.5pt" o:hralign="center" o:hrstd="t" o:hr="t"/>
        </w:pict>
      </w:r>
    </w:p>
    <w:p>
      <w:pPr>
        <w:pStyle w:val="Heading2"/>
      </w:pPr>
      <w:bookmarkStart w:id="47" w:name="executive-summary-for-decision-makers"/>
      <w:r>
        <w:t xml:space="preserve">EXECUTIVE SUMMARY FOR DECISION-MAKERS</w:t>
      </w:r>
      <w:bookmarkEnd w:id="47"/>
    </w:p>
    <w:p>
      <w:pPr>
        <w:pStyle w:val="FirstParagraph"/>
      </w:pPr>
      <w:r>
        <w:rPr>
          <w:b/>
        </w:rPr>
        <w:t xml:space="preserve">Bottom line:</w:t>
      </w:r>
      <w:r>
        <w:t xml:space="preserve"> </w:t>
      </w:r>
      <w:r>
        <w:t xml:space="preserve">The</w:t>
      </w:r>
      <w:r>
        <w:t xml:space="preserve"> </w:t>
      </w:r>
      <w:r>
        <w:t xml:space="preserve">“</w:t>
      </w:r>
      <w:r>
        <w:t xml:space="preserve">Lunar for Utilities</w:t>
      </w:r>
      <w:r>
        <w:t xml:space="preserve">”</w:t>
      </w:r>
      <w:r>
        <w:t xml:space="preserve"> </w:t>
      </w:r>
      <w:r>
        <w:t xml:space="preserve">hypothesis is directionally correct and strategically timely — but the mechanism, scale timeline, and immediate target set need substantial recalibration.</w:t>
      </w:r>
    </w:p>
    <w:p>
      <w:pPr>
        <w:pStyle w:val="BodyText"/>
      </w:pPr>
      <w:r>
        <w:t xml:space="preserve">The utility DER procurement wave is definitively real. Eight or more states now have legislative mandates or active regulatory proceedings for utility-integrated battery programs. The OBBBA-driven FEOC/domestic content tightening creates a genuine supply chain moat for a US-manufactured, FEOC-free system. And the Base Power/EPE precedent (February 2026) proves that a 2-year-old company with ~100 MWh deployed can win an IOU utility contract — Lunar’s position is arguably comparable.</w:t>
      </w:r>
    </w:p>
    <w:p>
      <w:pPr>
        <w:pStyle w:val="BodyText"/>
      </w:pPr>
      <w:r>
        <w:t xml:space="preserve">However,</w:t>
      </w:r>
      <w:r>
        <w:t xml:space="preserve"> </w:t>
      </w:r>
      <w:r>
        <w:rPr>
          <w:b/>
        </w:rPr>
        <w:t xml:space="preserve">the near-term opportunity is primarily in customer-incentive VPP programs, managed-service DER models, and small-utility owned-asset programs</w:t>
      </w:r>
      <w:r>
        <w:t xml:space="preserve"> </w:t>
      </w:r>
      <w:r>
        <w:t xml:space="preserve">— not large IOU hardware procurement at the Virginia math’s 22,500-unit scale. The most actionable immediate targets are:</w:t>
      </w:r>
    </w:p>
    <w:p>
      <w:pPr>
        <w:numPr>
          <w:ilvl w:val="0"/>
          <w:numId w:val="1001"/>
        </w:numPr>
        <w:pStyle w:val="Compact"/>
      </w:pPr>
      <w:r>
        <w:rPr>
          <w:b/>
        </w:rPr>
        <w:t xml:space="preserve">Entergy New Orleans</w:t>
      </w:r>
      <w:r>
        <w:t xml:space="preserve"> </w:t>
      </w:r>
      <w:r>
        <w:t xml:space="preserve">— $28M program, implementation plan due March 2026, hardware procurement in H1 2026; right-sized for Lunar’s current production capacity</w:t>
      </w:r>
    </w:p>
    <w:p>
      <w:pPr>
        <w:numPr>
          <w:ilvl w:val="0"/>
          <w:numId w:val="1001"/>
        </w:numPr>
        <w:pStyle w:val="Compact"/>
      </w:pPr>
      <w:r>
        <w:rPr>
          <w:b/>
        </w:rPr>
        <w:t xml:space="preserve">Green Mountain Power</w:t>
      </w:r>
      <w:r>
        <w:t xml:space="preserve"> </w:t>
      </w:r>
      <w:r>
        <w:t xml:space="preserve">or comparable small utility — seeking second hardware vendor beyond Tesla/Enphase; Lunar’s spec is ideal</w:t>
      </w:r>
    </w:p>
    <w:p>
      <w:pPr>
        <w:numPr>
          <w:ilvl w:val="0"/>
          <w:numId w:val="1001"/>
        </w:numPr>
        <w:pStyle w:val="Compact"/>
      </w:pPr>
      <w:r>
        <w:rPr>
          <w:b/>
        </w:rPr>
        <w:t xml:space="preserve">Dominion Virginia VPP stakeholder process</w:t>
      </w:r>
      <w:r>
        <w:t xml:space="preserve"> </w:t>
      </w:r>
      <w:r>
        <w:t xml:space="preserve">— Lunar should be at the table now, shaping the residential battery program structure before it is filed with the SCC</w:t>
      </w:r>
    </w:p>
    <w:p>
      <w:pPr>
        <w:numPr>
          <w:ilvl w:val="0"/>
          <w:numId w:val="1001"/>
        </w:numPr>
        <w:pStyle w:val="Compact"/>
      </w:pPr>
      <w:r>
        <w:rPr>
          <w:b/>
        </w:rPr>
        <w:t xml:space="preserve">ComEd/Ameren Illinois scheduled dispatch VPP</w:t>
      </w:r>
      <w:r>
        <w:t xml:space="preserve"> </w:t>
      </w:r>
      <w:r>
        <w:t xml:space="preserve">— tariff due June 1, 2026; Lunar needs Gridshare positioned as the dispatch platform pre-filing</w:t>
      </w:r>
    </w:p>
    <w:p>
      <w:pPr>
        <w:pStyle w:val="FirstParagraph"/>
      </w:pPr>
      <w:r>
        <w:t xml:space="preserve">The competitive window is</w:t>
      </w:r>
      <w:r>
        <w:t xml:space="preserve"> </w:t>
      </w:r>
      <w:r>
        <w:rPr>
          <w:b/>
        </w:rPr>
        <w:t xml:space="preserve">narrowing rapidly</w:t>
      </w:r>
      <w:r>
        <w:t xml:space="preserve">. Base Power raised $1 billion in October 2025 specifically to scale utility partnerships. Sonnen has 4,000+ batteries in Rocky Mountain Power’s system and is scaling to 10,000 in Texas. GMP just added Enphase. Every month Lunar delays engaging the utility channel, one of these competitors is establishing the reference customer relationship that defines the preferred vendor list for the next decade of utility DER procurement.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