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Now I have comprehensive research across all dimensions. Let me compile the full strategic analysis.</w:t>
      </w:r>
    </w:p>
    <w:p>
      <w:r>
        <w:pict>
          <v:rect style="width:0;height:1.5pt" o:hralign="center" o:hrstd="t" o:hr="t"/>
        </w:pict>
      </w:r>
    </w:p>
    <w:p>
      <w:pPr>
        <w:pStyle w:val="Heading1"/>
      </w:pPr>
      <w:bookmarkStart w:id="20" w:name="X9a363301e292e7221ab2bb4b9a73c0edcf0af11"/>
      <w:r>
        <w:t xml:space="preserve">LUNAR ENERGY GRIDSHARE × HOMEOWNER INSURANCE: STRATEGIC FEASIBILITY ANALYSIS</w:t>
      </w:r>
      <w:bookmarkEnd w:id="20"/>
    </w:p>
    <w:p>
      <w:pPr>
        <w:pStyle w:val="FirstParagraph"/>
      </w:pPr>
      <w:r>
        <w:rPr>
          <w:i/>
        </w:rPr>
        <w:t xml:space="preserve">Prepared by: Senior Insurtech Strategist | February 28, 2026</w:t>
      </w:r>
    </w:p>
    <w:p>
      <w:r>
        <w:pict>
          <v:rect style="width:0;height:1.5pt" o:hralign="center" o:hrstd="t" o:hr="t"/>
        </w:pict>
      </w:r>
    </w:p>
    <w:p>
      <w:pPr>
        <w:pStyle w:val="Heading2"/>
      </w:pPr>
      <w:bookmarkStart w:id="21" w:name="executive-summary"/>
      <w:r>
        <w:t xml:space="preserve">EXECUTIVE SUMMARY</w:t>
      </w:r>
      <w:bookmarkEnd w:id="21"/>
    </w:p>
    <w:p>
      <w:pPr>
        <w:pStyle w:val="FirstParagraph"/>
      </w:pPr>
      <w:r>
        <w:t xml:space="preserve">The hypothesis is</w:t>
      </w:r>
      <w:r>
        <w:t xml:space="preserve"> </w:t>
      </w:r>
      <w:r>
        <w:rPr>
          <w:b/>
        </w:rPr>
        <w:t xml:space="preserve">well-supported by market precedent, claims data, and regulatory trends</w:t>
      </w:r>
      <w:r>
        <w:t xml:space="preserve">, and represents a credible, potentially transformative revenue opportunity for Lunar Energy. The Whisker Labs/Ting model—where insurers pay a sensor company to distribute hardware because the prevention ROI is positive—maps almost perfectly to Gridshare’s existing data infrastructure, but with a critical structural advantage: Lunar has</w:t>
      </w:r>
      <w:r>
        <w:t xml:space="preserve"> </w:t>
      </w:r>
      <w:r>
        <w:rPr>
          <w:i/>
        </w:rPr>
        <w:t xml:space="preserve">zero marginal hardware cost</w:t>
      </w:r>
      <w:r>
        <w:t xml:space="preserve"> </w:t>
      </w:r>
      <w:r>
        <w:t xml:space="preserve">for the data layer. The risks are real but manageable, and the insurance market’s crisis conditions in 2026 have made carriers more receptive to risk-reduction partnerships than at any prior point in the industry’s history. The fundamental opportunity is</w:t>
      </w:r>
      <w:r>
        <w:t xml:space="preserve"> </w:t>
      </w:r>
      <w:r>
        <w:rPr>
          <w:b/>
        </w:rPr>
        <w:t xml:space="preserve">strong</w:t>
      </w:r>
      <w:r>
        <w:t xml:space="preserve">; the key question is whether Lunar’s data is as actuarially credible as its logical story suggests.</w:t>
      </w:r>
    </w:p>
    <w:p>
      <w:r>
        <w:pict>
          <v:rect style="width:0;height:1.5pt" o:hralign="center" o:hrstd="t" o:hr="t"/>
        </w:pict>
      </w:r>
    </w:p>
    <w:p>
      <w:pPr>
        <w:pStyle w:val="Heading2"/>
      </w:pPr>
      <w:bookmarkStart w:id="22" w:name="evidence-for-the-hypothesis"/>
      <w:r>
        <w:t xml:space="preserve">1. EVIDENCE FOR THE HYPOTHESIS</w:t>
      </w:r>
      <w:bookmarkEnd w:id="22"/>
    </w:p>
    <w:p>
      <w:pPr>
        <w:pStyle w:val="Heading3"/>
      </w:pPr>
      <w:bookmarkStart w:id="23" w:name="X1d41fa8fd13333e46a30b0100dbec901fb7d6f4"/>
      <w:r>
        <w:t xml:space="preserve">1.1 Gridshare Data Maps Directly to Major Claims Categories</w:t>
      </w:r>
      <w:bookmarkEnd w:id="23"/>
    </w:p>
    <w:p>
      <w:pPr>
        <w:pStyle w:val="FirstParagraph"/>
      </w:pPr>
      <w:r>
        <w:t xml:space="preserve">Gridshare’s continuous data stream from Lunar’s Bridge smart panel sits at the intersection of five major homeowner insurance loss categories—and the Bridge panel provides a uniquely</w:t>
      </w:r>
      <w:r>
        <w:t xml:space="preserve"> </w:t>
      </w:r>
      <w:r>
        <w:rPr>
          <w:i/>
        </w:rPr>
        <w:t xml:space="preserve">structural</w:t>
      </w:r>
      <w:r>
        <w:t xml:space="preserve">, not peripheral, view of home electrical health.</w:t>
      </w:r>
    </w:p>
    <w:p>
      <w:pPr>
        <w:pStyle w:val="BodyText"/>
      </w:pPr>
      <w:r>
        <w:rPr>
          <w:b/>
        </w:rPr>
        <w:t xml:space="preserve">Electrical fire prevention:</w:t>
      </w:r>
      <w:r>
        <w:t xml:space="preserve"> </w:t>
      </w:r>
      <w:r>
        <w:t xml:space="preserve">Electrical fires make up approximately 13% of all home fires, taking hundreds of lives each year and amounting to nearly $1.3 billion in annual home damage according to NFPA data.</w:t>
      </w:r>
      <w:r>
        <w:t xml:space="preserve"> </w:t>
      </w:r>
      <w:r>
        <w:t xml:space="preserve">The Bridge panel, sitting between the utility meter and every circuit, can detect arc fault signatures, ground faults, and overloaded circuits—the same precursors that make Ting valuable.</w:t>
      </w:r>
      <w:r>
        <w:t xml:space="preserve"> </w:t>
      </w:r>
      <w:r>
        <w:t xml:space="preserve">The main precursors to electrical fires—micro-arcs and sparks that develop—happen in faulty wires, loose connections, and faulty appliances or devices.</w:t>
      </w:r>
      <w:r>
        <w:t xml:space="preserve"> </w:t>
      </w:r>
      <w:r>
        <w:t xml:space="preserve">Unlike Ting’s single plug-in sensor, Lunar’s Bridge has</w:t>
      </w:r>
      <w:r>
        <w:t xml:space="preserve"> </w:t>
      </w:r>
      <w:r>
        <w:rPr>
          <w:i/>
        </w:rPr>
        <w:t xml:space="preserve">system-level</w:t>
      </w:r>
      <w:r>
        <w:t xml:space="preserve"> </w:t>
      </w:r>
      <w:r>
        <w:t xml:space="preserve">visibility across all circuits, making it potentially more comprehensive than Ting’s point detection.</w:t>
      </w:r>
    </w:p>
    <w:p>
      <w:pPr>
        <w:pStyle w:val="BodyText"/>
      </w:pPr>
      <w:r>
        <w:rPr>
          <w:b/>
        </w:rPr>
        <w:t xml:space="preserve">Frozen pipe/water damage prevention:</w:t>
      </w:r>
      <w:r>
        <w:t xml:space="preserve"> </w:t>
      </w:r>
      <w:r>
        <w:t xml:space="preserve">According to recent data, the average U.S. household claim for water damage and freezing exceeds $12,500.</w:t>
      </w:r>
    </w:p>
    <w:p>
      <w:pPr>
        <w:pStyle w:val="BodyText"/>
      </w:pPr>
      <w:r>
        <w:t xml:space="preserve">On average, around 1.6% of insured homes file a claim for water or freezing damage each year, and in 2023, the loss category</w:t>
      </w:r>
      <w:r>
        <w:t xml:space="preserve"> </w:t>
      </w:r>
      <w:r>
        <w:t xml:space="preserve">“</w:t>
      </w:r>
      <w:r>
        <w:t xml:space="preserve">water damage and freezing</w:t>
      </w:r>
      <w:r>
        <w:t xml:space="preserve">”</w:t>
      </w:r>
      <w:r>
        <w:t xml:space="preserve"> </w:t>
      </w:r>
      <w:r>
        <w:t xml:space="preserve">accounted for 22.6% of all homeowners insurance losses.</w:t>
      </w:r>
      <w:r>
        <w:t xml:space="preserve"> </w:t>
      </w:r>
      <w:r>
        <w:t xml:space="preserve">Gridshare’s real-time temperature correlation (via HVAC load monitoring) and heating system status can detect loss-of-heat events that predict pipe freeze risk—precisely the scenario where battery backup keeping heating systems running prevents the claim.</w:t>
      </w:r>
    </w:p>
    <w:p>
      <w:pPr>
        <w:pStyle w:val="BodyText"/>
      </w:pPr>
      <w:r>
        <w:rPr>
          <w:b/>
        </w:rPr>
        <w:t xml:space="preserve">Generator fire and CO prevention:</w:t>
      </w:r>
      <w:r>
        <w:t xml:space="preserve"> </w:t>
      </w:r>
      <w:r>
        <w:t xml:space="preserve">The CDC reports more than 400 Americans die from unintentional CO poisoning not linked to fires annually, and the CPSC estimates about 100 people die each year from carbon monoxide poisoning specifically associated with portable generators.</w:t>
      </w:r>
      <w:r>
        <w:t xml:space="preserve"> </w:t>
      </w:r>
      <w:r>
        <w:t xml:space="preserve">A Gridshare-monitored home with active battery backup during outages has</w:t>
      </w:r>
      <w:r>
        <w:t xml:space="preserve"> </w:t>
      </w:r>
      <w:r>
        <w:rPr>
          <w:b/>
        </w:rPr>
        <w:t xml:space="preserve">no need for a portable generator</w:t>
      </w:r>
      <w:r>
        <w:t xml:space="preserve">, structurally eliminating both the CO poisoning risk and associated fire risks.</w:t>
      </w:r>
      <w:r>
        <w:t xml:space="preserve"> </w:t>
      </w:r>
      <w:r>
        <w:t xml:space="preserve">According to California’s CPUC, generators</w:t>
      </w:r>
      <w:r>
        <w:t xml:space="preserve"> </w:t>
      </w:r>
      <w:r>
        <w:t xml:space="preserve">“</w:t>
      </w:r>
      <w:r>
        <w:t xml:space="preserve">can be noisy and pose safety hazards, including fire and carbon monoxide poisoning.</w:t>
      </w:r>
      <w:r>
        <w:t xml:space="preserve">”</w:t>
      </w:r>
    </w:p>
    <w:p>
      <w:pPr>
        <w:pStyle w:val="BodyText"/>
      </w:pPr>
      <w:r>
        <w:rPr>
          <w:b/>
        </w:rPr>
        <w:t xml:space="preserve">Sump pump and refrigeration protection:</w:t>
      </w:r>
      <w:r>
        <w:t xml:space="preserve"> </w:t>
      </w:r>
      <w:r>
        <w:t xml:space="preserve">Gridshare can detect sump pump circuits losing power and battery backup keeping them energized—directly preventing water intrusion events. Refrigeration continuity during outages reduces food spoilage claims and, more importantly, signals occupant-controlled risk mitigation behavior that correlates with lower-claim profiles.</w:t>
      </w:r>
    </w:p>
    <w:p>
      <w:pPr>
        <w:pStyle w:val="BodyText"/>
      </w:pPr>
      <w:r>
        <w:rPr>
          <w:b/>
        </w:rPr>
        <w:t xml:space="preserve">Wildfire/PSPS resilience (California priority market):</w:t>
      </w:r>
      <w:r>
        <w:t xml:space="preserve"> </w:t>
      </w:r>
      <w:r>
        <w:t xml:space="preserve">California utilities perform Public Safety Power Shutoff (PSPS) events to reduce wildfire risk, with an average of five to six PSPS events per year typically lasting 24–48 hours.</w:t>
      </w:r>
      <w:r>
        <w:t xml:space="preserve"> </w:t>
      </w:r>
      <w:r>
        <w:t xml:space="preserve">A Gridshare home with battery backup is immune to the secondary hazards (generator use, candle fires) created by PSPS-driven outages—precisely the risk profile that California’s collapsing insurance market most needs to address.</w:t>
      </w:r>
      <w:r>
        <w:t xml:space="preserve"> </w:t>
      </w:r>
      <w:r>
        <w:t xml:space="preserve">California’s FAIR Plan now covers over 451,000 policies and is seeking a 36% rate increase following the Los Angeles wildfires.</w:t>
      </w:r>
    </w:p>
    <w:p>
      <w:pPr>
        <w:pStyle w:val="Heading3"/>
      </w:pPr>
      <w:bookmarkStart w:id="24" w:name="the-market-moment-is-uniquely-favorable"/>
      <w:r>
        <w:t xml:space="preserve">1.2 The Market Moment Is Uniquely Favorable</w:t>
      </w:r>
      <w:bookmarkEnd w:id="24"/>
    </w:p>
    <w:p>
      <w:pPr>
        <w:pStyle w:val="FirstParagraph"/>
      </w:pPr>
      <w:r>
        <w:t xml:space="preserve">American homeowners saw their insurance premiums increase by an average of 24% over the past three years, with premiums rising twice as fast as inflation between 2021 and 2024, amounting to a $21 billion total price hike.</w:t>
      </w:r>
    </w:p>
    <w:p>
      <w:pPr>
        <w:pStyle w:val="BodyText"/>
      </w:pPr>
      <w:r>
        <w:t xml:space="preserve">In 2023, the industry’s underwriting ratio was 110.5%, meaning that for every $1 insurance companies earned, they paid out about $1.11 in claims and expenses—the worst year for underwriting since 2011.</w:t>
      </w:r>
      <w:r>
        <w:t xml:space="preserve"> </w:t>
      </w:r>
      <w:r>
        <w:t xml:space="preserve">Insurers are losing money and are desperate for tools that structurally reduce claims. This is the</w:t>
      </w:r>
      <w:r>
        <w:t xml:space="preserve"> </w:t>
      </w:r>
      <w:r>
        <w:rPr>
          <w:i/>
        </w:rPr>
        <w:t xml:space="preserve">strongest possible entry condition</w:t>
      </w:r>
      <w:r>
        <w:t xml:space="preserve"> </w:t>
      </w:r>
      <w:r>
        <w:t xml:space="preserve">for a risk-reduction data partnership.</w:t>
      </w:r>
    </w:p>
    <w:p>
      <w:pPr>
        <w:pStyle w:val="BodyText"/>
      </w:pPr>
      <w:r>
        <w:t xml:space="preserve">The average cost of homeowners insurance in the U.S. is $2,424 per year for $300,000 in dwelling coverage.</w:t>
      </w:r>
    </w:p>
    <w:p>
      <w:pPr>
        <w:pStyle w:val="BodyText"/>
      </w:pPr>
      <w:r>
        <w:t xml:space="preserve">By 2024, typical homeowners paid $3,303 per year for homeowners insurance.</w:t>
      </w:r>
      <w:r>
        <w:t xml:space="preserve"> </w:t>
      </w:r>
      <w:r>
        <w:t xml:space="preserve">A $200–500 discount on a $2,400–$3,300 annual premium represents a meaningful 6–20% reduction—easily sufficient to be a customer acquisition and retention tool.</w:t>
      </w:r>
    </w:p>
    <w:p>
      <w:pPr>
        <w:pStyle w:val="Heading3"/>
      </w:pPr>
      <w:bookmarkStart w:id="25" w:name="X24b255fde38d8fcba9b388659e26e9030180a1e"/>
      <w:r>
        <w:t xml:space="preserve">1.3 Battery Backup Eliminates Claims-Generating Behaviors at Scale</w:t>
      </w:r>
      <w:bookmarkEnd w:id="25"/>
    </w:p>
    <w:p>
      <w:pPr>
        <w:pStyle w:val="FirstParagraph"/>
      </w:pPr>
      <w:r>
        <w:t xml:space="preserve">The Gridshare value proposition for insurers is not merely</w:t>
      </w:r>
      <w:r>
        <w:t xml:space="preserve"> </w:t>
      </w:r>
      <w:r>
        <w:rPr>
          <w:i/>
        </w:rPr>
        <w:t xml:space="preserve">detecting</w:t>
      </w:r>
      <w:r>
        <w:t xml:space="preserve"> </w:t>
      </w:r>
      <w:r>
        <w:t xml:space="preserve">hazards—it’s</w:t>
      </w:r>
      <w:r>
        <w:t xml:space="preserve"> </w:t>
      </w:r>
      <w:r>
        <w:rPr>
          <w:i/>
        </w:rPr>
        <w:t xml:space="preserve">eliminating the behaviors that cause claims</w:t>
      </w:r>
      <w:r>
        <w:t xml:space="preserve">. This is structurally superior to Ting, which detects existing electrical faults. Lunar’s battery backup:</w:t>
      </w:r>
    </w:p>
    <w:p>
      <w:pPr>
        <w:numPr>
          <w:ilvl w:val="0"/>
          <w:numId w:val="1001"/>
        </w:numPr>
        <w:pStyle w:val="Compact"/>
      </w:pPr>
      <w:r>
        <w:rPr>
          <w:b/>
        </w:rPr>
        <w:t xml:space="preserve">Eliminates generator deployment</w:t>
      </w:r>
      <w:r>
        <w:t xml:space="preserve"> </w:t>
      </w:r>
      <w:r>
        <w:t xml:space="preserve">(removes CO/fire risk)</w:t>
      </w:r>
    </w:p>
    <w:p>
      <w:pPr>
        <w:numPr>
          <w:ilvl w:val="0"/>
          <w:numId w:val="1001"/>
        </w:numPr>
        <w:pStyle w:val="Compact"/>
      </w:pPr>
      <w:r>
        <w:rPr>
          <w:b/>
        </w:rPr>
        <w:t xml:space="preserve">Maintains HVAC continuity</w:t>
      </w:r>
      <w:r>
        <w:t xml:space="preserve"> </w:t>
      </w:r>
      <w:r>
        <w:t xml:space="preserve">(prevents frozen pipe claims averaging $12,500)</w:t>
      </w:r>
    </w:p>
    <w:p>
      <w:pPr>
        <w:numPr>
          <w:ilvl w:val="0"/>
          <w:numId w:val="1001"/>
        </w:numPr>
        <w:pStyle w:val="Compact"/>
      </w:pPr>
      <w:r>
        <w:rPr>
          <w:b/>
        </w:rPr>
        <w:t xml:space="preserve">Keeps sump pumps running</w:t>
      </w:r>
      <w:r>
        <w:t xml:space="preserve"> </w:t>
      </w:r>
      <w:r>
        <w:t xml:space="preserve">(prevents water damage claims averaging $12,500)</w:t>
      </w:r>
    </w:p>
    <w:p>
      <w:pPr>
        <w:numPr>
          <w:ilvl w:val="0"/>
          <w:numId w:val="1001"/>
        </w:numPr>
        <w:pStyle w:val="Compact"/>
      </w:pPr>
      <w:r>
        <w:rPr>
          <w:b/>
        </w:rPr>
        <w:t xml:space="preserve">Preserves refrigeration</w:t>
      </w:r>
      <w:r>
        <w:t xml:space="preserve"> </w:t>
      </w:r>
      <w:r>
        <w:t xml:space="preserve">(reduces spoilage claims)</w:t>
      </w:r>
    </w:p>
    <w:p>
      <w:pPr>
        <w:numPr>
          <w:ilvl w:val="0"/>
          <w:numId w:val="1001"/>
        </w:numPr>
        <w:pStyle w:val="Compact"/>
      </w:pPr>
      <w:r>
        <w:rPr>
          <w:b/>
        </w:rPr>
        <w:t xml:space="preserve">Keeps lights on</w:t>
      </w:r>
      <w:r>
        <w:t xml:space="preserve"> </w:t>
      </w:r>
      <w:r>
        <w:t xml:space="preserve">(reduces candle-fire risk and fall hazards during outages)</w:t>
      </w:r>
    </w:p>
    <w:p>
      <w:pPr>
        <w:pStyle w:val="FirstParagraph"/>
      </w:pPr>
      <w:r>
        <w:t xml:space="preserve">This is prevention at the</w:t>
      </w:r>
      <w:r>
        <w:t xml:space="preserve"> </w:t>
      </w:r>
      <w:r>
        <w:rPr>
          <w:i/>
        </w:rPr>
        <w:t xml:space="preserve">systems level</w:t>
      </w:r>
      <w:r>
        <w:t xml:space="preserve">, not the</w:t>
      </w:r>
      <w:r>
        <w:t xml:space="preserve"> </w:t>
      </w:r>
      <w:r>
        <w:rPr>
          <w:i/>
        </w:rPr>
        <w:t xml:space="preserve">sensor level</w:t>
      </w:r>
      <w:r>
        <w:t xml:space="preserve">.</w:t>
      </w:r>
    </w:p>
    <w:p>
      <w:r>
        <w:pict>
          <v:rect style="width:0;height:1.5pt" o:hralign="center" o:hrstd="t" o:hr="t"/>
        </w:pict>
      </w:r>
    </w:p>
    <w:p>
      <w:pPr>
        <w:pStyle w:val="Heading2"/>
      </w:pPr>
      <w:bookmarkStart w:id="26" w:name="evidence-against-the-hypothesis"/>
      <w:r>
        <w:t xml:space="preserve">2. EVIDENCE AGAINST THE HYPOTHESIS</w:t>
      </w:r>
      <w:bookmarkEnd w:id="26"/>
    </w:p>
    <w:p>
      <w:pPr>
        <w:pStyle w:val="Heading3"/>
      </w:pPr>
      <w:bookmarkStart w:id="27" w:name="Xaba8d07fef94c42b820958f33d20260c23fba82"/>
      <w:r>
        <w:t xml:space="preserve">2.1 Battery Systems Introduce a Novel Fire Hazard</w:t>
      </w:r>
      <w:bookmarkEnd w:id="27"/>
    </w:p>
    <w:p>
      <w:pPr>
        <w:pStyle w:val="FirstParagraph"/>
      </w:pPr>
      <w:r>
        <w:t xml:space="preserve">The most credible counterargument is that residential batteries present a new insurable risk.</w:t>
      </w:r>
      <w:r>
        <w:t xml:space="preserve"> </w:t>
      </w:r>
      <w:r>
        <w:t xml:space="preserve">Lithium-ion battery fires—whether in e-bikes or electric vehicles—have created a climate of caution. For commercial facilities, the fear of thermal runaway is often the biggest barrier to adoption, with business owners worrying that installing a Battery Energy Storage System (BESS) is akin to placing a ticking time bomb next to their building.</w:t>
      </w:r>
    </w:p>
    <w:p>
      <w:pPr>
        <w:pStyle w:val="BodyText"/>
      </w:pPr>
      <w:r>
        <w:t xml:space="preserve">However, the severity of this risk is significantly overstated for properly certified residential systems:</w:t>
      </w:r>
      <w:r>
        <w:t xml:space="preserve"> </w:t>
      </w:r>
      <w:r>
        <w:t xml:space="preserve">Thankfully, UL 9540 has worked as hoped, and UL 9540 listed lithium battery fires and explosions have been rare.</w:t>
      </w:r>
    </w:p>
    <w:p>
      <w:pPr>
        <w:pStyle w:val="BodyText"/>
      </w:pPr>
      <w:r>
        <w:t xml:space="preserve">LFP (Lithium Iron Phosphate) is widely regarded as one of the safest lithium-ion chemistries due to its excellent thermal stability, far less prone to thermal runaway compared to other chemistries, and LFP batteries can tolerate higher temperatures and are less likely to combust if punctured or overcharged.</w:t>
      </w:r>
      <w:r>
        <w:t xml:space="preserve"> </w:t>
      </w:r>
      <w:r>
        <w:t xml:space="preserve">Lunar’s systems use LFP chemistry, which substantially mitigates this risk—but insurers may not yet have actuarial data distinguishing LFP from higher-risk chemistries.</w:t>
      </w:r>
    </w:p>
    <w:p>
      <w:pPr>
        <w:pStyle w:val="BodyText"/>
      </w:pPr>
      <w:r>
        <w:rPr>
          <w:b/>
        </w:rPr>
        <w:t xml:space="preserve">Local fire code variability is a real issue:</w:t>
      </w:r>
      <w:r>
        <w:t xml:space="preserve"> </w:t>
      </w:r>
      <w:r>
        <w:t xml:space="preserve">Regardless of the strong safety track record, a growing number of cities in highly populated areas have imposed additional restrictions, making legal installation of batteries impractical or impossible in some cases. In some jurisdictions, batteries are only allowed outdoors, while some authorities have imposed more restrictive requirements for locations and setbacks from windows, doors, and property lines.</w:t>
      </w:r>
      <w:r>
        <w:t xml:space="preserve"> </w:t>
      </w:r>
      <w:r>
        <w:t xml:space="preserve">This creates inconsistent insurability across geographies.</w:t>
      </w:r>
    </w:p>
    <w:p>
      <w:pPr>
        <w:pStyle w:val="Heading3"/>
      </w:pPr>
      <w:bookmarkStart w:id="28" w:name="X8110abcd7a63ff0a409145dc99ad69a3fbf1ae1"/>
      <w:r>
        <w:t xml:space="preserve">2.2 Hippo’s Smart Home Discount Data Suggests Modest Premium Impact</w:t>
      </w:r>
      <w:bookmarkEnd w:id="28"/>
    </w:p>
    <w:p>
      <w:pPr>
        <w:pStyle w:val="FirstParagraph"/>
      </w:pPr>
      <w:r>
        <w:t xml:space="preserve">On average, Hippo customers with a smart home discount save $64 a year with a self-monitoring kit and $91 a year with a pro-monitoring kit.</w:t>
      </w:r>
      <w:r>
        <w:t xml:space="preserve"> </w:t>
      </w:r>
      <w:r>
        <w:t xml:space="preserve">This is far below the $200–$500 discount range projected in the hypothesis. However, Hippo’s program covers basic sensors (water, smoke, motion), not systems that structurally eliminate generator-related risks—so the comparison may understate Gridshare’s differentiated value. The hypothesis’ discount range is more analogous to Progressive Snapshot’s savings territory than Hippo’s sensor discounts.</w:t>
      </w:r>
    </w:p>
    <w:p>
      <w:pPr>
        <w:pStyle w:val="Heading3"/>
      </w:pPr>
      <w:bookmarkStart w:id="29" w:name="X8168bbfc6b07ba5dbaa4e2cec7053337185c598"/>
      <w:r>
        <w:t xml:space="preserve">2.3 Progressive’s Model Required Surcharges to Work Economically</w:t>
      </w:r>
      <w:bookmarkEnd w:id="29"/>
    </w:p>
    <w:p>
      <w:pPr>
        <w:pStyle w:val="FirstParagraph"/>
      </w:pPr>
      <w:r>
        <w:t xml:space="preserve">Progressive started with a discount-only program.</w:t>
      </w:r>
      <w:r>
        <w:t xml:space="preserve"> </w:t>
      </w:r>
      <w:r>
        <w:t xml:space="preserve">“</w:t>
      </w:r>
      <w:r>
        <w:t xml:space="preserve">Customers could receive a discount of up to 30%, but the rate couldn’t go up no matter how risky their driving looked…Of course, no rating variable in insurance only suggests giving discounts. It’s about segmentation and matching rate to risk,</w:t>
      </w:r>
      <w:r>
        <w:t xml:space="preserve">”</w:t>
      </w:r>
      <w:r>
        <w:t xml:space="preserve"> </w:t>
      </w:r>
      <w:r>
        <w:t xml:space="preserve">Progressive noted. While discount-only programs encourage greater participation,</w:t>
      </w:r>
      <w:r>
        <w:t xml:space="preserve"> </w:t>
      </w:r>
      <w:r>
        <w:t xml:space="preserve">“</w:t>
      </w:r>
      <w:r>
        <w:t xml:space="preserve">it makes the economics a lot more challenging and limits the accuracy of the overall pricing.</w:t>
      </w:r>
      <w:r>
        <w:t xml:space="preserve">”</w:t>
      </w:r>
      <w:r>
        <w:t xml:space="preserve"> </w:t>
      </w:r>
      <w:r>
        <w:t xml:space="preserve">A Gridshare-based program that only</w:t>
      </w:r>
      <w:r>
        <w:t xml:space="preserve"> </w:t>
      </w:r>
      <w:r>
        <w:rPr>
          <w:i/>
        </w:rPr>
        <w:t xml:space="preserve">rewards</w:t>
      </w:r>
      <w:r>
        <w:t xml:space="preserve"> </w:t>
      </w:r>
      <w:r>
        <w:t xml:space="preserve">good behavior (battery ownership) cannot function as a full pricing signal the way Snapshot evolved to do. Insurers may resist a pure discount model without a bidirectional signal.</w:t>
      </w:r>
    </w:p>
    <w:p>
      <w:pPr>
        <w:pStyle w:val="Heading3"/>
      </w:pPr>
      <w:bookmarkStart w:id="30" w:name="X87a9e4ac91c2f6616fd2238af7b12212b17a9e8"/>
      <w:r>
        <w:t xml:space="preserve">2.4 Consumer Privacy Resistance Is a Documented, Material Risk</w:t>
      </w:r>
      <w:bookmarkEnd w:id="30"/>
    </w:p>
    <w:p>
      <w:pPr>
        <w:pStyle w:val="FirstParagraph"/>
      </w:pPr>
      <w:r>
        <w:t xml:space="preserve">According to a study on data privacy and telematics apps, almost 70% of drivers are concerned about data privacy issues of usage-based insurance, while 59% are worried their driving data may not be accurately collected.</w:t>
      </w:r>
      <w:r>
        <w:t xml:space="preserve"> </w:t>
      </w:r>
      <w:r>
        <w:t xml:space="preserve">Home energy data is</w:t>
      </w:r>
      <w:r>
        <w:t xml:space="preserve"> </w:t>
      </w:r>
      <w:r>
        <w:rPr>
          <w:i/>
        </w:rPr>
        <w:t xml:space="preserve">more sensitive</w:t>
      </w:r>
      <w:r>
        <w:t xml:space="preserve"> </w:t>
      </w:r>
      <w:r>
        <w:t xml:space="preserve">than driving data—it reveals occupancy patterns, behavioral rhythms, appliance usage, and potentially income-correlated consumption patterns. The jump from</w:t>
      </w:r>
      <w:r>
        <w:t xml:space="preserve"> </w:t>
      </w:r>
      <w:r>
        <w:t xml:space="preserve">“</w:t>
      </w:r>
      <w:r>
        <w:t xml:space="preserve">opt-in driving telematics</w:t>
      </w:r>
      <w:r>
        <w:t xml:space="preserve">”</w:t>
      </w:r>
      <w:r>
        <w:t xml:space="preserve"> </w:t>
      </w:r>
      <w:r>
        <w:t xml:space="preserve">to</w:t>
      </w:r>
      <w:r>
        <w:t xml:space="preserve"> </w:t>
      </w:r>
      <w:r>
        <w:t xml:space="preserve">“</w:t>
      </w:r>
      <w:r>
        <w:t xml:space="preserve">insurer visibility into home electrical behavior</w:t>
      </w:r>
      <w:r>
        <w:t xml:space="preserve">”</w:t>
      </w:r>
      <w:r>
        <w:t xml:space="preserve"> </w:t>
      </w:r>
      <w:r>
        <w:t xml:space="preserve">represents a meaningful escalation of perceived surveillance.</w:t>
      </w:r>
    </w:p>
    <w:p>
      <w:pPr>
        <w:pStyle w:val="BodyText"/>
      </w:pPr>
      <w:r>
        <w:rPr>
          <w:b/>
        </w:rPr>
        <w:t xml:space="preserve">Regulatory complexity is real:</w:t>
      </w:r>
      <w:r>
        <w:t xml:space="preserve"> </w:t>
      </w:r>
      <w:r>
        <w:t xml:space="preserve">The California Consumer Privacy Act gives consumers the right to know about personal information a business collects and how it’s used and shared, the right to delete personal information, and the right to opt out of the sale or sharing of their personal information.</w:t>
      </w:r>
    </w:p>
    <w:p>
      <w:pPr>
        <w:pStyle w:val="BodyText"/>
      </w:pPr>
      <w:r>
        <w:t xml:space="preserve">As of July 2025, California clarified when insurance companies must comply with CCPA, implementing requirements for risk assessments and cybersecurity audits.</w:t>
      </w:r>
      <w:r>
        <w:t xml:space="preserve"> </w:t>
      </w:r>
      <w:r>
        <w:t xml:space="preserve">Lunar would need explicit, granular opt-in consent frameworks that comply with California law (its home market) as well as the roughly 18 other states with comprehensive privacy statutes—adding meaningful compliance overhead.</w:t>
      </w:r>
    </w:p>
    <w:p>
      <w:pPr>
        <w:pStyle w:val="BodyText"/>
      </w:pPr>
      <w:r>
        <w:rPr>
          <w:b/>
        </w:rPr>
        <w:t xml:space="preserve">The Hippo/Ring data model offers a template</w:t>
      </w:r>
      <w:r>
        <w:t xml:space="preserve">, showing that opt-in data sharing can be structured cleanly:</w:t>
      </w:r>
      <w:r>
        <w:t xml:space="preserve"> </w:t>
      </w:r>
      <w:r>
        <w:t xml:space="preserve">To qualify for the Hippo smart home policy discount, homeowners need to have Ring Alarm set up, link their Hippo and Ring accounts, and grant consent for Hippo to receive information from Ring.</w:t>
      </w:r>
      <w:r>
        <w:t xml:space="preserve"> </w:t>
      </w:r>
      <w:r>
        <w:t xml:space="preserve">A parallel Gridshare consent flow—where homeowners explicitly authorize sharing of specified data points (outage duration, battery status, HVAC continuity) rather than raw consumption data—could meaningfully reduce privacy concerns.</w:t>
      </w:r>
    </w:p>
    <w:p>
      <w:pPr>
        <w:pStyle w:val="Heading3"/>
      </w:pPr>
      <w:bookmarkStart w:id="31" w:name="X6d3e603753d97afba3dfd03777e242c326b5e93"/>
      <w:r>
        <w:t xml:space="preserve">2.5 No Direct Competitor Has Yet Executed This Model</w:t>
      </w:r>
      <w:bookmarkEnd w:id="31"/>
    </w:p>
    <w:p>
      <w:pPr>
        <w:pStyle w:val="FirstParagraph"/>
      </w:pPr>
      <w:r>
        <w:t xml:space="preserve">The absence of a direct battery-storage-to-insurance data partnership (e.g., no Tesla Powerwall × State Farm deal exists) is a real signal. The research found no existing deal between Enphase, SunPower, Generac, sonnen, or Tesla Energy and a major homeowner insurer around</w:t>
      </w:r>
      <w:r>
        <w:t xml:space="preserve"> </w:t>
      </w:r>
      <w:r>
        <w:rPr>
          <w:i/>
        </w:rPr>
        <w:t xml:space="preserve">data licensing for premium pricing</w:t>
      </w:r>
      <w:r>
        <w:t xml:space="preserve">. This could mean the opportunity is genuinely untapped—or that parties who explored it found structural barriers Lunar hasn’t yet encountered. The absence of evidence is not evidence of absence, but it is a caution signal.</w:t>
      </w:r>
    </w:p>
    <w:p>
      <w:pPr>
        <w:pStyle w:val="Heading3"/>
      </w:pPr>
      <w:bookmarkStart w:id="32" w:name="X5e604d1996858ec34e1e14318d50f02a3d71d79"/>
      <w:r>
        <w:t xml:space="preserve">2.6 Whisker Labs’ Economics Show Modest per-Sensor Revenue</w:t>
      </w:r>
      <w:bookmarkEnd w:id="32"/>
    </w:p>
    <w:p>
      <w:pPr>
        <w:pStyle w:val="FirstParagraph"/>
      </w:pPr>
      <w:r>
        <w:t xml:space="preserve">The Whisker Labs model is instructive about what Lunar should</w:t>
      </w:r>
      <w:r>
        <w:t xml:space="preserve"> </w:t>
      </w:r>
      <w:r>
        <w:rPr>
          <w:i/>
        </w:rPr>
        <w:t xml:space="preserve">not</w:t>
      </w:r>
      <w:r>
        <w:t xml:space="preserve"> </w:t>
      </w:r>
      <w:r>
        <w:t xml:space="preserve">expect: Ting sensors retail at approximately $349, and insurers pay for three-year service subscriptions plus a $1,000 repair credit.</w:t>
      </w:r>
      <w:r>
        <w:t xml:space="preserve"> </w:t>
      </w:r>
      <w:r>
        <w:t xml:space="preserve">Three years of Ting service is included, along with a $1,000 credit toward the cost of a licensed electrician to find and fix hazards found by Ting.</w:t>
      </w:r>
      <w:r>
        <w:t xml:space="preserve"> </w:t>
      </w:r>
      <w:r>
        <w:t xml:space="preserve">This suggests per-sensor annual economics of roughly $50–75/year in data/service fees to Whisker Labs—consistent with the hypothesis’ $50–150/home/year estimate at the lower end. Lunar should not expect to capture the top of that range without demonstrated actuarial proof.</w:t>
      </w:r>
    </w:p>
    <w:p>
      <w:r>
        <w:pict>
          <v:rect style="width:0;height:1.5pt" o:hralign="center" o:hrstd="t" o:hr="t"/>
        </w:pict>
      </w:r>
    </w:p>
    <w:p>
      <w:pPr>
        <w:pStyle w:val="Heading2"/>
      </w:pPr>
      <w:bookmarkStart w:id="33" w:name="comparable-examples"/>
      <w:r>
        <w:t xml:space="preserve">3. COMPARABLE EXAMPLES</w:t>
      </w:r>
      <w:bookmarkEnd w:id="33"/>
    </w:p>
    <w:p>
      <w:pPr>
        <w:pStyle w:val="Heading3"/>
      </w:pPr>
      <w:bookmarkStart w:id="34" w:name="whisker-labs-ting-the-closest-analogy"/>
      <w:r>
        <w:t xml:space="preserve">3.1 Whisker Labs / Ting — The Closest Analogy</w:t>
      </w:r>
      <w:bookmarkEnd w:id="34"/>
    </w:p>
    <w:p>
      <w:pPr>
        <w:pStyle w:val="FirstParagraph"/>
      </w:pPr>
      <w:r>
        <w:rPr>
          <w:b/>
        </w:rPr>
        <w:t xml:space="preserve">Structure:</w:t>
      </w:r>
      <w:r>
        <w:t xml:space="preserve"> </w:t>
      </w:r>
      <w:r>
        <w:t xml:space="preserve">Whisker Labs partnered with Hartford Steam Boiler (HSB, part of Munich Re) in 2018 to bring Ting to the insurance market.</w:t>
      </w:r>
      <w:r>
        <w:t xml:space="preserve"> </w:t>
      </w:r>
      <w:r>
        <w:t xml:space="preserve">HSB acts as the enterprise distribution intermediary, reselling Ting’s program to retail carriers. Participating carriers pay for sensors + monitoring subscriptions for eligible policyholders; Whisker Labs retains the recurring subscription revenue and data rights.</w:t>
      </w:r>
    </w:p>
    <w:p>
      <w:pPr>
        <w:pStyle w:val="BodyText"/>
      </w:pPr>
      <w:r>
        <w:rPr>
          <w:b/>
        </w:rPr>
        <w:t xml:space="preserve">Scale achieved:</w:t>
      </w:r>
      <w:r>
        <w:t xml:space="preserve"> </w:t>
      </w:r>
      <w:r>
        <w:t xml:space="preserve">State Farm, the largest insurer of vehicles and homes in the nation, is offering customers more than one million Ting sensors to help detect electrical hazards, providing eligible customers with the sensors at no cost.</w:t>
      </w:r>
    </w:p>
    <w:p>
      <w:pPr>
        <w:pStyle w:val="BodyText"/>
      </w:pPr>
      <w:r>
        <w:t xml:space="preserve">Since 2020, Labs @ State Farm has collaborated with Whisker Labs. More than 200K homes insured by State Farm are now monitored by a Ting sensor, resulting in thousands of success stories, and in many cases, imminent fire loss prevention.</w:t>
      </w:r>
    </w:p>
    <w:p>
      <w:pPr>
        <w:pStyle w:val="BodyText"/>
      </w:pPr>
      <w:r>
        <w:rPr>
          <w:b/>
        </w:rPr>
        <w:t xml:space="preserve">Performance metrics:</w:t>
      </w:r>
      <w:r>
        <w:t xml:space="preserve"> </w:t>
      </w:r>
      <w:r>
        <w:t xml:space="preserve">Ting recently surpassed 650,000 home years of monitoring experience nationally, finding fire and water hazards at a rate of 1 in 60 homes on average each year and predicting and preventing over 80% of electrical-related fires.</w:t>
      </w:r>
    </w:p>
    <w:p>
      <w:pPr>
        <w:pStyle w:val="BodyText"/>
      </w:pPr>
      <w:r>
        <w:t xml:space="preserve">Ting saves more than 10 homes per day from electrical fire hazard risk.</w:t>
      </w:r>
    </w:p>
    <w:p>
      <w:pPr>
        <w:pStyle w:val="BodyText"/>
      </w:pPr>
      <w:r>
        <w:rPr>
          <w:b/>
        </w:rPr>
        <w:t xml:space="preserve">Insurer economics (why it works):</w:t>
      </w:r>
      <w:r>
        <w:t xml:space="preserve"> </w:t>
      </w:r>
      <w:r>
        <w:t xml:space="preserve">The</w:t>
      </w:r>
      <w:r>
        <w:t xml:space="preserve"> </w:t>
      </w:r>
      <w:r>
        <w:t xml:space="preserve">“</w:t>
      </w:r>
      <w:r>
        <w:t xml:space="preserve">proven claims cost reductions allow us to provide this at no charge to our customers. It’s a sound business decision that helps keep our customers safe,</w:t>
      </w:r>
      <w:r>
        <w:t xml:space="preserve">”</w:t>
      </w:r>
      <w:r>
        <w:t xml:space="preserve"> </w:t>
      </w:r>
      <w:r>
        <w:t xml:space="preserve">said Farm Bureau Insurance of Michigan’s CEO.</w:t>
      </w:r>
      <w:r>
        <w:t xml:space="preserve"> </w:t>
      </w:r>
      <w:r>
        <w:t xml:space="preserve">The math: electrical fires cause</w:t>
      </w:r>
      <w:r>
        <w:t xml:space="preserve"> </w:t>
      </w:r>
      <w:r>
        <w:t xml:space="preserve">$100,000 in damages on average.</w:t>
      </w:r>
      <w:r>
        <w:t xml:space="preserve"> </w:t>
      </w:r>
      <w:r>
        <w:t xml:space="preserve">At 1 fire prevented per 60 homes per year, and a sensor/service cost of ~$100–150/home/year, the positive ROI for insurers is large—roughly $1,500+ in expected loss reduction per sensor annually versus a $100–150 cost.</w:t>
      </w:r>
    </w:p>
    <w:p>
      <w:pPr>
        <w:pStyle w:val="BodyText"/>
      </w:pPr>
      <w:r>
        <w:rPr>
          <w:b/>
        </w:rPr>
        <w:t xml:space="preserve">What Ting does NOT do that Gridshare can:</w:t>
      </w:r>
      <w:r>
        <w:t xml:space="preserve"> </w:t>
      </w:r>
      <w:r>
        <w:t xml:space="preserve">Ting is a plug-in sensor; it cannot see the full panel, monitor battery backup status, track HVAC continuity, or detect power outage duration. Gridshare’s Bridge panel has structural visibility that is categorically deeper.</w:t>
      </w:r>
    </w:p>
    <w:p>
      <w:pPr>
        <w:pStyle w:val="BodyText"/>
      </w:pPr>
      <w:r>
        <w:rPr>
          <w:b/>
        </w:rPr>
        <w:t xml:space="preserve">Engagement rates:</w:t>
      </w:r>
      <w:r>
        <w:t xml:space="preserve"> </w:t>
      </w:r>
      <w:r>
        <w:t xml:space="preserve">Ting achieves activation rates as high as 85% because Whisker Labs provides a turnkey, IoT fire prevention program that makes it easy for insurers to protect policyholders.</w:t>
      </w:r>
      <w:r>
        <w:t xml:space="preserve"> </w:t>
      </w:r>
      <w:r>
        <w:t xml:space="preserve">This is exceptionally high for insurer-distributed hardware and suggests strong consumer appetite.</w:t>
      </w:r>
    </w:p>
    <w:p>
      <w:pPr>
        <w:pStyle w:val="Heading3"/>
      </w:pPr>
      <w:bookmarkStart w:id="35" w:name="Xedaf3ceafad1610308fdab03c770e3175e79c08"/>
      <w:r>
        <w:t xml:space="preserve">3.2 Progressive Snapshot — The Telematics Playbook</w:t>
      </w:r>
      <w:bookmarkEnd w:id="35"/>
    </w:p>
    <w:p>
      <w:pPr>
        <w:pStyle w:val="FirstParagraph"/>
      </w:pPr>
      <w:r>
        <w:t xml:space="preserve">Progressive made its first move into usage-based insurance almost 30 years ago—back in 1996 with a product called</w:t>
      </w:r>
      <w:r>
        <w:t xml:space="preserve"> </w:t>
      </w:r>
      <w:r>
        <w:t xml:space="preserve">“</w:t>
      </w:r>
      <w:r>
        <w:t xml:space="preserve">Autograph.</w:t>
      </w:r>
      <w:r>
        <w:t xml:space="preserve">”</w:t>
      </w:r>
      <w:r>
        <w:t xml:space="preserve"> </w:t>
      </w:r>
      <w:r>
        <w:t xml:space="preserve">The evolution from professional-install hardware to consumer plug-in device to mobile app to continuous monitoring is a direct playbook Lunar can adapt.</w:t>
      </w:r>
    </w:p>
    <w:p>
      <w:pPr>
        <w:pStyle w:val="BodyText"/>
      </w:pPr>
      <w:r>
        <w:rPr>
          <w:b/>
        </w:rPr>
        <w:t xml:space="preserve">Current scale and savings:</w:t>
      </w:r>
      <w:r>
        <w:t xml:space="preserve"> </w:t>
      </w:r>
      <w:r>
        <w:t xml:space="preserve">Progressive has handed out over $2.2 billion in discounts since 2009.</w:t>
      </w:r>
    </w:p>
    <w:p>
      <w:pPr>
        <w:pStyle w:val="BodyText"/>
      </w:pPr>
      <w:r>
        <w:t xml:space="preserve">Drivers receive an average sign-up discount of $169. When it’s time to renew coverage after completing the Snapshot program, Progressive drivers earn an average of $322 per year in savings.</w:t>
      </w:r>
    </w:p>
    <w:p>
      <w:pPr>
        <w:pStyle w:val="BodyText"/>
      </w:pPr>
      <w:r>
        <w:rPr>
          <w:b/>
        </w:rPr>
        <w:t xml:space="preserve">Competitive moat:</w:t>
      </w:r>
      <w:r>
        <w:t xml:space="preserve"> </w:t>
      </w:r>
      <w:r>
        <w:t xml:space="preserve">Progressive’s CTO noted</w:t>
      </w:r>
      <w:r>
        <w:t xml:space="preserve"> </w:t>
      </w:r>
      <w:r>
        <w:t xml:space="preserve">“</w:t>
      </w:r>
      <w:r>
        <w:t xml:space="preserve">today, more people participate in Snapshot than ever before, providing data for longer periods of time that we can use to price more accurately than ever before.</w:t>
      </w:r>
      <w:r>
        <w:t xml:space="preserve">”</w:t>
      </w:r>
      <w:r>
        <w:t xml:space="preserve"> </w:t>
      </w:r>
      <w:r>
        <w:t xml:space="preserve">Telematics was described as</w:t>
      </w:r>
      <w:r>
        <w:t xml:space="preserve"> </w:t>
      </w:r>
      <w:r>
        <w:t xml:space="preserve">“</w:t>
      </w:r>
      <w:r>
        <w:t xml:space="preserve">the most predictive rating variable we have by a lot</w:t>
      </w:r>
      <w:r>
        <w:t xml:space="preserve">”</w:t>
      </w:r>
      <w:r>
        <w:t xml:space="preserve">—more than three times more predictive than the second most predictive variable.</w:t>
      </w:r>
      <w:r>
        <w:t xml:space="preserve"> </w:t>
      </w:r>
      <w:r>
        <w:t xml:space="preserve">This is the long-term prize: not just discount marketing, but becoming a fundamental underwriting signal.</w:t>
      </w:r>
    </w:p>
    <w:p>
      <w:pPr>
        <w:pStyle w:val="BodyText"/>
      </w:pPr>
      <w:r>
        <w:rPr>
          <w:b/>
        </w:rPr>
        <w:t xml:space="preserve">Key structural parallel for Lunar:</w:t>
      </w:r>
      <w:r>
        <w:t xml:space="preserve"> </w:t>
      </w:r>
      <w:r>
        <w:t xml:space="preserve">Progressive started discount-only, then added surcharge capability in 2014.</w:t>
      </w:r>
      <w:r>
        <w:t xml:space="preserve"> </w:t>
      </w:r>
      <w:r>
        <w:t xml:space="preserve">Discount-only programs</w:t>
      </w:r>
      <w:r>
        <w:t xml:space="preserve"> </w:t>
      </w:r>
      <w:r>
        <w:t xml:space="preserve">“</w:t>
      </w:r>
      <w:r>
        <w:t xml:space="preserve">make the economics a lot more challenging and limits the accuracy of the overall pricing.</w:t>
      </w:r>
      <w:r>
        <w:t xml:space="preserve">”</w:t>
      </w:r>
      <w:r>
        <w:t xml:space="preserve"> </w:t>
      </w:r>
      <w:r>
        <w:t xml:space="preserve">The maximum discount grew from 10% in 2014 to 40% in 2019 as the pricing accuracy improved.</w:t>
      </w:r>
      <w:r>
        <w:t xml:space="preserve"> </w:t>
      </w:r>
      <w:r>
        <w:t xml:space="preserve">Lunar should design its program with an explicit pathway from a simple</w:t>
      </w:r>
      <w:r>
        <w:t xml:space="preserve"> </w:t>
      </w:r>
      <w:r>
        <w:t xml:space="preserve">“</w:t>
      </w:r>
      <w:r>
        <w:t xml:space="preserve">battery-equipped home discount</w:t>
      </w:r>
      <w:r>
        <w:t xml:space="preserve">”</w:t>
      </w:r>
      <w:r>
        <w:t xml:space="preserve"> </w:t>
      </w:r>
      <w:r>
        <w:t xml:space="preserve">toward a richer behavioral signal (outage frequency, heating continuity during cold snaps, sump pump operation) as data accumulates.</w:t>
      </w:r>
    </w:p>
    <w:p>
      <w:pPr>
        <w:pStyle w:val="Heading3"/>
      </w:pPr>
      <w:bookmarkStart w:id="36" w:name="X150715c721e6c3702a80393a0c090df1201c75d"/>
      <w:r>
        <w:t xml:space="preserve">3.3 Tesla Insurance — The Vertically Integrated Model</w:t>
      </w:r>
      <w:bookmarkEnd w:id="36"/>
    </w:p>
    <w:p>
      <w:pPr>
        <w:pStyle w:val="FirstParagraph"/>
      </w:pPr>
      <w:r>
        <w:t xml:space="preserve">Tesla Insurance premium is based on the vehicle, garaging address, amount driven, and the vehicle’s monthly Safety Score. As the Safety Score increases, the premium decreases. Unlike any other telematics product, no additional device is needed—Tesla Real-Time Insurance uses specific features within Tesla vehicles.</w:t>
      </w:r>
    </w:p>
    <w:p>
      <w:pPr>
        <w:pStyle w:val="BodyText"/>
      </w:pPr>
      <w:r>
        <w:t xml:space="preserve">This is the</w:t>
      </w:r>
      <w:r>
        <w:t xml:space="preserve"> </w:t>
      </w:r>
      <w:r>
        <w:rPr>
          <w:i/>
        </w:rPr>
        <w:t xml:space="preserve">purest</w:t>
      </w:r>
      <w:r>
        <w:t xml:space="preserve"> </w:t>
      </w:r>
      <w:r>
        <w:t xml:space="preserve">analogy to Lunar’s situation: the hardware (vehicle/battery system) is already deployed, already connected, already generating relevant risk data. Tesla eliminated the hardware distribution problem entirely.</w:t>
      </w:r>
      <w:r>
        <w:t xml:space="preserve"> </w:t>
      </w:r>
      <w:r>
        <w:t xml:space="preserve">Tesla Insurance generates its rates with a Safety Score that uses onboard vehicle telematics to measure driver behavior and establish pricing based on an individual’s day-to-day habits.</w:t>
      </w:r>
    </w:p>
    <w:p>
      <w:pPr>
        <w:pStyle w:val="BodyText"/>
      </w:pPr>
      <w:r>
        <w:rPr>
          <w:b/>
        </w:rPr>
        <w:t xml:space="preserve">Important caveat:</w:t>
      </w:r>
      <w:r>
        <w:t xml:space="preserve"> </w:t>
      </w:r>
      <w:r>
        <w:t xml:space="preserve">Tesla’s insurance arm has seen substantial growth, but financial reports indicate challenges, with Tesla’s insurance carriers reporting a net underwriting loss of $42 million over the first nine months of a recent year.</w:t>
      </w:r>
      <w:r>
        <w:t xml:space="preserve"> </w:t>
      </w:r>
      <w:r>
        <w:t xml:space="preserve">Being the insurer is far riskier than being the</w:t>
      </w:r>
      <w:r>
        <w:t xml:space="preserve"> </w:t>
      </w:r>
      <w:r>
        <w:rPr>
          <w:i/>
        </w:rPr>
        <w:t xml:space="preserve">data licensor</w:t>
      </w:r>
      <w:r>
        <w:t xml:space="preserve"> </w:t>
      </w:r>
      <w:r>
        <w:t xml:space="preserve">to insurers. Lunar should focus on the Whisker Labs B2B-to-carrier model, not the Tesla direct-to-consumer insurer model.</w:t>
      </w:r>
    </w:p>
    <w:p>
      <w:pPr>
        <w:pStyle w:val="BodyText"/>
      </w:pPr>
      <w:r>
        <w:rPr>
          <w:b/>
        </w:rPr>
        <w:t xml:space="preserve">Expansion signal:</w:t>
      </w:r>
      <w:r>
        <w:t xml:space="preserve"> </w:t>
      </w:r>
      <w:r>
        <w:t xml:space="preserve">Tesla’s insurance program resumed expansion after a pause, with two new markets announced—</w:t>
      </w:r>
      <w:r>
        <w:t xml:space="preserve">“</w:t>
      </w:r>
      <w:r>
        <w:t xml:space="preserve">likely means that customers in the US can look forward to further and faster expansions throughout 2026.</w:t>
      </w:r>
      <w:r>
        <w:t xml:space="preserve">”</w:t>
      </w:r>
      <w:r>
        <w:t xml:space="preserve"> </w:t>
      </w:r>
      <w:r>
        <w:t xml:space="preserve">The trend toward telemetry-priced insurance is accelerating, creating a window for Lunar.</w:t>
      </w:r>
    </w:p>
    <w:p>
      <w:pPr>
        <w:pStyle w:val="Heading3"/>
      </w:pPr>
      <w:bookmarkStart w:id="37" w:name="X75f35c6bb32728d4fd693e6ea79307fca063e9b"/>
      <w:r>
        <w:t xml:space="preserve">3.4 Hippo Insurance — Smart Home Discount Structure</w:t>
      </w:r>
      <w:bookmarkEnd w:id="37"/>
    </w:p>
    <w:p>
      <w:pPr>
        <w:pStyle w:val="FirstParagraph"/>
      </w:pPr>
      <w:r>
        <w:t xml:space="preserve">Hippo customers can choose products from Ring, SimpliSafe, and Notion to qualify for a 10% to 13% discount on their home policy.</w:t>
      </w:r>
      <w:r>
        <w:t xml:space="preserve"> </w:t>
      </w:r>
      <w:r>
        <w:t xml:space="preserve">Critically, Hippo’s approach treats the</w:t>
      </w:r>
      <w:r>
        <w:t xml:space="preserve"> </w:t>
      </w:r>
      <w:r>
        <w:rPr>
          <w:i/>
        </w:rPr>
        <w:t xml:space="preserve">category of device</w:t>
      </w:r>
      <w:r>
        <w:t xml:space="preserve"> </w:t>
      </w:r>
      <w:r>
        <w:t xml:space="preserve">as the discount trigger—not behavioral data from the device.</w:t>
      </w:r>
      <w:r>
        <w:t xml:space="preserve"> </w:t>
      </w:r>
      <w:r>
        <w:t xml:space="preserve">The data from smart home devices reports back to the homeowner, not Hippo. The only information Hippo Insurance receives is whether the smart home kit is active—the active status ensures the smart home discount year after year.</w:t>
      </w:r>
    </w:p>
    <w:p>
      <w:pPr>
        <w:pStyle w:val="BodyText"/>
      </w:pPr>
      <w:r>
        <w:t xml:space="preserve">This</w:t>
      </w:r>
      <w:r>
        <w:t xml:space="preserve"> </w:t>
      </w:r>
      <w:r>
        <w:t xml:space="preserve">“</w:t>
      </w:r>
      <w:r>
        <w:t xml:space="preserve">activation status only</w:t>
      </w:r>
      <w:r>
        <w:t xml:space="preserve">”</w:t>
      </w:r>
      <w:r>
        <w:t xml:space="preserve"> </w:t>
      </w:r>
      <w:r>
        <w:t xml:space="preserve">model is a low-friction privacy approach that Lunar could adopt as a Phase 1 program—simply attesting that Gridshare is enrolled and active triggers a premium discount, without sharing detailed energy data. This sidesteps CCPA complexity in the early market while building the trust relationship needed for richer data sharing later.</w:t>
      </w:r>
    </w:p>
    <w:p>
      <w:pPr>
        <w:pStyle w:val="BodyText"/>
      </w:pPr>
      <w:r>
        <w:rPr>
          <w:b/>
        </w:rPr>
        <w:t xml:space="preserve">Discount ceiling challenge:</w:t>
      </w:r>
      <w:r>
        <w:t xml:space="preserve"> </w:t>
      </w:r>
      <w:r>
        <w:t xml:space="preserve">On average, Hippo customers with a smart home discount save $64 a year with a self-monitoring kit and $91 a year with a pro-monitoring kit.</w:t>
      </w:r>
      <w:r>
        <w:t xml:space="preserve"> </w:t>
      </w:r>
      <w:r>
        <w:t xml:space="preserve">These modest discounts suggest basic device monitoring doesn’t move the needle for insurers’ actuarial models. Lunar must demonstrate</w:t>
      </w:r>
      <w:r>
        <w:t xml:space="preserve"> </w:t>
      </w:r>
      <w:r>
        <w:rPr>
          <w:i/>
        </w:rPr>
        <w:t xml:space="preserve">behavioral risk reduction</w:t>
      </w:r>
      <w:r>
        <w:t xml:space="preserve"> </w:t>
      </w:r>
      <w:r>
        <w:t xml:space="preserve">(prevented generator deployment, maintained heating, reduced outage consequence frequency) rather than simply device presence.</w:t>
      </w:r>
    </w:p>
    <w:p>
      <w:r>
        <w:pict>
          <v:rect style="width:0;height:1.5pt" o:hralign="center" o:hrstd="t" o:hr="t"/>
        </w:pict>
      </w:r>
    </w:p>
    <w:p>
      <w:pPr>
        <w:pStyle w:val="Heading2"/>
      </w:pPr>
      <w:bookmarkStart w:id="38" w:name="feasibility-assessment"/>
      <w:r>
        <w:t xml:space="preserve">4. FEASIBILITY ASSESSMENT</w:t>
      </w:r>
      <w:bookmarkEnd w:id="38"/>
    </w:p>
    <w:p>
      <w:pPr>
        <w:pStyle w:val="Heading3"/>
      </w:pPr>
      <w:bookmarkStart w:id="39" w:name="technical-feasibility-high"/>
      <w:r>
        <w:t xml:space="preserve">4.1 Technical Feasibility: HIGH ✅</w:t>
      </w:r>
      <w:bookmarkEnd w:id="39"/>
    </w:p>
    <w:p>
      <w:pPr>
        <w:pStyle w:val="FirstParagraph"/>
      </w:pPr>
      <w:r>
        <w:t xml:space="preserve">Gridshare’s existing data architecture—processing 40 billion data points monthly across 150,000 devices—already generates the raw data needed. The key technical work required is:</w:t>
      </w:r>
    </w:p>
    <w:p>
      <w:pPr>
        <w:numPr>
          <w:ilvl w:val="0"/>
          <w:numId w:val="1002"/>
        </w:numPr>
        <w:pStyle w:val="Compact"/>
      </w:pPr>
      <w:r>
        <w:rPr>
          <w:b/>
        </w:rPr>
        <w:t xml:space="preserve">Signal extraction:</w:t>
      </w:r>
      <w:r>
        <w:t xml:space="preserve"> </w:t>
      </w:r>
      <w:r>
        <w:t xml:space="preserve">Develop actuarially relevant</w:t>
      </w:r>
      <w:r>
        <w:t xml:space="preserve"> </w:t>
      </w:r>
      <w:r>
        <w:rPr>
          <w:i/>
        </w:rPr>
        <w:t xml:space="preserve">derived signals</w:t>
      </w:r>
      <w:r>
        <w:t xml:space="preserve"> </w:t>
      </w:r>
      <w:r>
        <w:t xml:space="preserve">from the raw data stream (e.g.,</w:t>
      </w:r>
      <w:r>
        <w:t xml:space="preserve"> </w:t>
      </w:r>
      <w:r>
        <w:t xml:space="preserve">“</w:t>
      </w:r>
      <w:r>
        <w:t xml:space="preserve">heating system operational during freeze event,</w:t>
      </w:r>
      <w:r>
        <w:t xml:space="preserve">”</w:t>
      </w:r>
      <w:r>
        <w:t xml:space="preserve"> </w:t>
      </w:r>
      <w:r>
        <w:t xml:space="preserve">“</w:t>
      </w:r>
      <w:r>
        <w:t xml:space="preserve">generator-free outage response,</w:t>
      </w:r>
      <w:r>
        <w:t xml:space="preserve">”</w:t>
      </w:r>
      <w:r>
        <w:t xml:space="preserve"> </w:t>
      </w:r>
      <w:r>
        <w:t xml:space="preserve">“</w:t>
      </w:r>
      <w:r>
        <w:t xml:space="preserve">arc fault precursor detection via Bridge panel</w:t>
      </w:r>
      <w:r>
        <w:t xml:space="preserve">”</w:t>
      </w:r>
      <w:r>
        <w:t xml:space="preserve">) rather than sharing raw energy data</w:t>
      </w:r>
    </w:p>
    <w:p>
      <w:pPr>
        <w:numPr>
          <w:ilvl w:val="0"/>
          <w:numId w:val="1002"/>
        </w:numPr>
        <w:pStyle w:val="Compact"/>
      </w:pPr>
      <w:r>
        <w:rPr>
          <w:b/>
        </w:rPr>
        <w:t xml:space="preserve">API packaging:</w:t>
      </w:r>
      <w:r>
        <w:t xml:space="preserve"> </w:t>
      </w:r>
      <w:r>
        <w:t xml:space="preserve">Build a secure, rate-limited API for insurer partners with appropriate field-level data access controls</w:t>
      </w:r>
    </w:p>
    <w:p>
      <w:pPr>
        <w:numPr>
          <w:ilvl w:val="0"/>
          <w:numId w:val="1002"/>
        </w:numPr>
        <w:pStyle w:val="Compact"/>
      </w:pPr>
      <w:r>
        <w:rPr>
          <w:b/>
        </w:rPr>
        <w:t xml:space="preserve">Consent management:</w:t>
      </w:r>
      <w:r>
        <w:t xml:space="preserve"> </w:t>
      </w:r>
      <w:r>
        <w:t xml:space="preserve">Build explicit opt-in consent flows compliant with CCPA and parallel state laws</w:t>
      </w:r>
    </w:p>
    <w:p>
      <w:pPr>
        <w:numPr>
          <w:ilvl w:val="0"/>
          <w:numId w:val="1002"/>
        </w:numPr>
        <w:pStyle w:val="Compact"/>
      </w:pPr>
      <w:r>
        <w:rPr>
          <w:b/>
        </w:rPr>
        <w:t xml:space="preserve">Audit/attestation layer:</w:t>
      </w:r>
      <w:r>
        <w:t xml:space="preserve"> </w:t>
      </w:r>
      <w:r>
        <w:t xml:space="preserve">Provide insurers with verifiable monthly or quarterly attestations of Gridshare enrollment status and key risk signals</w:t>
      </w:r>
    </w:p>
    <w:p>
      <w:pPr>
        <w:pStyle w:val="FirstParagraph"/>
      </w:pPr>
      <w:r>
        <w:t xml:space="preserve">None of this requires new hardware—it requires product and engineering investment in data pipeline architecture, which Lunar already operates at scale.</w:t>
      </w:r>
    </w:p>
    <w:p>
      <w:pPr>
        <w:pStyle w:val="Heading3"/>
      </w:pPr>
      <w:bookmarkStart w:id="40" w:name="commercial-feasibility-moderate-high"/>
      <w:r>
        <w:t xml:space="preserve">4.2 Commercial Feasibility: MODERATE-HIGH ✅⚠️</w:t>
      </w:r>
      <w:bookmarkEnd w:id="40"/>
    </w:p>
    <w:p>
      <w:pPr>
        <w:pStyle w:val="FirstParagraph"/>
      </w:pPr>
      <w:r>
        <w:t xml:space="preserve">The Whisker Labs model provides clear proof that insurers will pay for prevention-adjacent sensor programs. The natural entry point for Lunar is Hartford Steam Boiler (Munich Re’s HSB subsidiary), which already manages Ting distribution to the insurance market and has an explicit mandate to develop IoT risk programs.</w:t>
      </w:r>
      <w:r>
        <w:t xml:space="preserve"> </w:t>
      </w:r>
      <w:r>
        <w:t xml:space="preserve">Nationwide has reached over 50,000 customers with Ting fire prevention technology in partnership with Whisker Labs and Hartford Steam Boiler, and since 2018 HSB has partnered with Whisker Labs to help bring Ting to the insurance market.</w:t>
      </w:r>
      <w:r>
        <w:t xml:space="preserve"> </w:t>
      </w:r>
      <w:r>
        <w:t xml:space="preserve">HSB is the natural first call.</w:t>
      </w:r>
    </w:p>
    <w:p>
      <w:pPr>
        <w:pStyle w:val="BodyText"/>
      </w:pPr>
      <w:r>
        <w:t xml:space="preserve">The challenge is that Lunar must first build an</w:t>
      </w:r>
      <w:r>
        <w:t xml:space="preserve"> </w:t>
      </w:r>
      <w:r>
        <w:rPr>
          <w:i/>
        </w:rPr>
        <w:t xml:space="preserve">actuarial case</w:t>
      </w:r>
      <w:r>
        <w:t xml:space="preserve">—insurers will not price a discount without loss-reduction evidence. Lunar’s 150,000-device fleet provides a large enough population to run a retrospective analysis comparing claims frequency for Gridshare-enrolled homes versus comparable non-enrolled homes. This 12–18 month data development exercise is the critical prerequisite.</w:t>
      </w:r>
    </w:p>
    <w:p>
      <w:pPr>
        <w:pStyle w:val="Heading3"/>
      </w:pPr>
      <w:bookmarkStart w:id="41" w:name="regulatory-feasibility-moderate"/>
      <w:r>
        <w:t xml:space="preserve">4.3 Regulatory Feasibility: MODERATE ✅⚠️</w:t>
      </w:r>
      <w:bookmarkEnd w:id="41"/>
    </w:p>
    <w:p>
      <w:pPr>
        <w:pStyle w:val="FirstParagraph"/>
      </w:pPr>
      <w:r>
        <w:t xml:space="preserve">The Progressive Snapshot and Tesla Insurance models demonstrate that state insurance regulators will approve telematics-based pricing programs when properly structured. However:</w:t>
      </w:r>
    </w:p>
    <w:p>
      <w:pPr>
        <w:numPr>
          <w:ilvl w:val="0"/>
          <w:numId w:val="1003"/>
        </w:numPr>
      </w:pPr>
      <w:r>
        <w:rPr>
          <w:b/>
        </w:rPr>
        <w:t xml:space="preserve">California (Lunar’s core market)</w:t>
      </w:r>
      <w:r>
        <w:t xml:space="preserve"> </w:t>
      </w:r>
      <w:r>
        <w:t xml:space="preserve">does not permit telematics-based surcharges in home insurance (mirroring its restriction on auto telematics surcharges), meaning Lunar’s program must be structured as a</w:t>
      </w:r>
      <w:r>
        <w:t xml:space="preserve"> </w:t>
      </w:r>
      <w:r>
        <w:rPr>
          <w:b/>
        </w:rPr>
        <w:t xml:space="preserve">discount-only program</w:t>
      </w:r>
      <w:r>
        <w:t xml:space="preserve"> </w:t>
      </w:r>
      <w:r>
        <w:t xml:space="preserve">in California—limiting full pricing signal exploitation</w:t>
      </w:r>
    </w:p>
    <w:p>
      <w:pPr>
        <w:numPr>
          <w:ilvl w:val="0"/>
          <w:numId w:val="1003"/>
        </w:numPr>
      </w:pPr>
      <w:r>
        <w:rPr>
          <w:b/>
        </w:rPr>
        <w:t xml:space="preserve">CCPA compliance</w:t>
      </w:r>
      <w:r>
        <w:t xml:space="preserve"> </w:t>
      </w:r>
      <w:r>
        <w:t xml:space="preserve">requires explicit opt-in, clear data use disclosure, and the right to opt out without losing the core product—all achievable but operationally non-trivial</w:t>
      </w:r>
    </w:p>
    <w:p>
      <w:pPr>
        <w:numPr>
          <w:ilvl w:val="0"/>
          <w:numId w:val="1003"/>
        </w:numPr>
      </w:pPr>
      <w:r>
        <w:t xml:space="preserve">CCPA’s requirements apply to personal information</w:t>
      </w:r>
      <w:r>
        <w:t xml:space="preserve"> </w:t>
      </w:r>
      <w:r>
        <w:t xml:space="preserve">“</w:t>
      </w:r>
      <w:r>
        <w:t xml:space="preserve">collected for purposes not in connection with an insurance transaction</w:t>
      </w:r>
      <w:r>
        <w:t xml:space="preserve">”</w:t>
      </w:r>
      <w:r>
        <w:t xml:space="preserve">—meaning Lunar, as the data originator, must structure the program to comply, while insurers handling the data in the context of underwriting receive different treatment under California’s Insurance Code.</w:t>
      </w:r>
    </w:p>
    <w:p>
      <w:pPr>
        <w:numPr>
          <w:ilvl w:val="0"/>
          <w:numId w:val="1003"/>
        </w:numPr>
      </w:pPr>
      <w:r>
        <w:t xml:space="preserve">The opt-in model (analogous to Progressive Snapshot’s voluntary enrollment) is the appropriate structure: consumers who want the discount consent to data sharing; those who don’t, don’t—this sidesteps the most contentious privacy objections</w:t>
      </w:r>
    </w:p>
    <w:p>
      <w:pPr>
        <w:pStyle w:val="Heading3"/>
      </w:pPr>
      <w:bookmarkStart w:id="42" w:name="organizational-feasibility-moderate"/>
      <w:r>
        <w:t xml:space="preserve">4.4 Organizational Feasibility: MODERATE ✅⚠️</w:t>
      </w:r>
      <w:bookmarkEnd w:id="42"/>
    </w:p>
    <w:p>
      <w:pPr>
        <w:pStyle w:val="FirstParagraph"/>
      </w:pPr>
      <w:r>
        <w:t xml:space="preserve">This requires Lunar to develop entirely new competencies: insurance industry business development, actuarial analysis partnerships, regulatory compliance across 50 states, and data product management for B2B enterprise clients. These capabilities do not currently exist at a battery storage company. However, the most direct path is to partner with an intermediary (HSB/Munich Re, or a specialized insurtech like Hippo or Metromile) that already has these capabilities and can handle the carrier-facing distribution, leaving Lunar to focus on data packaging and API development.</w:t>
      </w:r>
    </w:p>
    <w:p>
      <w:r>
        <w:pict>
          <v:rect style="width:0;height:1.5pt" o:hralign="center" o:hrstd="t" o:hr="t"/>
        </w:pict>
      </w:r>
    </w:p>
    <w:p>
      <w:pPr>
        <w:pStyle w:val="Heading2"/>
      </w:pPr>
      <w:bookmarkStart w:id="43" w:name="magnitude-estimate"/>
      <w:r>
        <w:t xml:space="preserve">5. MAGNITUDE ESTIMATE</w:t>
      </w:r>
      <w:bookmarkEnd w:id="43"/>
    </w:p>
    <w:p>
      <w:pPr>
        <w:pStyle w:val="Heading3"/>
      </w:pPr>
      <w:bookmarkStart w:id="44" w:name="revenue-model"/>
      <w:r>
        <w:t xml:space="preserve">5.1 Revenue Model</w:t>
      </w:r>
      <w:bookmarkEnd w:id="44"/>
    </w:p>
    <w:p>
      <w:pPr>
        <w:pStyle w:val="FirstParagraph"/>
      </w:pPr>
      <w:r>
        <w:rPr>
          <w:b/>
        </w:rPr>
        <w:t xml:space="preserve">Structure:</w:t>
      </w:r>
      <w:r>
        <w:t xml:space="preserve"> </w:t>
      </w:r>
      <w:r>
        <w:t xml:space="preserve">Lunar licenses a</w:t>
      </w:r>
      <w:r>
        <w:t xml:space="preserve"> </w:t>
      </w:r>
      <w:r>
        <w:t xml:space="preserve">“</w:t>
      </w:r>
      <w:r>
        <w:t xml:space="preserve">Gridshare Risk Intelligence Score</w:t>
      </w:r>
      <w:r>
        <w:t xml:space="preserve">”</w:t>
      </w:r>
      <w:r>
        <w:t xml:space="preserve"> </w:t>
      </w:r>
      <w:r>
        <w:t xml:space="preserve">to participating insurers on a per-enrolled-home, per-year basis. Fee range: $50–$120/home/year (below Whisker Labs’ implied ~$100–150 for sensor + service, reflecting Lunar’s hardware-free delivery).</w:t>
      </w:r>
    </w:p>
    <w:p>
      <w:pPr>
        <w:pStyle w:val="BodyText"/>
      </w:pPr>
      <w:r>
        <w:rPr>
          <w:b/>
        </w:rPr>
        <w:t xml:space="preserve">Consumer-facing discount:</w:t>
      </w:r>
      <w:r>
        <w:t xml:space="preserve"> </w:t>
      </w:r>
      <w:r>
        <w:t xml:space="preserve">$100–$400/year on homeowner premiums for Gridshare-enrolled homes.</w:t>
      </w:r>
    </w:p>
    <w:p>
      <w:pPr>
        <w:pStyle w:val="BodyText"/>
      </w:pPr>
      <w:r>
        <w:rPr>
          <w:b/>
        </w:rPr>
        <w:t xml:space="preserve">Revenue projections:</w:t>
      </w:r>
    </w:p>
    <w:tbl>
      <w:tblPr>
        <w:tblStyle w:val="Table"/>
        <w:tblW w:type="pct" w:w="0.0"/>
        <w:tblLook w:firstRow="1"/>
      </w:tblPr>
      <w:tblGrid/>
      <w:tr>
        <w:trPr>
          <w:cnfStyle w:firstRow="1"/>
        </w:trPr>
        <w:tc>
          <w:tcPr>
            <w:tcBorders>
              <w:bottom w:val="single"/>
            </w:tcBorders>
            <w:vAlign w:val="bottom"/>
          </w:tcPr>
          <w:p>
            <w:pPr>
              <w:pStyle w:val="Compact"/>
              <w:jc w:val="left"/>
            </w:pPr>
            <w:r>
              <w:t xml:space="preserve">Device Fleet</w:t>
            </w:r>
          </w:p>
        </w:tc>
        <w:tc>
          <w:tcPr>
            <w:tcBorders>
              <w:bottom w:val="single"/>
            </w:tcBorders>
            <w:vAlign w:val="bottom"/>
          </w:tcPr>
          <w:p>
            <w:pPr>
              <w:pStyle w:val="Compact"/>
              <w:jc w:val="left"/>
            </w:pPr>
            <w:r>
              <w:t xml:space="preserve">Low ($50/home/yr)</w:t>
            </w:r>
          </w:p>
        </w:tc>
        <w:tc>
          <w:tcPr>
            <w:tcBorders>
              <w:bottom w:val="single"/>
            </w:tcBorders>
            <w:vAlign w:val="bottom"/>
          </w:tcPr>
          <w:p>
            <w:pPr>
              <w:pStyle w:val="Compact"/>
              <w:jc w:val="left"/>
            </w:pPr>
            <w:r>
              <w:t xml:space="preserve">Mid ($85/home/yr)</w:t>
            </w:r>
          </w:p>
        </w:tc>
        <w:tc>
          <w:tcPr>
            <w:tcBorders>
              <w:bottom w:val="single"/>
            </w:tcBorders>
            <w:vAlign w:val="bottom"/>
          </w:tcPr>
          <w:p>
            <w:pPr>
              <w:pStyle w:val="Compact"/>
              <w:jc w:val="left"/>
            </w:pPr>
            <w:r>
              <w:t xml:space="preserve">High ($120/home/yr)</w:t>
            </w:r>
          </w:p>
        </w:tc>
      </w:tr>
      <w:tr>
        <w:tc>
          <w:p>
            <w:pPr>
              <w:pStyle w:val="Compact"/>
              <w:jc w:val="left"/>
            </w:pPr>
            <w:r>
              <w:t xml:space="preserve">150,000 (current)</w:t>
            </w:r>
          </w:p>
        </w:tc>
        <w:tc>
          <w:p>
            <w:pPr>
              <w:pStyle w:val="Compact"/>
              <w:jc w:val="left"/>
            </w:pPr>
            <w:r>
              <w:t xml:space="preserve">$7.5M/yr</w:t>
            </w:r>
          </w:p>
        </w:tc>
        <w:tc>
          <w:p>
            <w:pPr>
              <w:pStyle w:val="Compact"/>
              <w:jc w:val="left"/>
            </w:pPr>
            <w:r>
              <w:t xml:space="preserve">$12.75M/yr</w:t>
            </w:r>
          </w:p>
        </w:tc>
        <w:tc>
          <w:p>
            <w:pPr>
              <w:pStyle w:val="Compact"/>
              <w:jc w:val="left"/>
            </w:pPr>
            <w:r>
              <w:t xml:space="preserve">$18M/yr</w:t>
            </w:r>
          </w:p>
        </w:tc>
      </w:tr>
      <w:tr>
        <w:tc>
          <w:p>
            <w:pPr>
              <w:pStyle w:val="Compact"/>
              <w:jc w:val="left"/>
            </w:pPr>
            <w:r>
              <w:t xml:space="preserve">300,000 (18–24 month)</w:t>
            </w:r>
          </w:p>
        </w:tc>
        <w:tc>
          <w:p>
            <w:pPr>
              <w:pStyle w:val="Compact"/>
              <w:jc w:val="left"/>
            </w:pPr>
            <w:r>
              <w:t xml:space="preserve">$15M/yr</w:t>
            </w:r>
          </w:p>
        </w:tc>
        <w:tc>
          <w:p>
            <w:pPr>
              <w:pStyle w:val="Compact"/>
              <w:jc w:val="left"/>
            </w:pPr>
            <w:r>
              <w:t xml:space="preserve">$25.5M/yr</w:t>
            </w:r>
          </w:p>
        </w:tc>
        <w:tc>
          <w:p>
            <w:pPr>
              <w:pStyle w:val="Compact"/>
              <w:jc w:val="left"/>
            </w:pPr>
            <w:r>
              <w:t xml:space="preserve">$36M/yr</w:t>
            </w:r>
          </w:p>
        </w:tc>
      </w:tr>
      <w:tr>
        <w:tc>
          <w:p>
            <w:pPr>
              <w:pStyle w:val="Compact"/>
              <w:jc w:val="left"/>
            </w:pPr>
            <w:r>
              <w:t xml:space="preserve">500,000 (3–4 year)</w:t>
            </w:r>
          </w:p>
        </w:tc>
        <w:tc>
          <w:p>
            <w:pPr>
              <w:pStyle w:val="Compact"/>
              <w:jc w:val="left"/>
            </w:pPr>
            <w:r>
              <w:t xml:space="preserve">$25M/yr</w:t>
            </w:r>
          </w:p>
        </w:tc>
        <w:tc>
          <w:p>
            <w:pPr>
              <w:pStyle w:val="Compact"/>
              <w:jc w:val="left"/>
            </w:pPr>
            <w:r>
              <w:t xml:space="preserve">$42.5M/yr</w:t>
            </w:r>
          </w:p>
        </w:tc>
        <w:tc>
          <w:p>
            <w:pPr>
              <w:pStyle w:val="Compact"/>
              <w:jc w:val="left"/>
            </w:pPr>
            <w:r>
              <w:t xml:space="preserve">$60M/yr</w:t>
            </w:r>
          </w:p>
        </w:tc>
      </w:tr>
      <w:tr>
        <w:tc>
          <w:p>
            <w:pPr>
              <w:pStyle w:val="Compact"/>
              <w:jc w:val="left"/>
            </w:pPr>
            <w:r>
              <w:t xml:space="preserve">1M (5+ year)</w:t>
            </w:r>
          </w:p>
        </w:tc>
        <w:tc>
          <w:p>
            <w:pPr>
              <w:pStyle w:val="Compact"/>
              <w:jc w:val="left"/>
            </w:pPr>
            <w:r>
              <w:t xml:space="preserve">$50M/yr</w:t>
            </w:r>
          </w:p>
        </w:tc>
        <w:tc>
          <w:p>
            <w:pPr>
              <w:pStyle w:val="Compact"/>
              <w:jc w:val="left"/>
            </w:pPr>
            <w:r>
              <w:t xml:space="preserve">$85M/yr</w:t>
            </w:r>
          </w:p>
        </w:tc>
        <w:tc>
          <w:p>
            <w:pPr>
              <w:pStyle w:val="Compact"/>
              <w:jc w:val="left"/>
            </w:pPr>
            <w:r>
              <w:t xml:space="preserve">$120M/yr</w:t>
            </w:r>
          </w:p>
        </w:tc>
      </w:tr>
    </w:tbl>
    <w:p>
      <w:pPr>
        <w:pStyle w:val="BodyText"/>
      </w:pPr>
      <w:r>
        <w:rPr>
          <w:b/>
        </w:rPr>
        <w:t xml:space="preserve">Realistic near-term target (Year 2–3):</w:t>
      </w:r>
      <w:r>
        <w:t xml:space="preserve"> </w:t>
      </w:r>
      <w:r>
        <w:t xml:space="preserve">$15–25M/year at current device trajectory, representing a meaningful new revenue stream on top of hardware and software revenues.</w:t>
      </w:r>
    </w:p>
    <w:p>
      <w:pPr>
        <w:pStyle w:val="Heading3"/>
      </w:pPr>
      <w:bookmarkStart w:id="45" w:name="Xff2f708bfad10a47f2780c83390214cd65ff062"/>
      <w:r>
        <w:t xml:space="preserve">5.2 Customer Acquisition Value (Harder to Quantify, Potentially Larger)</w:t>
      </w:r>
      <w:bookmarkEnd w:id="45"/>
    </w:p>
    <w:p>
      <w:pPr>
        <w:pStyle w:val="FirstParagraph"/>
      </w:pPr>
      <w:r>
        <w:t xml:space="preserve">The insurance subsidy model—where participating insurers pay for Gridshare subscription fees for non-Lunar-battery households in exchange for monitoring data—could dramatically expand Lunar’s software fleet at insurer expense. If 5 major carriers each subsidize 20,000 Gridshare enrollments at $85/year = $8.5M in annual software revenue</w:t>
      </w:r>
      <w:r>
        <w:t xml:space="preserve"> </w:t>
      </w:r>
      <w:r>
        <w:rPr>
          <w:i/>
        </w:rPr>
        <w:t xml:space="preserve">and</w:t>
      </w:r>
      <w:r>
        <w:t xml:space="preserve"> </w:t>
      </w:r>
      <w:r>
        <w:t xml:space="preserve">100,000 new software leads for Lunar Energy’s hardware sales pipeline. This flywheel effect may ultimately exceed the direct data licensing revenue.</w:t>
      </w:r>
    </w:p>
    <w:p>
      <w:pPr>
        <w:pStyle w:val="Heading3"/>
      </w:pPr>
      <w:bookmarkStart w:id="46" w:name="tam-for-battery-insurance-products"/>
      <w:r>
        <w:t xml:space="preserve">5.3 TAM for Battery-Insurance Products</w:t>
      </w:r>
      <w:bookmarkEnd w:id="46"/>
    </w:p>
    <w:p>
      <w:pPr>
        <w:pStyle w:val="FirstParagraph"/>
      </w:pPr>
      <w:r>
        <w:t xml:space="preserve">Thirteen states now pay an average of more than $2,000 a year in home insurance premiums.</w:t>
      </w:r>
    </w:p>
    <w:p>
      <w:pPr>
        <w:pStyle w:val="BodyText"/>
      </w:pPr>
      <w:r>
        <w:t xml:space="preserve">In 2024, 65.3% of occupied housing units were owner occupied.</w:t>
      </w:r>
      <w:r>
        <w:t xml:space="preserve"> </w:t>
      </w:r>
      <w:r>
        <w:t xml:space="preserve">Applying to ~80 million single-family homeowners, and assuming ~15% own or will own battery storage systems within 5 years (driven by IRA incentives, declining costs, and utility rate volatility), the addressable pool is 12+ million homes. At $85/home/year in data licensing fees, the long-term TAM for Lunar-specific fleet participation is</w:t>
      </w:r>
      <w:r>
        <w:t xml:space="preserve"> </w:t>
      </w:r>
      <w:r>
        <w:rPr>
          <w:b/>
        </w:rPr>
        <w:t xml:space="preserve">$1B+/year</w:t>
      </w:r>
      <w:r>
        <w:t xml:space="preserve">—though Lunar’s realistic capture at scale would be a fraction of this. The competitive question is whether Enphase, Tesla Powerwall, or Generac launch parallel programs that fragment the market before Lunar can establish a first-mover position.</w:t>
      </w:r>
    </w:p>
    <w:p>
      <w:r>
        <w:pict>
          <v:rect style="width:0;height:1.5pt" o:hralign="center" o:hrstd="t" o:hr="t"/>
        </w:pict>
      </w:r>
    </w:p>
    <w:p>
      <w:pPr>
        <w:pStyle w:val="Heading2"/>
      </w:pPr>
      <w:bookmarkStart w:id="47" w:name="confidence-assessment"/>
      <w:r>
        <w:t xml:space="preserve">6. CONFIDENCE ASSESSMENT</w:t>
      </w:r>
      <w:bookmarkEnd w:id="47"/>
    </w:p>
    <w:p>
      <w:pPr>
        <w:pStyle w:val="Heading3"/>
      </w:pPr>
      <w:bookmarkStart w:id="48" w:name="high-confidence-assessments"/>
      <w:r>
        <w:t xml:space="preserve">6.1 HIGH CONFIDENCE ASSESSMENTS</w:t>
      </w:r>
      <w:bookmarkEnd w:id="48"/>
    </w:p>
    <w:p>
      <w:pPr>
        <w:numPr>
          <w:ilvl w:val="0"/>
          <w:numId w:val="1004"/>
        </w:numPr>
      </w:pPr>
      <w:r>
        <w:rPr>
          <w:b/>
        </w:rPr>
        <w:t xml:space="preserve">The insurer demand signal is real:</w:t>
      </w:r>
      <w:r>
        <w:t xml:space="preserve"> </w:t>
      </w:r>
      <w:r>
        <w:t xml:space="preserve">The market is structurally underwriting losses;</w:t>
      </w:r>
      <w:r>
        <w:t xml:space="preserve"> </w:t>
      </w:r>
      <w:r>
        <w:t xml:space="preserve">in 2023, insurers paid out $1.11 in claims for every $1.00 earned in premiums.</w:t>
      </w:r>
      <w:r>
        <w:t xml:space="preserve"> </w:t>
      </w:r>
      <w:r>
        <w:t xml:space="preserve">Risk reduction partners are genuinely sought.</w:t>
      </w:r>
    </w:p>
    <w:p>
      <w:pPr>
        <w:numPr>
          <w:ilvl w:val="0"/>
          <w:numId w:val="1004"/>
        </w:numPr>
      </w:pPr>
      <w:r>
        <w:rPr>
          <w:b/>
        </w:rPr>
        <w:t xml:space="preserve">The Whisker Labs model is validated and scalable:</w:t>
      </w:r>
      <w:r>
        <w:t xml:space="preserve"> </w:t>
      </w:r>
      <w:r>
        <w:t xml:space="preserve">With over 900,000 Ting customers, Whisker Labs has proven they can economically prevent fires while delighting customers.</w:t>
      </w:r>
      <w:r>
        <w:t xml:space="preserve"> </w:t>
      </w:r>
      <w:r>
        <w:t xml:space="preserve">The precedent is not theoretical—it’s at scale.</w:t>
      </w:r>
    </w:p>
    <w:p>
      <w:pPr>
        <w:numPr>
          <w:ilvl w:val="0"/>
          <w:numId w:val="1004"/>
        </w:numPr>
      </w:pPr>
      <w:r>
        <w:rPr>
          <w:b/>
        </w:rPr>
        <w:t xml:space="preserve">Generator elimination is a highly legible, actuarially credible value proposition:</w:t>
      </w:r>
      <w:r>
        <w:t xml:space="preserve"> </w:t>
      </w:r>
      <w:r>
        <w:t xml:space="preserve">An average of nearly 100 consumers die in the U.S. each year from CO poisoning from portable generators.</w:t>
      </w:r>
      <w:r>
        <w:t xml:space="preserve"> </w:t>
      </w:r>
      <w:r>
        <w:t xml:space="preserve">The insurer can underwrite this risk reduction with high confidence because a home with battery backup and active Gridshare monitoring is</w:t>
      </w:r>
      <w:r>
        <w:t xml:space="preserve"> </w:t>
      </w:r>
      <w:r>
        <w:rPr>
          <w:i/>
        </w:rPr>
        <w:t xml:space="preserve">observationally</w:t>
      </w:r>
      <w:r>
        <w:t xml:space="preserve"> </w:t>
      </w:r>
      <w:r>
        <w:t xml:space="preserve">generator-free during outages.</w:t>
      </w:r>
    </w:p>
    <w:p>
      <w:pPr>
        <w:numPr>
          <w:ilvl w:val="0"/>
          <w:numId w:val="1004"/>
        </w:numPr>
      </w:pPr>
      <w:r>
        <w:rPr>
          <w:b/>
        </w:rPr>
        <w:t xml:space="preserve">Consumer willingness to opt in for meaningful discounts is documented:</w:t>
      </w:r>
      <w:r>
        <w:t xml:space="preserve"> </w:t>
      </w:r>
      <w:r>
        <w:t xml:space="preserve">Ting achieves 85% activation rates; Progressive Snapshot attracts millions of drivers. The consent model works when the discount is real.</w:t>
      </w:r>
    </w:p>
    <w:p>
      <w:pPr>
        <w:numPr>
          <w:ilvl w:val="0"/>
          <w:numId w:val="1004"/>
        </w:numPr>
      </w:pPr>
      <w:r>
        <w:rPr>
          <w:b/>
        </w:rPr>
        <w:t xml:space="preserve">Privacy-compliant opt-in structures exist:</w:t>
      </w:r>
      <w:r>
        <w:t xml:space="preserve"> </w:t>
      </w:r>
      <w:r>
        <w:t xml:space="preserve">The Ring/Hippo data sharing model (</w:t>
      </w:r>
      <w:r>
        <w:t xml:space="preserve"> </w:t>
      </w:r>
      <w:r>
        <w:t xml:space="preserve">where homeowners authorize Hippo to receive device type and online connection status from Ring by pressing an</w:t>
      </w:r>
      <w:r>
        <w:t xml:space="preserve"> </w:t>
      </w:r>
      <w:r>
        <w:t xml:space="preserve">“</w:t>
      </w:r>
      <w:r>
        <w:t xml:space="preserve">authorize</w:t>
      </w:r>
      <w:r>
        <w:t xml:space="preserve">”</w:t>
      </w:r>
      <w:r>
        <w:t xml:space="preserve"> </w:t>
      </w:r>
      <w:r>
        <w:t xml:space="preserve">button</w:t>
      </w:r>
      <w:r>
        <w:t xml:space="preserve"> </w:t>
      </w:r>
      <w:r>
        <w:t xml:space="preserve">) shows that insurers and device companies have already figured out CCPA-compliant data sharing architectures.</w:t>
      </w:r>
    </w:p>
    <w:p>
      <w:pPr>
        <w:pStyle w:val="Heading3"/>
      </w:pPr>
      <w:bookmarkStart w:id="49" w:name="moderate-confidence-assessments"/>
      <w:r>
        <w:t xml:space="preserve">6.2 MODERATE CONFIDENCE ASSESSMENTS</w:t>
      </w:r>
      <w:bookmarkEnd w:id="49"/>
    </w:p>
    <w:p>
      <w:pPr>
        <w:numPr>
          <w:ilvl w:val="0"/>
          <w:numId w:val="1005"/>
        </w:numPr>
      </w:pPr>
      <w:r>
        <w:rPr>
          <w:b/>
        </w:rPr>
        <w:t xml:space="preserve">$50–$150/home/year data fee range is plausible</w:t>
      </w:r>
      <w:r>
        <w:t xml:space="preserve"> </w:t>
      </w:r>
      <w:r>
        <w:t xml:space="preserve">but requires actuarial validation. Whisker Labs’ implied economics support this range; however, Lunar has not yet built the loss-reduction evidence needed to command it.</w:t>
      </w:r>
    </w:p>
    <w:p>
      <w:pPr>
        <w:numPr>
          <w:ilvl w:val="0"/>
          <w:numId w:val="1005"/>
        </w:numPr>
      </w:pPr>
      <w:r>
        <w:rPr>
          <w:b/>
        </w:rPr>
        <w:t xml:space="preserve">$200–$400 premium discount is achievable</w:t>
      </w:r>
      <w:r>
        <w:t xml:space="preserve"> </w:t>
      </w:r>
      <w:r>
        <w:t xml:space="preserve">in high-premium states (California, Florida, Colorado at ~$2,400+/year premiums) but probably caps at $100–150 in low-premium states. Geographic concentration of Lunar’s fleet in California is actually favorable here.</w:t>
      </w:r>
    </w:p>
    <w:p>
      <w:pPr>
        <w:numPr>
          <w:ilvl w:val="0"/>
          <w:numId w:val="1005"/>
        </w:numPr>
      </w:pPr>
      <w:r>
        <w:rPr>
          <w:b/>
        </w:rPr>
        <w:t xml:space="preserve">HSB/Munich Re is a natural partnership entry point</w:t>
      </w:r>
      <w:r>
        <w:t xml:space="preserve"> </w:t>
      </w:r>
      <w:r>
        <w:t xml:space="preserve">based on their Ting program structure, but they may view Gridshare as a competitor to Ting rather than a complementary product.</w:t>
      </w:r>
    </w:p>
    <w:p>
      <w:pPr>
        <w:pStyle w:val="Heading3"/>
      </w:pPr>
      <w:bookmarkStart w:id="50" w:name="lower-confidence-assessments"/>
      <w:r>
        <w:t xml:space="preserve">6.3 LOWER CONFIDENCE ASSESSMENTS</w:t>
      </w:r>
      <w:bookmarkEnd w:id="50"/>
    </w:p>
    <w:p>
      <w:pPr>
        <w:numPr>
          <w:ilvl w:val="0"/>
          <w:numId w:val="1006"/>
        </w:numPr>
      </w:pPr>
      <w:r>
        <w:rPr>
          <w:b/>
        </w:rPr>
        <w:t xml:space="preserve">The $25–75M/year at 500,000 devices</w:t>
      </w:r>
      <w:r>
        <w:t xml:space="preserve"> </w:t>
      </w:r>
      <w:r>
        <w:t xml:space="preserve">is achievable but requires both fleet growth (dependent on Lunar’s hardware sales execution) and successful insurer partnership execution simultaneously—two independent variables that need to go right.</w:t>
      </w:r>
    </w:p>
    <w:p>
      <w:pPr>
        <w:numPr>
          <w:ilvl w:val="0"/>
          <w:numId w:val="1006"/>
        </w:numPr>
      </w:pPr>
      <w:r>
        <w:rPr>
          <w:b/>
        </w:rPr>
        <w:t xml:space="preserve">Battery fire risk perception among underwriters:</w:t>
      </w:r>
      <w:r>
        <w:t xml:space="preserve"> </w:t>
      </w:r>
      <w:r>
        <w:t xml:space="preserve">The commercial insurance market’s anxiety about lithium-ion storage (</w:t>
      </w:r>
      <w:r>
        <w:t xml:space="preserve"> </w:t>
      </w:r>
      <w:r>
        <w:t xml:space="preserve">lithium-ion battery fires in e-bikes and EVs</w:t>
      </w:r>
      <w:r>
        <w:t xml:space="preserve"> </w:t>
      </w:r>
      <w:r>
        <w:t xml:space="preserve">“</w:t>
      </w:r>
      <w:r>
        <w:t xml:space="preserve">have created a climate of caution</w:t>
      </w:r>
      <w:r>
        <w:t xml:space="preserve">”</w:t>
      </w:r>
      <w:r>
        <w:t xml:space="preserve"> </w:t>
      </w:r>
      <w:r>
        <w:t xml:space="preserve">) may affect underwriters’ willingness to offer</w:t>
      </w:r>
      <w:r>
        <w:t xml:space="preserve"> </w:t>
      </w:r>
      <w:r>
        <w:rPr>
          <w:i/>
        </w:rPr>
        <w:t xml:space="preserve">discounts</w:t>
      </w:r>
      <w:r>
        <w:t xml:space="preserve"> </w:t>
      </w:r>
      <w:r>
        <w:t xml:space="preserve">for battery-equipped homes until more residential fire loss data is available. Lunar’s Gridshare monitoring of battery health (real-time state-of-charge, thermal data, fault detection) could actually</w:t>
      </w:r>
      <w:r>
        <w:t xml:space="preserve"> </w:t>
      </w:r>
      <w:r>
        <w:rPr>
          <w:i/>
        </w:rPr>
        <w:t xml:space="preserve">turn this objection into an asset</w:t>
      </w:r>
      <w:r>
        <w:t xml:space="preserve">—monitored batteries are demonstrably safer than unmonitored ones.</w:t>
      </w:r>
    </w:p>
    <w:p>
      <w:pPr>
        <w:numPr>
          <w:ilvl w:val="0"/>
          <w:numId w:val="1006"/>
        </w:numPr>
      </w:pPr>
      <w:r>
        <w:rPr>
          <w:b/>
        </w:rPr>
        <w:t xml:space="preserve">No battery storage company has executed this model yet.</w:t>
      </w:r>
      <w:r>
        <w:t xml:space="preserve"> </w:t>
      </w:r>
      <w:r>
        <w:t xml:space="preserve">The absence of a precedent (no Enphase × State Farm deal, no Tesla Powerwall × Nationwide program) could mean structural barriers exist that aren’t visible in secondary research.</w:t>
      </w:r>
    </w:p>
    <w:p>
      <w:r>
        <w:pict>
          <v:rect style="width:0;height:1.5pt" o:hralign="center" o:hrstd="t" o:hr="t"/>
        </w:pict>
      </w:r>
    </w:p>
    <w:p>
      <w:pPr>
        <w:pStyle w:val="Heading2"/>
      </w:pPr>
      <w:bookmarkStart w:id="51" w:name="strategic-recommendations"/>
      <w:r>
        <w:t xml:space="preserve">7. STRATEGIC RECOMMENDATIONS</w:t>
      </w:r>
      <w:bookmarkEnd w:id="51"/>
    </w:p>
    <w:p>
      <w:pPr>
        <w:pStyle w:val="Heading3"/>
      </w:pPr>
      <w:bookmarkStart w:id="52" w:name="Xbafec6070544a54fdf06d442970165e6b2135dd"/>
      <w:r>
        <w:t xml:space="preserve">Phase 1 (0–12 months): Build the Actuarial Foundation</w:t>
      </w:r>
      <w:bookmarkEnd w:id="52"/>
    </w:p>
    <w:p>
      <w:pPr>
        <w:numPr>
          <w:ilvl w:val="0"/>
          <w:numId w:val="1007"/>
        </w:numPr>
        <w:pStyle w:val="Compact"/>
      </w:pPr>
      <w:r>
        <w:t xml:space="preserve">Conduct a</w:t>
      </w:r>
      <w:r>
        <w:t xml:space="preserve"> </w:t>
      </w:r>
      <w:r>
        <w:rPr>
          <w:b/>
        </w:rPr>
        <w:t xml:space="preserve">retrospective claims analysis</w:t>
      </w:r>
      <w:r>
        <w:t xml:space="preserve"> </w:t>
      </w:r>
      <w:r>
        <w:t xml:space="preserve">comparing insurance loss frequency for Gridshare-enrolled homes vs. demographically matched non-enrolled controls using partner insurer data under an NDA</w:t>
      </w:r>
    </w:p>
    <w:p>
      <w:pPr>
        <w:numPr>
          <w:ilvl w:val="0"/>
          <w:numId w:val="1007"/>
        </w:numPr>
        <w:pStyle w:val="Compact"/>
      </w:pPr>
      <w:r>
        <w:t xml:space="preserve">Develop a</w:t>
      </w:r>
      <w:r>
        <w:t xml:space="preserve"> </w:t>
      </w:r>
      <w:r>
        <w:rPr>
          <w:b/>
        </w:rPr>
        <w:t xml:space="preserve">Gridshare Risk Intelligence Score</w:t>
      </w:r>
      <w:r>
        <w:t xml:space="preserve"> </w:t>
      </w:r>
      <w:r>
        <w:t xml:space="preserve">prototype—a standardized set of derived signals (heating continuity, outage duration, generator-free status, arc fault alerts) designed specifically for actuarial use,</w:t>
      </w:r>
      <w:r>
        <w:t xml:space="preserve"> </w:t>
      </w:r>
      <w:r>
        <w:rPr>
          <w:i/>
        </w:rPr>
        <w:t xml:space="preserve">not</w:t>
      </w:r>
      <w:r>
        <w:t xml:space="preserve"> </w:t>
      </w:r>
      <w:r>
        <w:t xml:space="preserve">raw energy data</w:t>
      </w:r>
    </w:p>
    <w:p>
      <w:pPr>
        <w:numPr>
          <w:ilvl w:val="0"/>
          <w:numId w:val="1007"/>
        </w:numPr>
        <w:pStyle w:val="Compact"/>
      </w:pPr>
      <w:r>
        <w:t xml:space="preserve">Engage</w:t>
      </w:r>
      <w:r>
        <w:t xml:space="preserve"> </w:t>
      </w:r>
      <w:r>
        <w:rPr>
          <w:b/>
        </w:rPr>
        <w:t xml:space="preserve">HSB/Munich Re</w:t>
      </w:r>
      <w:r>
        <w:t xml:space="preserve"> </w:t>
      </w:r>
      <w:r>
        <w:t xml:space="preserve">as first institutional dialogue partner, positioning Lunar as a complement to Ting (different hazard categories, deeper panel visibility) rather than a competitor</w:t>
      </w:r>
    </w:p>
    <w:p>
      <w:pPr>
        <w:pStyle w:val="Heading3"/>
      </w:pPr>
      <w:bookmarkStart w:id="53" w:name="X480e547ff138ed8eb4fef2a2d81f76b31f72513"/>
      <w:r>
        <w:t xml:space="preserve">Phase 2 (12–24 months): Pilot Program with 2–3 Insurers</w:t>
      </w:r>
      <w:bookmarkEnd w:id="53"/>
    </w:p>
    <w:p>
      <w:pPr>
        <w:numPr>
          <w:ilvl w:val="0"/>
          <w:numId w:val="1008"/>
        </w:numPr>
        <w:pStyle w:val="Compact"/>
      </w:pPr>
      <w:r>
        <w:t xml:space="preserve">Structure as a</w:t>
      </w:r>
      <w:r>
        <w:t xml:space="preserve"> </w:t>
      </w:r>
      <w:r>
        <w:rPr>
          <w:b/>
        </w:rPr>
        <w:t xml:space="preserve">discount-only opt-in program</w:t>
      </w:r>
      <w:r>
        <w:t xml:space="preserve"> </w:t>
      </w:r>
      <w:r>
        <w:t xml:space="preserve">(mirroring Hippo’s model) with explicit CCPA-compliant consent flow</w:t>
      </w:r>
    </w:p>
    <w:p>
      <w:pPr>
        <w:numPr>
          <w:ilvl w:val="0"/>
          <w:numId w:val="1008"/>
        </w:numPr>
        <w:pStyle w:val="Compact"/>
      </w:pPr>
      <w:r>
        <w:t xml:space="preserve">Target</w:t>
      </w:r>
      <w:r>
        <w:t xml:space="preserve"> </w:t>
      </w:r>
      <w:r>
        <w:rPr>
          <w:b/>
        </w:rPr>
        <w:t xml:space="preserve">California-domiciled insurers</w:t>
      </w:r>
      <w:r>
        <w:t xml:space="preserve"> </w:t>
      </w:r>
      <w:r>
        <w:t xml:space="preserve">(State Farm California, Allstate California, Hippo) where Lunar has the densest device concentration and where premium levels are high enough for a meaningful discount</w:t>
      </w:r>
    </w:p>
    <w:p>
      <w:pPr>
        <w:numPr>
          <w:ilvl w:val="0"/>
          <w:numId w:val="1008"/>
        </w:numPr>
        <w:pStyle w:val="Compact"/>
      </w:pPr>
      <w:r>
        <w:t xml:space="preserve">Offer the program</w:t>
      </w:r>
      <w:r>
        <w:t xml:space="preserve"> </w:t>
      </w:r>
      <w:r>
        <w:rPr>
          <w:b/>
        </w:rPr>
        <w:t xml:space="preserve">to non-Lunar battery owners</w:t>
      </w:r>
      <w:r>
        <w:t xml:space="preserve"> </w:t>
      </w:r>
      <w:r>
        <w:t xml:space="preserve">(Gridshare-only subscribers) as an insurer-subsidized enrollment, creating the fleet expansion flywheel</w:t>
      </w:r>
    </w:p>
    <w:p>
      <w:pPr>
        <w:pStyle w:val="Heading3"/>
      </w:pPr>
      <w:bookmarkStart w:id="54" w:name="phase-3-2448-months-scale-and-productize"/>
      <w:r>
        <w:t xml:space="preserve">Phase 3 (24–48 months): Scale and Productize</w:t>
      </w:r>
      <w:bookmarkEnd w:id="54"/>
    </w:p>
    <w:p>
      <w:pPr>
        <w:numPr>
          <w:ilvl w:val="0"/>
          <w:numId w:val="1009"/>
        </w:numPr>
        <w:pStyle w:val="Compact"/>
      </w:pPr>
      <w:r>
        <w:t xml:space="preserve">Publish</w:t>
      </w:r>
      <w:r>
        <w:t xml:space="preserve"> </w:t>
      </w:r>
      <w:r>
        <w:rPr>
          <w:b/>
        </w:rPr>
        <w:t xml:space="preserve">actuarial case studies</w:t>
      </w:r>
      <w:r>
        <w:t xml:space="preserve"> </w:t>
      </w:r>
      <w:r>
        <w:t xml:space="preserve">(with insurer co-branding) demonstrating claims reduction</w:t>
      </w:r>
    </w:p>
    <w:p>
      <w:pPr>
        <w:numPr>
          <w:ilvl w:val="0"/>
          <w:numId w:val="1009"/>
        </w:numPr>
        <w:pStyle w:val="Compact"/>
      </w:pPr>
      <w:r>
        <w:t xml:space="preserve">Expand to HSB’s full carrier network (Nationwide, Farm Bureau systems, regional carriers)</w:t>
      </w:r>
    </w:p>
    <w:p>
      <w:pPr>
        <w:numPr>
          <w:ilvl w:val="0"/>
          <w:numId w:val="1009"/>
        </w:numPr>
        <w:pStyle w:val="Compact"/>
      </w:pPr>
      <w:r>
        <w:t xml:space="preserve">Develop a</w:t>
      </w:r>
      <w:r>
        <w:t xml:space="preserve"> </w:t>
      </w:r>
      <w:r>
        <w:rPr>
          <w:b/>
        </w:rPr>
        <w:t xml:space="preserve">bidirectional data model</w:t>
      </w:r>
      <w:r>
        <w:t xml:space="preserve">: Gridshare provides risk signals; insurers provide claims outcome data to improve Lunar’s predictive models—creating a defensible data moat</w:t>
      </w:r>
    </w:p>
    <w:p>
      <w:pPr>
        <w:pStyle w:val="Heading3"/>
      </w:pPr>
      <w:bookmarkStart w:id="55" w:name="the-one-sentence-pitch-to-insurers"/>
      <w:r>
        <w:t xml:space="preserve">The One-Sentence Pitch to Insurers:</w:t>
      </w:r>
      <w:bookmarkEnd w:id="55"/>
    </w:p>
    <w:p>
      <w:pPr>
        <w:pStyle w:val="FirstParagraph"/>
      </w:pPr>
      <w:r>
        <w:rPr>
          <w:i/>
        </w:rPr>
        <w:t xml:space="preserve">“</w:t>
      </w:r>
      <w:r>
        <w:rPr>
          <w:i/>
        </w:rPr>
        <w:t xml:space="preserve">We have a network of 150,000 homes continuously monitored at the electrical panel level—we know whether their heating ran through the freeze event, whether they needed a generator during the outage, and whether their battery system has any fault signatures. We can tell you which homes will file a water damage or generator fire claim before they do.</w:t>
      </w:r>
      <w:r>
        <w:rPr>
          <w:i/>
        </w:rPr>
        <w:t xml:space="preserve">”</w:t>
      </w:r>
    </w:p>
    <w:p>
      <w:r>
        <w:pict>
          <v:rect style="width:0;height:1.5pt" o:hralign="center" o:hrstd="t" o:hr="t"/>
        </w:pict>
      </w:r>
    </w:p>
    <w:p>
      <w:pPr>
        <w:pStyle w:val="Heading2"/>
      </w:pPr>
      <w:bookmarkStart w:id="56" w:name="citations"/>
      <w:r>
        <w:t xml:space="preserve">8. CITATIONS</w:t>
      </w:r>
      <w:bookmarkEnd w:id="56"/>
    </w:p>
    <w:p>
      <w:pPr>
        <w:pStyle w:val="FirstParagraph"/>
      </w:pPr>
      <w:r>
        <w:t xml:space="preserve">Key sources used in this analysis include: Whisker Labs insurance program documentation and State Farm partnership announcements; Farm Bureau Insurance of Michigan Ting program launch (Coverager, September 2024); Nationwide Ting milestone release (PR Newswire, April 2024); Progressive Insurance Snapshot program details (Progressive.com, Carrier Management telematics analysis); Tesla Real-Time Insurance support documentation (Tesla.com); Hippo Insurance smart home discount program FAQ and Ring partnership documentation; Consumer Product Safety Commission (CPSC) portable generator CO fatality statistics (2024, 2026); NFPA/Insurify house fire statistics; Consumer Federation of America homeowners insurance premium analysis (April 2025); Bankrate homeowners insurance cost data (February 2026); California Privacy Protection Agency CCPA insurance regulations (effective January 2026); UL 9540/9540A battery safety standards analysis (Anern Store, Keystone Compliance, Solar Builder Magazine); California CPUC PSPS documentation; Insurance Information Institute homeowners insurance claims data; water damage claims statistics (ConsumerAffairs, Guardian Service, RubyHome 2025–2026).</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2026-02-28T06:01:28Z</dcterms:created>
  <dcterms:modified xsi:type="dcterms:W3CDTF">2026-02-28T06:01:28Z</dcterms:modified>
</cp:coreProperties>
</file>

<file path=docProps/custom.xml><?xml version="1.0" encoding="utf-8"?>
<Properties xmlns="http://schemas.openxmlformats.org/officeDocument/2006/custom-properties" xmlns:vt="http://schemas.openxmlformats.org/officeDocument/2006/docPropsVTypes"/>
</file>