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This is comprehensive research. I now have sufficient data to construct a rigorous, fully cited analytical report. Let me compile it.</w:t>
      </w:r>
    </w:p>
    <w:p>
      <w:r>
        <w:pict>
          <v:rect style="width:0;height:1.5pt" o:hralign="center" o:hrstd="t" o:hr="t"/>
        </w:pict>
      </w:r>
    </w:p>
    <w:p>
      <w:pPr>
        <w:pStyle w:val="Heading1"/>
      </w:pPr>
      <w:bookmarkStart w:id="20" w:name="X74f17e09b9736f4592fc97b23fbc210429abab8"/>
      <w:r>
        <w:t xml:space="preserve">GRIDSHARE AS AN UNRECOGNIZED DISTRIBUTED SENSING NETWORK</w:t>
      </w:r>
      <w:bookmarkEnd w:id="20"/>
    </w:p>
    <w:p>
      <w:pPr>
        <w:pStyle w:val="Heading2"/>
      </w:pPr>
      <w:bookmarkStart w:id="21" w:name="X692f2165123586c58e079b11d33e0e13ae8f3da"/>
      <w:r>
        <w:t xml:space="preserve">A Grid Modernization Engineering &amp; Utility Data Analytics Assessment</w:t>
      </w:r>
      <w:bookmarkEnd w:id="21"/>
    </w:p>
    <w:p>
      <w:r>
        <w:pict>
          <v:rect style="width:0;height:1.5pt" o:hralign="center" o:hrstd="t" o:hr="t"/>
        </w:pict>
      </w:r>
    </w:p>
    <w:p>
      <w:pPr>
        <w:pStyle w:val="Heading2"/>
      </w:pPr>
      <w:bookmarkStart w:id="22" w:name="evidence-for-the-hypothesis"/>
      <w:r>
        <w:t xml:space="preserve">1. EVIDENCE FOR THE HYPOTHESIS</w:t>
      </w:r>
      <w:bookmarkEnd w:id="22"/>
    </w:p>
    <w:p>
      <w:pPr>
        <w:pStyle w:val="Heading3"/>
      </w:pPr>
      <w:bookmarkStart w:id="23" w:name="X326f7e0cc2e792607f4cc99d3550529a6b1d1e7"/>
      <w:r>
        <w:t xml:space="preserve">1.1 The Data Asset Is Real and Already Generating at Scale</w:t>
      </w:r>
      <w:bookmarkEnd w:id="23"/>
    </w:p>
    <w:p>
      <w:pPr>
        <w:pStyle w:val="FirstParagraph"/>
      </w:pPr>
      <w:r>
        <w:t xml:space="preserve">Lunar’s approach is built on its history with behind-the-meter energy management programs in Japan, where it receives</w:t>
      </w:r>
      <w:r>
        <w:t xml:space="preserve"> </w:t>
      </w:r>
      <w:r>
        <w:rPr>
          <w:b/>
        </w:rPr>
        <w:t xml:space="preserve">40 billion data points every month</w:t>
      </w:r>
      <w:r>
        <w:t xml:space="preserve">. The system was engineered to</w:t>
      </w:r>
      <w:r>
        <w:t xml:space="preserve"> </w:t>
      </w:r>
      <w:r>
        <w:t xml:space="preserve">“</w:t>
      </w:r>
      <w:r>
        <w:t xml:space="preserve">digest a huge amount of data from every single home and then create machine learning predictions of every home’s consumption and solar generation.</w:t>
      </w:r>
      <w:r>
        <w:t xml:space="preserve">”</w:t>
      </w:r>
    </w:p>
    <w:p>
      <w:pPr>
        <w:pStyle w:val="BodyText"/>
      </w:pPr>
      <w:r>
        <w:t xml:space="preserve">In concrete infrastructure terms, Gridshare processes</w:t>
      </w:r>
      <w:r>
        <w:t xml:space="preserve"> </w:t>
      </w:r>
      <w:r>
        <w:rPr>
          <w:b/>
        </w:rPr>
        <w:t xml:space="preserve">nearly 178 TB of residential energy data each year</w:t>
      </w:r>
      <w:r>
        <w:t xml:space="preserve">. When onboarding a new energy service provider, Gridshare added a fleet of 20,000 residential batteries to the platform in a single month.</w:t>
      </w:r>
    </w:p>
    <w:p>
      <w:pPr>
        <w:pStyle w:val="BodyText"/>
      </w:pPr>
      <w:r>
        <w:t xml:space="preserve">Gridshare is described by Lunar’s CEO as an enterprise software platform</w:t>
      </w:r>
      <w:r>
        <w:t xml:space="preserve"> </w:t>
      </w:r>
      <w:r>
        <w:t xml:space="preserve">“</w:t>
      </w:r>
      <w:r>
        <w:t xml:space="preserve">that operates one of the largest third-party residential battery fleets in the world,</w:t>
      </w:r>
      <w:r>
        <w:t xml:space="preserve">”</w:t>
      </w:r>
      <w:r>
        <w:t xml:space="preserve"> </w:t>
      </w:r>
      <w:r>
        <w:t xml:space="preserve">working across a dozen states. Critically, it is</w:t>
      </w:r>
      <w:r>
        <w:t xml:space="preserve"> </w:t>
      </w:r>
      <w:r>
        <w:rPr>
          <w:b/>
        </w:rPr>
        <w:t xml:space="preserve">device-agnostic</w:t>
      </w:r>
      <w:r>
        <w:t xml:space="preserve">—connecting Lunar hardware, third-party batteries, thermostats, and EVs into a single intelligent network. More than</w:t>
      </w:r>
      <w:r>
        <w:t xml:space="preserve"> </w:t>
      </w:r>
      <w:r>
        <w:rPr>
          <w:b/>
        </w:rPr>
        <w:t xml:space="preserve">100,000 devices across three continents</w:t>
      </w:r>
      <w:r>
        <w:t xml:space="preserve"> </w:t>
      </w:r>
      <w:r>
        <w:t xml:space="preserve">use Gridshare to participate in capacity markets, wholesale optimization, and ancillary services.</w:t>
      </w:r>
    </w:p>
    <w:p>
      <w:pPr>
        <w:pStyle w:val="BodyText"/>
      </w:pPr>
      <w:r>
        <w:t xml:space="preserve">Gridshare already manages</w:t>
      </w:r>
      <w:r>
        <w:t xml:space="preserve"> </w:t>
      </w:r>
      <w:r>
        <w:rPr>
          <w:b/>
        </w:rPr>
        <w:t xml:space="preserve">all of Sunrun’s VPPs, including nearly 130,000 home batteries</w:t>
      </w:r>
      <w:r>
        <w:t xml:space="preserve">—most from non-Lunar manufacturers—that can dispatch energy when the grid needs it most.</w:t>
      </w:r>
    </w:p>
    <w:p>
      <w:pPr>
        <w:pStyle w:val="Heading3"/>
      </w:pPr>
      <w:bookmarkStart w:id="24" w:name="Xe92d5361bfcc70492666ff41ab682cd05755c09"/>
      <w:r>
        <w:t xml:space="preserve">1.2 The Gridshare Platform Already Demonstrates Grid Sensing Capability</w:t>
      </w:r>
      <w:bookmarkEnd w:id="24"/>
    </w:p>
    <w:p>
      <w:pPr>
        <w:pStyle w:val="FirstParagraph"/>
      </w:pPr>
      <w:r>
        <w:t xml:space="preserve">The Gridshare architecture reveals it already functions, implicitly, as a distributed sensing network.</w:t>
      </w:r>
      <w:r>
        <w:t xml:space="preserve"> </w:t>
      </w:r>
      <w:r>
        <w:t xml:space="preserve">In a UK deployment context, the platform must continuously know</w:t>
      </w:r>
      <w:r>
        <w:t xml:space="preserve"> </w:t>
      </w:r>
      <w:r>
        <w:t xml:space="preserve">“</w:t>
      </w:r>
      <w:r>
        <w:t xml:space="preserve">how much power a home is using, how much it’s generating from solar panels, how much it’s projected to generate the rest of the day, how much is stored in the battery, what the electricity rates will be in the coming hours, and how much the grid would be willing to pay for that electricity.</w:t>
      </w:r>
      <w:r>
        <w:t xml:space="preserve">”</w:t>
      </w:r>
      <w:r>
        <w:t xml:space="preserve"> </w:t>
      </w:r>
      <w:r>
        <w:t xml:space="preserve">Then, in real time, the software</w:t>
      </w:r>
      <w:r>
        <w:t xml:space="preserve"> </w:t>
      </w:r>
      <w:r>
        <w:t xml:space="preserve">“</w:t>
      </w:r>
      <w:r>
        <w:t xml:space="preserve">determines if a battery should discharge to the home, discharge to the grid, or simply charge from solar.</w:t>
      </w:r>
      <w:r>
        <w:t xml:space="preserve">”</w:t>
      </w:r>
    </w:p>
    <w:p>
      <w:pPr>
        <w:pStyle w:val="BodyText"/>
      </w:pPr>
      <w:r>
        <w:t xml:space="preserve">This</w:t>
      </w:r>
      <w:r>
        <w:t xml:space="preserve"> </w:t>
      </w:r>
      <w:r>
        <w:t xml:space="preserve">“</w:t>
      </w:r>
      <w:r>
        <w:t xml:space="preserve">detailed customer knowledge</w:t>
      </w:r>
      <w:r>
        <w:t xml:space="preserve">”</w:t>
      </w:r>
      <w:r>
        <w:t xml:space="preserve"> </w:t>
      </w:r>
      <w:r>
        <w:t xml:space="preserve">allows Gridshare to deliver</w:t>
      </w:r>
      <w:r>
        <w:t xml:space="preserve"> </w:t>
      </w:r>
      <w:r>
        <w:t xml:space="preserve">“</w:t>
      </w:r>
      <w:r>
        <w:t xml:space="preserve">highly optimized VPP services to the grid operator or retailer based on the aggregation of all customer behavior profiles,</w:t>
      </w:r>
      <w:r>
        <w:t xml:space="preserve">”</w:t>
      </w:r>
      <w:r>
        <w:t xml:space="preserve"> </w:t>
      </w:r>
      <w:r>
        <w:t xml:space="preserve">serving multiple purposes:</w:t>
      </w:r>
      <w:r>
        <w:t xml:space="preserve"> </w:t>
      </w:r>
      <w:r>
        <w:t xml:space="preserve">“</w:t>
      </w:r>
      <w:r>
        <w:t xml:space="preserve">reducing congestion on local lines; addressing overvoltage issues; balancing supply to demand at a transmission level; and providing cost savings or revenue opportunities to retailers in the wholesale market.</w:t>
      </w:r>
      <w:r>
        <w:t xml:space="preserve">”</w:t>
      </w:r>
    </w:p>
    <w:p>
      <w:pPr>
        <w:pStyle w:val="BodyText"/>
      </w:pPr>
      <w:r>
        <w:t xml:space="preserve">Grid sensing at the point of delivery is also evidenced in Japan:</w:t>
      </w:r>
      <w:r>
        <w:t xml:space="preserve"> </w:t>
      </w:r>
      <w:r>
        <w:t xml:space="preserve">Over the past year, Gridshare has been working with</w:t>
      </w:r>
      <w:r>
        <w:t xml:space="preserve"> </w:t>
      </w:r>
      <w:r>
        <w:rPr>
          <w:b/>
        </w:rPr>
        <w:t xml:space="preserve">four of the five largest Japanese power companies</w:t>
      </w:r>
      <w:r>
        <w:t xml:space="preserve"> </w:t>
      </w:r>
      <w:r>
        <w:t xml:space="preserve">to deliver demand response solutions and help them reduce their wholesale procurement costs—suggesting utilities already implicitly rely on Gridshare data.</w:t>
      </w:r>
    </w:p>
    <w:p>
      <w:pPr>
        <w:pStyle w:val="BodyText"/>
      </w:pPr>
      <w:r>
        <w:t xml:space="preserve">Tesla’s VPP architecture confirms that the edge computing platform for VPP operation inherently produces</w:t>
      </w:r>
      <w:r>
        <w:t xml:space="preserve"> </w:t>
      </w:r>
      <w:r>
        <w:t xml:space="preserve">“</w:t>
      </w:r>
      <w:r>
        <w:t xml:space="preserve">site-level telemetry for things like</w:t>
      </w:r>
      <w:r>
        <w:t xml:space="preserve"> </w:t>
      </w:r>
      <w:r>
        <w:rPr>
          <w:b/>
        </w:rPr>
        <w:t xml:space="preserve">power, frequency, and voltage</w:t>
      </w:r>
      <w:r>
        <w:t xml:space="preserve">”</w:t>
      </w:r>
      <w:r>
        <w:t xml:space="preserve">—giving a consistent abstraction for grid sensing, even when managing heterogeneous devices.</w:t>
      </w:r>
      <w:r>
        <w:t xml:space="preserve"> </w:t>
      </w:r>
      <w:r>
        <w:t xml:space="preserve">Gridshare operates on the same class of hardware.</w:t>
      </w:r>
    </w:p>
    <w:p>
      <w:pPr>
        <w:pStyle w:val="BodyText"/>
      </w:pPr>
      <w:r>
        <w:t xml:space="preserve">For comparison, Tesla reports that each Powerwall</w:t>
      </w:r>
      <w:r>
        <w:t xml:space="preserve"> </w:t>
      </w:r>
      <w:r>
        <w:t xml:space="preserve">“</w:t>
      </w:r>
      <w:r>
        <w:t xml:space="preserve">transmits real-time telemetry every 60 seconds—three times faster than AMI 2.0 metering. This high-resolution data allows utilities to monitor performance, predict load, and dispatch fleets with sub-minute accuracy.</w:t>
      </w:r>
      <w:r>
        <w:t xml:space="preserve">”</w:t>
      </w:r>
      <w:r>
        <w:t xml:space="preserve"> </w:t>
      </w:r>
      <w:r>
        <w:t xml:space="preserve">Gridshare-connected batteries operate on comparable principles.</w:t>
      </w:r>
    </w:p>
    <w:p>
      <w:pPr>
        <w:pStyle w:val="Heading3"/>
      </w:pPr>
      <w:bookmarkStart w:id="25" w:name="X85594ebb0c5be3cdea6316ce9638cad81359088"/>
      <w:r>
        <w:t xml:space="preserve">1.3 The Grid-Edge Sensing Gap Is Documented and Severe</w:t>
      </w:r>
      <w:bookmarkEnd w:id="25"/>
    </w:p>
    <w:p>
      <w:pPr>
        <w:pStyle w:val="FirstParagraph"/>
      </w:pPr>
      <w:r>
        <w:t xml:space="preserve">The problem Gridshare data could solve is confirmed at the highest policy levels.</w:t>
      </w:r>
      <w:r>
        <w:t xml:space="preserve"> </w:t>
      </w:r>
      <w:r>
        <w:t xml:space="preserve">Distribution networks</w:t>
      </w:r>
      <w:r>
        <w:t xml:space="preserve"> </w:t>
      </w:r>
      <w:r>
        <w:t xml:space="preserve">“</w:t>
      </w:r>
      <w:r>
        <w:t xml:space="preserve">particularly in rural and underserved areas—remain predominantly analog and lack real-time monitoring capabilities.</w:t>
      </w:r>
      <w:r>
        <w:t xml:space="preserve">”</w:t>
      </w:r>
      <w:r>
        <w:t xml:space="preserve"> </w:t>
      </w:r>
      <w:r>
        <w:t xml:space="preserve">At the same time,</w:t>
      </w:r>
      <w:r>
        <w:t xml:space="preserve"> </w:t>
      </w:r>
      <w:r>
        <w:t xml:space="preserve">“</w:t>
      </w:r>
      <w:r>
        <w:t xml:space="preserve">distribution-level customers are increasingly installing behind-the-meter, inverter-connected devices such as back-up generators, solar generation and batteries that change distribution and bulk power system dynamics.</w:t>
      </w:r>
      <w:r>
        <w:t xml:space="preserve">”</w:t>
      </w:r>
      <w:r>
        <w:t xml:space="preserve"> </w:t>
      </w:r>
      <w:r>
        <w:t xml:space="preserve">Crucially,</w:t>
      </w:r>
      <w:r>
        <w:t xml:space="preserve"> </w:t>
      </w:r>
      <w:r>
        <w:rPr>
          <w:b/>
        </w:rPr>
        <w:t xml:space="preserve">“</w:t>
      </w:r>
      <w:r>
        <w:rPr>
          <w:b/>
        </w:rPr>
        <w:t xml:space="preserve">few utilities have visibility into the impacts of these diverse grid-edge</w:t>
      </w:r>
      <w:r>
        <w:rPr>
          <w:b/>
        </w:rPr>
        <w:t xml:space="preserve">”</w:t>
      </w:r>
      <w:r>
        <w:t xml:space="preserve"> </w:t>
      </w:r>
      <w:r>
        <w:t xml:space="preserve">resources.</w:t>
      </w:r>
    </w:p>
    <w:p>
      <w:pPr>
        <w:pStyle w:val="BodyText"/>
      </w:pPr>
      <w:r>
        <w:t xml:space="preserve">The 2021 Infrastructure Report Card found that</w:t>
      </w:r>
      <w:r>
        <w:t xml:space="preserve"> </w:t>
      </w:r>
      <w:r>
        <w:rPr>
          <w:b/>
        </w:rPr>
        <w:t xml:space="preserve">“</w:t>
      </w:r>
      <w:r>
        <w:rPr>
          <w:b/>
        </w:rPr>
        <w:t xml:space="preserve">92% of all outages occur in the distribution grid</w:t>
      </w:r>
      <w:r>
        <w:rPr>
          <w:b/>
        </w:rPr>
        <w:t xml:space="preserve">”</w:t>
      </w:r>
      <w:r>
        <w:t xml:space="preserve">, which underscores the urgency of last-mile digitization. The Lawrence Berkeley National Lab confirmed that as of 2023,</w:t>
      </w:r>
      <w:r>
        <w:t xml:space="preserve"> </w:t>
      </w:r>
      <w:r>
        <w:rPr>
          <w:b/>
        </w:rPr>
        <w:t xml:space="preserve">90% of outages occur on the distribution system</w:t>
      </w:r>
      <w:r>
        <w:t xml:space="preserve">.</w:t>
      </w:r>
    </w:p>
    <w:p>
      <w:pPr>
        <w:pStyle w:val="BodyText"/>
      </w:pPr>
      <w:r>
        <w:t xml:space="preserve">The visibility gap</w:t>
      </w:r>
      <w:r>
        <w:t xml:space="preserve"> </w:t>
      </w:r>
      <w:r>
        <w:t xml:space="preserve">“</w:t>
      </w:r>
      <w:r>
        <w:t xml:space="preserve">not only hampers operations but also inflates capital costs. In the absence of real-time data, utilities often</w:t>
      </w:r>
      <w:r>
        <w:t xml:space="preserve"> </w:t>
      </w:r>
      <w:r>
        <w:rPr>
          <w:b/>
        </w:rPr>
        <w:t xml:space="preserve">overbuild or over-upgrade infrastructure</w:t>
      </w:r>
      <w:r>
        <w:t xml:space="preserve"> </w:t>
      </w:r>
      <w:r>
        <w:t xml:space="preserve">as a hedge against uncertainty.</w:t>
      </w:r>
      <w:r>
        <w:t xml:space="preserve">”</w:t>
      </w:r>
    </w:p>
    <w:p>
      <w:pPr>
        <w:pStyle w:val="BodyText"/>
      </w:pPr>
      <w:r>
        <w:t xml:space="preserve">Specifically, the data utilities need and lack includes:</w:t>
      </w:r>
      <w:r>
        <w:t xml:space="preserve"> </w:t>
      </w:r>
      <w:r>
        <w:t xml:space="preserve">“</w:t>
      </w:r>
      <w:r>
        <w:t xml:space="preserve">voltage stability metrics,</w:t>
      </w:r>
      <w:r>
        <w:t xml:space="preserve">”</w:t>
      </w:r>
      <w:r>
        <w:t xml:space="preserve"> </w:t>
      </w:r>
      <w:r>
        <w:t xml:space="preserve">“</w:t>
      </w:r>
      <w:r>
        <w:t xml:space="preserve">transformer loading patterns,</w:t>
      </w:r>
      <w:r>
        <w:t xml:space="preserve">”</w:t>
      </w:r>
      <w:r>
        <w:t xml:space="preserve"> </w:t>
      </w:r>
      <w:r>
        <w:t xml:space="preserve">and</w:t>
      </w:r>
      <w:r>
        <w:t xml:space="preserve"> </w:t>
      </w:r>
      <w:r>
        <w:t xml:space="preserve">“</w:t>
      </w:r>
      <w:r>
        <w:t xml:space="preserve">DER hosting capacity metrics</w:t>
      </w:r>
      <w:r>
        <w:t xml:space="preserve">”</w:t>
      </w:r>
      <w:r>
        <w:t xml:space="preserve">—exactly the quantities measurable by a distributed battery inverter fleet. Armed with this,</w:t>
      </w:r>
      <w:r>
        <w:t xml:space="preserve"> </w:t>
      </w:r>
      <w:r>
        <w:t xml:space="preserve">“</w:t>
      </w:r>
      <w:r>
        <w:t xml:space="preserve">utilities can make smarter operational decisions, justify investments to regulators, and build public trust.</w:t>
      </w:r>
      <w:r>
        <w:t xml:space="preserve">”</w:t>
      </w:r>
    </w:p>
    <w:p>
      <w:pPr>
        <w:pStyle w:val="BodyText"/>
      </w:pPr>
      <w:r>
        <w:t xml:space="preserve">The hosting capacity analysis problem is particularly acute:</w:t>
      </w:r>
      <w:r>
        <w:t xml:space="preserve"> </w:t>
      </w:r>
      <w:r>
        <w:t xml:space="preserve">Initial hosting capacity analysis results from all three major California investor-owned utilities</w:t>
      </w:r>
      <w:r>
        <w:t xml:space="preserve"> </w:t>
      </w:r>
      <w:r>
        <w:t xml:space="preserve">“</w:t>
      </w:r>
      <w:r>
        <w:t xml:space="preserve">indicated that 70–80% of the distribution grid was unable to incorporate new load, raising questions about the results’ accuracy.</w:t>
      </w:r>
      <w:r>
        <w:t xml:space="preserve">”</w:t>
      </w:r>
      <w:r>
        <w:t xml:space="preserve"> </w:t>
      </w:r>
      <w:r>
        <w:t xml:space="preserve">The similar results suggest problems lie with</w:t>
      </w:r>
      <w:r>
        <w:t xml:space="preserve"> </w:t>
      </w:r>
      <w:r>
        <w:t xml:space="preserve">“</w:t>
      </w:r>
      <w:r>
        <w:t xml:space="preserve">the basic set of assumptions or techniques in the load HCA model itself.</w:t>
      </w:r>
      <w:r>
        <w:t xml:space="preserve">”</w:t>
      </w:r>
      <w:r>
        <w:t xml:space="preserve"> </w:t>
      </w:r>
      <w:r>
        <w:t xml:space="preserve">Ground-truth sensor data at the residential point of delivery—precisely what Gridshare provides—is the missing ingredient for accurate HCA models.</w:t>
      </w:r>
    </w:p>
    <w:p>
      <w:pPr>
        <w:pStyle w:val="BodyText"/>
      </w:pPr>
      <w:r>
        <w:t xml:space="preserve">Research confirms that</w:t>
      </w:r>
      <w:r>
        <w:t xml:space="preserve"> </w:t>
      </w:r>
      <w:r>
        <w:t xml:space="preserve">“</w:t>
      </w:r>
      <w:r>
        <w:t xml:space="preserve">utilities are massively underutilizing grid data—leveraging only</w:t>
      </w:r>
      <w:r>
        <w:t xml:space="preserve"> </w:t>
      </w:r>
      <w:r>
        <w:rPr>
          <w:b/>
        </w:rPr>
        <w:t xml:space="preserve">2–4% of the data generated from smart devices and AMI meters.</w:t>
      </w:r>
      <w:r>
        <w:t xml:space="preserve">”</w:t>
      </w:r>
    </w:p>
    <w:p>
      <w:pPr>
        <w:pStyle w:val="Heading3"/>
      </w:pPr>
      <w:bookmarkStart w:id="26" w:name="X9aa4fffc29062b4e968a1ff208494546810b8c8"/>
      <w:r>
        <w:t xml:space="preserve">1.4 Gridshare Data Is Structurally Superior to What Utilities Currently Have</w:t>
      </w:r>
      <w:bookmarkEnd w:id="26"/>
    </w:p>
    <w:p>
      <w:pPr>
        <w:pStyle w:val="FirstParagraph"/>
      </w:pPr>
      <w:r>
        <w:t xml:space="preserve">The FERC defines AMI as metering that</w:t>
      </w:r>
      <w:r>
        <w:t xml:space="preserve"> </w:t>
      </w:r>
      <w:r>
        <w:t xml:space="preserve">“</w:t>
      </w:r>
      <w:r>
        <w:t xml:space="preserve">records customer consumption</w:t>
      </w:r>
      <w:r>
        <w:t xml:space="preserve"> </w:t>
      </w:r>
      <w:r>
        <w:rPr>
          <w:b/>
        </w:rPr>
        <w:t xml:space="preserve">hourly or more frequently</w:t>
      </w:r>
      <w:r>
        <w:t xml:space="preserve"> </w:t>
      </w:r>
      <w:r>
        <w:t xml:space="preserve">and provides for daily or more frequent transmittal of measurements.</w:t>
      </w:r>
      <w:r>
        <w:t xml:space="preserve">”</w:t>
      </w:r>
      <w:r>
        <w:t xml:space="preserve"> </w:t>
      </w:r>
      <w:r>
        <w:t xml:space="preserve">Standard AMI collects</w:t>
      </w:r>
      <w:r>
        <w:t xml:space="preserve"> </w:t>
      </w:r>
      <w:r>
        <w:t xml:space="preserve">“</w:t>
      </w:r>
      <w:r>
        <w:t xml:space="preserve">time-differentiated energy usage from advanced meters via a fixed network system, preferably two-way, on either an on-request or</w:t>
      </w:r>
      <w:r>
        <w:t xml:space="preserve"> </w:t>
      </w:r>
      <w:r>
        <w:rPr>
          <w:b/>
        </w:rPr>
        <w:t xml:space="preserve">defined schedule basis</w:t>
      </w:r>
      <w:r>
        <w:t xml:space="preserve">.</w:t>
      </w:r>
      <w:r>
        <w:t xml:space="preserve">”</w:t>
      </w:r>
    </w:p>
    <w:p>
      <w:pPr>
        <w:pStyle w:val="BodyText"/>
      </w:pPr>
      <w:r>
        <w:t xml:space="preserve">Smart meters</w:t>
      </w:r>
      <w:r>
        <w:t xml:space="preserve"> </w:t>
      </w:r>
      <w:r>
        <w:t xml:space="preserve">“</w:t>
      </w:r>
      <w:r>
        <w:t xml:space="preserve">record energy consumption, typically in intervals of an hour or less. These devices typically send data back to the utility company</w:t>
      </w:r>
      <w:r>
        <w:t xml:space="preserve"> </w:t>
      </w:r>
      <w:r>
        <w:rPr>
          <w:b/>
        </w:rPr>
        <w:t xml:space="preserve">at least once daily</w:t>
      </w:r>
      <w:r>
        <w:t xml:space="preserve">.</w:t>
      </w:r>
      <w:r>
        <w:t xml:space="preserve">”</w:t>
      </w:r>
    </w:p>
    <w:p>
      <w:pPr>
        <w:pStyle w:val="BodyText"/>
      </w:pPr>
      <w:r>
        <w:t xml:space="preserve">Gridshare operates at a fundamentally different cadence: 40 billion data points per month from a fleet that was ~77,000 devices as of the AWS case study</w:t>
      </w:r>
      <w:r>
        <w:t xml:space="preserve"> </w:t>
      </w:r>
      <w:r>
        <w:t xml:space="preserve">(representing</w:t>
      </w:r>
      <w:r>
        <w:t xml:space="preserve"> </w:t>
      </w:r>
      <w:r>
        <w:t xml:space="preserve">“</w:t>
      </w:r>
      <w:r>
        <w:t xml:space="preserve">290 megawatts of power and 725 megawatt-hours of energy capacity</w:t>
      </w:r>
      <w:r>
        <w:t xml:space="preserve">”</w:t>
      </w:r>
      <w:r>
        <w:t xml:space="preserve">)</w:t>
      </w:r>
      <w:r>
        <w:t xml:space="preserve"> </w:t>
      </w:r>
      <w:r>
        <w:t xml:space="preserve">—implying data transmission rates on the order of seconds, not hours. This data includes real-time battery state of charge, solar generation, home consumption, and crucially, the voltage and frequency signals the inverter requires to synchronize with and safely connect to the grid.</w:t>
      </w:r>
    </w:p>
    <w:p>
      <w:pPr>
        <w:pStyle w:val="BodyText"/>
      </w:pPr>
      <w:r>
        <w:t xml:space="preserve">Legacy AMI 1.0 systems</w:t>
      </w:r>
      <w:r>
        <w:t xml:space="preserve"> </w:t>
      </w:r>
      <w:r>
        <w:t xml:space="preserve">“</w:t>
      </w:r>
      <w:r>
        <w:t xml:space="preserve">perform limited tasks.</w:t>
      </w:r>
      <w:r>
        <w:t xml:space="preserve">”</w:t>
      </w:r>
      <w:r>
        <w:t xml:space="preserve"> </w:t>
      </w:r>
      <w:r>
        <w:t xml:space="preserve">The AMI 2.0 vision enables</w:t>
      </w:r>
      <w:r>
        <w:t xml:space="preserve"> </w:t>
      </w:r>
      <w:r>
        <w:t xml:space="preserve">“</w:t>
      </w:r>
      <w:r>
        <w:t xml:space="preserve">faster, more adaptable computing directly at the grid’s edge.</w:t>
      </w:r>
      <w:r>
        <w:t xml:space="preserve">”</w:t>
      </w:r>
      <w:r>
        <w:t xml:space="preserve"> </w:t>
      </w:r>
      <w:r>
        <w:t xml:space="preserve">Unlike previous devices</w:t>
      </w:r>
      <w:r>
        <w:t xml:space="preserve"> </w:t>
      </w:r>
      <w:r>
        <w:t xml:space="preserve">“</w:t>
      </w:r>
      <w:r>
        <w:t xml:space="preserve">locked into fixed functions, these new meters offer reprogrammable flexibility. That means utilities can address shifting grid demands—from outage management to real-time energy balancing—without waiting on slow wireless signals or central servers.</w:t>
      </w:r>
      <w:r>
        <w:t xml:space="preserve">”</w:t>
      </w:r>
      <w:r>
        <w:t xml:space="preserve"> </w:t>
      </w:r>
      <w:r>
        <w:t xml:space="preserve">Gridshare already operates as an effectively AMI-2.0-class data source—deployed and paid for by device owners, not utilities.</w:t>
      </w:r>
    </w:p>
    <w:p>
      <w:pPr>
        <w:pStyle w:val="Heading3"/>
      </w:pPr>
      <w:bookmarkStart w:id="27" w:name="X04354ede7eff732273fa8b50482c5e7155d6842"/>
      <w:r>
        <w:t xml:space="preserve">1.5 Market Validation from Japan: Utilities Are Already Paying for Gridshare-Adjacent Capabilities</w:t>
      </w:r>
      <w:bookmarkEnd w:id="27"/>
    </w:p>
    <w:p>
      <w:pPr>
        <w:pStyle w:val="FirstParagraph"/>
      </w:pPr>
      <w:r>
        <w:t xml:space="preserve">In Japan, Gridshare is connected to 37,000 residential batteries installed by ITOCHU,</w:t>
      </w:r>
      <w:r>
        <w:t xml:space="preserve"> </w:t>
      </w:r>
      <w:r>
        <w:t xml:space="preserve">“</w:t>
      </w:r>
      <w:r>
        <w:t xml:space="preserve">delivering daily behind-the-meter optimization that reduces customer bills.</w:t>
      </w:r>
      <w:r>
        <w:t xml:space="preserve">”</w:t>
      </w:r>
      <w:r>
        <w:t xml:space="preserve"> </w:t>
      </w:r>
      <w:r>
        <w:t xml:space="preserve">Over the past year,</w:t>
      </w:r>
      <w:r>
        <w:t xml:space="preserve"> </w:t>
      </w:r>
      <w:r>
        <w:t xml:space="preserve">“</w:t>
      </w:r>
      <w:r>
        <w:t xml:space="preserve">Gridshare has been working with</w:t>
      </w:r>
      <w:r>
        <w:t xml:space="preserve"> </w:t>
      </w:r>
      <w:r>
        <w:rPr>
          <w:b/>
        </w:rPr>
        <w:t xml:space="preserve">four of the five largest Japanese power companies</w:t>
      </w:r>
      <w:r>
        <w:t xml:space="preserve"> </w:t>
      </w:r>
      <w:r>
        <w:t xml:space="preserve">to deliver demand response solutions and help them reduce their wholesale procurement costs.</w:t>
      </w:r>
      <w:r>
        <w:t xml:space="preserve">”</w:t>
      </w:r>
      <w:r>
        <w:t xml:space="preserve"> </w:t>
      </w:r>
      <w:r>
        <w:t xml:space="preserve">This is the embryonic version of the</w:t>
      </w:r>
      <w:r>
        <w:t xml:space="preserve"> </w:t>
      </w:r>
      <w:r>
        <w:t xml:space="preserve">“</w:t>
      </w:r>
      <w:r>
        <w:t xml:space="preserve">Gridshare for Utilities</w:t>
      </w:r>
      <w:r>
        <w:t xml:space="preserve">”</w:t>
      </w:r>
      <w:r>
        <w:t xml:space="preserve"> </w:t>
      </w:r>
      <w:r>
        <w:t xml:space="preserve">product—Japanese utilities are already paying for grid services enabled by the Gridshare fleet. The monetization of the underlying observability data is the logical next step.</w:t>
      </w:r>
    </w:p>
    <w:p>
      <w:pPr>
        <w:pStyle w:val="Heading3"/>
      </w:pPr>
      <w:bookmarkStart w:id="28" w:name="X4f69300e0c9d5b10a9bea545c00b85726b0d72d"/>
      <w:r>
        <w:t xml:space="preserve">1.6 The Federal Government Confirms Last-Mile Data Gap Is a National Priority</w:t>
      </w:r>
      <w:bookmarkEnd w:id="28"/>
    </w:p>
    <w:p>
      <w:pPr>
        <w:pStyle w:val="FirstParagraph"/>
      </w:pPr>
      <w:r>
        <w:t xml:space="preserve">The U.S. Department of Energy’s GRIP program</w:t>
      </w:r>
      <w:r>
        <w:t xml:space="preserve"> </w:t>
      </w:r>
      <w:r>
        <w:t xml:space="preserve">“</w:t>
      </w:r>
      <w:r>
        <w:t xml:space="preserve">allocates</w:t>
      </w:r>
      <w:r>
        <w:t xml:space="preserve"> </w:t>
      </w:r>
      <w:r>
        <w:rPr>
          <w:b/>
        </w:rPr>
        <w:t xml:space="preserve">$10.5 billion toward grid modernization</w:t>
      </w:r>
      <w:r>
        <w:t xml:space="preserve">, with $7.6 billion already awarded in the first two funding rounds.</w:t>
      </w:r>
      <w:r>
        <w:t xml:space="preserve">”</w:t>
      </w:r>
      <w:r>
        <w:t xml:space="preserve"> </w:t>
      </w:r>
      <w:r>
        <w:t xml:space="preserve">This investment</w:t>
      </w:r>
      <w:r>
        <w:t xml:space="preserve"> </w:t>
      </w:r>
      <w:r>
        <w:t xml:space="preserve">“</w:t>
      </w:r>
      <w:r>
        <w:t xml:space="preserve">reflects strong federal commitment and provides support for utility-led digital infrastructure upgrades, including AMI 2.0 and advanced analytics platforms.</w:t>
      </w:r>
      <w:r>
        <w:t xml:space="preserve">”</w:t>
      </w:r>
    </w:p>
    <w:p>
      <w:pPr>
        <w:pStyle w:val="BodyText"/>
      </w:pPr>
      <w:r>
        <w:t xml:space="preserve">Global investments in power grids</w:t>
      </w:r>
      <w:r>
        <w:t xml:space="preserve"> </w:t>
      </w:r>
      <w:r>
        <w:t xml:space="preserve">“</w:t>
      </w:r>
      <w:r>
        <w:t xml:space="preserve">likely topped</w:t>
      </w:r>
      <w:r>
        <w:t xml:space="preserve"> </w:t>
      </w:r>
      <w:r>
        <w:rPr>
          <w:b/>
        </w:rPr>
        <w:t xml:space="preserve">$470 billion</w:t>
      </w:r>
      <w:r>
        <w:t xml:space="preserve"> </w:t>
      </w:r>
      <w:r>
        <w:t xml:space="preserve">for the first time in 2025, according to BloombergNEF. Yet with this ongoing investment cycle, many distribution utilities—responsible for the last mile connecting substations to customers—face a problem. They can’t reliably answer a fundamental question: Which assets require investment and which do not?</w:t>
      </w:r>
      <w:r>
        <w:t xml:space="preserve">”</w:t>
      </w:r>
    </w:p>
    <w:p>
      <w:r>
        <w:pict>
          <v:rect style="width:0;height:1.5pt" o:hralign="center" o:hrstd="t" o:hr="t"/>
        </w:pict>
      </w:r>
    </w:p>
    <w:p>
      <w:pPr>
        <w:pStyle w:val="Heading2"/>
      </w:pPr>
      <w:bookmarkStart w:id="29" w:name="evidence-against-the-hypothesis"/>
      <w:r>
        <w:t xml:space="preserve">2. EVIDENCE AGAINST THE HYPOTHESIS</w:t>
      </w:r>
      <w:bookmarkEnd w:id="29"/>
    </w:p>
    <w:p>
      <w:pPr>
        <w:pStyle w:val="Heading3"/>
      </w:pPr>
      <w:bookmarkStart w:id="30" w:name="Xa0920454f4f92227a07b84a75c939030a0efd50"/>
      <w:r>
        <w:t xml:space="preserve">2.1 Gridshare’s Primary Data Measurements Are Not Yet Confirmed as Grid-Grade Sensors</w:t>
      </w:r>
      <w:bookmarkEnd w:id="30"/>
    </w:p>
    <w:p>
      <w:pPr>
        <w:pStyle w:val="FirstParagraph"/>
      </w:pPr>
      <w:r>
        <w:t xml:space="preserve">The most important caveat: while the</w:t>
      </w:r>
      <w:r>
        <w:t xml:space="preserve"> </w:t>
      </w:r>
      <w:r>
        <w:rPr>
          <w:b/>
        </w:rPr>
        <w:t xml:space="preserve">VPP control loop</w:t>
      </w:r>
      <w:r>
        <w:t xml:space="preserve"> </w:t>
      </w:r>
      <w:r>
        <w:t xml:space="preserve">of a grid-connected inverter necessarily requires measuring grid voltage and frequency for safe synchronization, Lunar has not publicly disclosed whether the Gridshare platform currently logs and transmits these power quality metrics (voltage, frequency, THD, power factor) to its cloud at high temporal resolution, or whether it logs only the energy management quantities (kWh in/out, state of charge, solar generation, home load). The distinction matters enormously. A Gridshare device that logs grid voltage at 1-second resolution is a fundamentally different sensor from one that logs only 15-minute average kWh flows.</w:t>
      </w:r>
    </w:p>
    <w:p>
      <w:pPr>
        <w:pStyle w:val="BodyText"/>
      </w:pPr>
      <w:r>
        <w:t xml:space="preserve">Publicly available Gridshare documentation focuses on:</w:t>
      </w:r>
      <w:r>
        <w:t xml:space="preserve"> </w:t>
      </w:r>
      <w:r>
        <w:t xml:space="preserve">- Battery state of charge and schedule optimization</w:t>
      </w:r>
      <w:r>
        <w:t xml:space="preserve"> </w:t>
      </w:r>
      <w:r>
        <w:t xml:space="preserve">- Household consumption and solar generation profiles</w:t>
      </w:r>
      <w:r>
        <w:t xml:space="preserve"> </w:t>
      </w:r>
      <w:r>
        <w:t xml:space="preserve">- VPP dispatch and market participation</w:t>
      </w:r>
    </w:p>
    <w:p>
      <w:pPr>
        <w:pStyle w:val="BodyText"/>
      </w:pPr>
      <w:r>
        <w:t xml:space="preserve">It does not confirm real-time grid voltage, frequency deviation, THD, or power factor logging—the metrics utilities most need for distribution system state estimation and power quality analytics. This is the critical empirical gap in the hypothesis.</w:t>
      </w:r>
    </w:p>
    <w:p>
      <w:pPr>
        <w:pStyle w:val="Heading3"/>
      </w:pPr>
      <w:bookmarkStart w:id="31" w:name="Xbfc60ead2f9ca94d7542f06d6315ad8d9fea8eb"/>
      <w:r>
        <w:t xml:space="preserve">2.2 Spatial Coverage Is Deeply Non-Uniform and Insufficient for Grid Planning</w:t>
      </w:r>
      <w:bookmarkEnd w:id="31"/>
    </w:p>
    <w:p>
      <w:pPr>
        <w:pStyle w:val="FirstParagraph"/>
      </w:pPr>
      <w:r>
        <w:t xml:space="preserve">A grid observability product requires sensors distributed at statistically meaningful densities across feeders.</w:t>
      </w:r>
      <w:r>
        <w:t xml:space="preserve"> </w:t>
      </w:r>
      <w:r>
        <w:t xml:space="preserve">Australian utility Endeavour Energy’s grid visibility deployment targeted monitoring</w:t>
      </w:r>
      <w:r>
        <w:t xml:space="preserve"> </w:t>
      </w:r>
      <w:r>
        <w:t xml:space="preserve">“</w:t>
      </w:r>
      <w:r>
        <w:t xml:space="preserve">for</w:t>
      </w:r>
      <w:r>
        <w:t xml:space="preserve"> </w:t>
      </w:r>
      <w:r>
        <w:rPr>
          <w:b/>
        </w:rPr>
        <w:t xml:space="preserve">1 in 3 pole-top transformers (about 1 per 75 end customers)</w:t>
      </w:r>
      <w:r>
        <w:t xml:space="preserve">”</w:t>
      </w:r>
      <w:r>
        <w:t xml:space="preserve"> </w:t>
      </w:r>
      <w:r>
        <w:t xml:space="preserve">to build foundational data infrastructure.</w:t>
      </w:r>
      <w:r>
        <w:t xml:space="preserve"> </w:t>
      </w:r>
      <w:r>
        <w:t xml:space="preserve">Gridshare’s 150,000 devices concentrated in wealthier, solar-adopting neighborhoods across Japan, the UK, and the US provide extremely non-representative feeder coverage. A single California feeder may have 300 homes; if two or three have Gridshare batteries, the statistical basis for feeder-level voltage profiles is thin and geographically skewed toward high-income, high-DER-penetration areas—potentially the</w:t>
      </w:r>
      <w:r>
        <w:t xml:space="preserve"> </w:t>
      </w:r>
      <w:r>
        <w:rPr>
          <w:i/>
        </w:rPr>
        <w:t xml:space="preserve">least</w:t>
      </w:r>
      <w:r>
        <w:t xml:space="preserve"> </w:t>
      </w:r>
      <w:r>
        <w:t xml:space="preserve">problematic feeders for traditional load management.</w:t>
      </w:r>
    </w:p>
    <w:p>
      <w:pPr>
        <w:pStyle w:val="Heading3"/>
      </w:pPr>
      <w:bookmarkStart w:id="32" w:name="X80f31bb29e5a21f5015bfcaf4c06e8fb49dfdc8"/>
      <w:r>
        <w:t xml:space="preserve">2.3 Waze for Cities Was Structurally Free—Not Revenue-Generating</w:t>
      </w:r>
      <w:bookmarkEnd w:id="32"/>
    </w:p>
    <w:p>
      <w:pPr>
        <w:pStyle w:val="FirstParagraph"/>
      </w:pPr>
      <w:r>
        <w:t xml:space="preserve">The Waze analogy is powerful but instructive in ways that complicate the hypothesis.</w:t>
      </w:r>
      <w:r>
        <w:t xml:space="preserve"> </w:t>
      </w:r>
      <w:r>
        <w:t xml:space="preserve">Waze for Cities is offered</w:t>
      </w:r>
      <w:r>
        <w:t xml:space="preserve"> </w:t>
      </w:r>
      <w:r>
        <w:t xml:space="preserve">“</w:t>
      </w:r>
      <w:r>
        <w:t xml:space="preserve">free of charge.</w:t>
      </w:r>
      <w:r>
        <w:t xml:space="preserve">”</w:t>
      </w:r>
      <w:r>
        <w:t xml:space="preserve"> </w:t>
      </w:r>
      <w:r>
        <w:t xml:space="preserve">Waze for Cities partners may use BigQuery to analyze</w:t>
      </w:r>
      <w:r>
        <w:t xml:space="preserve"> </w:t>
      </w:r>
      <w:r>
        <w:t xml:space="preserve">“</w:t>
      </w:r>
      <w:r>
        <w:t xml:space="preserve">up to 1TB of Waze data free of charge each month.</w:t>
      </w:r>
      <w:r>
        <w:t xml:space="preserve">”</w:t>
      </w:r>
    </w:p>
    <w:p>
      <w:pPr>
        <w:pStyle w:val="BodyText"/>
      </w:pPr>
      <w:r>
        <w:t xml:space="preserve">Looking at Waze’s programs,</w:t>
      </w:r>
      <w:r>
        <w:t xml:space="preserve"> </w:t>
      </w:r>
      <w:r>
        <w:t xml:space="preserve">“</w:t>
      </w:r>
      <w:r>
        <w:t xml:space="preserve">it has focused less on selling its data and more on making it accessible. Its data is effectively used as a mode of currency. At its core, Waze’s CCP is all about data-sharing—</w:t>
      </w:r>
      <w:r>
        <w:rPr>
          <w:b/>
        </w:rPr>
        <w:t xml:space="preserve">no direct financial transactions are involved</w:t>
      </w:r>
      <w:r>
        <w:t xml:space="preserve">.</w:t>
      </w:r>
      <w:r>
        <w:t xml:space="preserve">”</w:t>
      </w:r>
    </w:p>
    <w:p>
      <w:pPr>
        <w:pStyle w:val="BodyText"/>
      </w:pPr>
      <w:r>
        <w:t xml:space="preserve">The Waze for Cities initiative</w:t>
      </w:r>
      <w:r>
        <w:t xml:space="preserve"> </w:t>
      </w:r>
      <w:r>
        <w:t xml:space="preserve">“</w:t>
      </w:r>
      <w:r>
        <w:t xml:space="preserve">allows Waze to share anonymised traffic data with governments, municipalities, and urban planning departments. In return, these organisations provide Waze with real-time data about road closures, construction zones, and public events.</w:t>
      </w:r>
      <w:r>
        <w:t xml:space="preserve">”</w:t>
      </w:r>
      <w:r>
        <w:t xml:space="preserve"> </w:t>
      </w:r>
      <w:r>
        <w:t xml:space="preserve">While Waze does not directly sell user data,</w:t>
      </w:r>
      <w:r>
        <w:t xml:space="preserve"> </w:t>
      </w:r>
      <w:r>
        <w:t xml:space="preserve">“</w:t>
      </w:r>
      <w:r>
        <w:t xml:space="preserve">cities can also pay for more advanced API integrations, predictive analytics, or access to historical datasets.</w:t>
      </w:r>
      <w:r>
        <w:t xml:space="preserve">”</w:t>
      </w:r>
    </w:p>
    <w:p>
      <w:pPr>
        <w:pStyle w:val="BodyText"/>
      </w:pPr>
      <w:r>
        <w:t xml:space="preserve">This suggests the Waze model ultimately generates</w:t>
      </w:r>
      <w:r>
        <w:t xml:space="preserve"> </w:t>
      </w:r>
      <w:r>
        <w:rPr>
          <w:b/>
        </w:rPr>
        <w:t xml:space="preserve">indirect</w:t>
      </w:r>
      <w:r>
        <w:t xml:space="preserve"> </w:t>
      </w:r>
      <w:r>
        <w:t xml:space="preserve">value (better navigation data for Waze’s core product) rather than direct subscription revenue. The</w:t>
      </w:r>
      <w:r>
        <w:t xml:space="preserve"> </w:t>
      </w:r>
      <w:r>
        <w:t xml:space="preserve">“</w:t>
      </w:r>
      <w:r>
        <w:t xml:space="preserve">Gridshare for Utilities</w:t>
      </w:r>
      <w:r>
        <w:t xml:space="preserve">”</w:t>
      </w:r>
      <w:r>
        <w:t xml:space="preserve"> </w:t>
      </w:r>
      <w:r>
        <w:t xml:space="preserve">analogy would need to demonstrate that utilities would pay</w:t>
      </w:r>
      <w:r>
        <w:t xml:space="preserve"> </w:t>
      </w:r>
      <w:r>
        <w:rPr>
          <w:b/>
        </w:rPr>
        <w:t xml:space="preserve">cash</w:t>
      </w:r>
      <w:r>
        <w:t xml:space="preserve"> </w:t>
      </w:r>
      <w:r>
        <w:t xml:space="preserve">for grid observability data from a third-party—not merely reciprocate with data or regulatory goodwill.</w:t>
      </w:r>
    </w:p>
    <w:p>
      <w:pPr>
        <w:pStyle w:val="Heading3"/>
      </w:pPr>
      <w:bookmarkStart w:id="33" w:name="Xc87badcd9fd08360f54053dee34c9dff8a5d7cf"/>
      <w:r>
        <w:t xml:space="preserve">2.4 Utilities Are Structurally Resistant to Third-Party Grid Data</w:t>
      </w:r>
      <w:bookmarkEnd w:id="33"/>
    </w:p>
    <w:p>
      <w:pPr>
        <w:pStyle w:val="FirstParagraph"/>
      </w:pPr>
      <w:r>
        <w:t xml:space="preserve">ACEEE identified major barriers to AMI data sharing, noting that</w:t>
      </w:r>
      <w:r>
        <w:t xml:space="preserve"> </w:t>
      </w:r>
      <w:r>
        <w:t xml:space="preserve">“</w:t>
      </w:r>
      <w:r>
        <w:t xml:space="preserve">utilities, as regulated monopolies, have an inherent bias against sharing data with third parties and they do not have an incentive to sell less of their product.</w:t>
      </w:r>
      <w:r>
        <w:t xml:space="preserve">”</w:t>
      </w:r>
    </w:p>
    <w:p>
      <w:pPr>
        <w:pStyle w:val="BodyText"/>
      </w:pPr>
      <w:r>
        <w:t xml:space="preserve">In the US,</w:t>
      </w:r>
      <w:r>
        <w:t xml:space="preserve"> </w:t>
      </w:r>
      <w:r>
        <w:t xml:space="preserve">“</w:t>
      </w:r>
      <w:r>
        <w:t xml:space="preserve">consumer data privacy is governed by state-level privacy laws; in parallel, utilities must comply with NERC Critical Infrastructure Protection (CIP) standards for operational security.</w:t>
      </w:r>
      <w:r>
        <w:t xml:space="preserve">”</w:t>
      </w:r>
      <w:r>
        <w:t xml:space="preserve"> </w:t>
      </w:r>
      <w:r>
        <w:t xml:space="preserve">This creates</w:t>
      </w:r>
      <w:r>
        <w:t xml:space="preserve"> </w:t>
      </w:r>
      <w:r>
        <w:t xml:space="preserve">“</w:t>
      </w:r>
      <w:r>
        <w:t xml:space="preserve">a dual track: state privacy obligations for personal data and sector-specific federal standards for grid operations.</w:t>
      </w:r>
      <w:r>
        <w:t xml:space="preserve">”</w:t>
      </w:r>
    </w:p>
    <w:p>
      <w:pPr>
        <w:pStyle w:val="BodyText"/>
      </w:pPr>
      <w:r>
        <w:t xml:space="preserve">Smart meters and home energy management systems</w:t>
      </w:r>
      <w:r>
        <w:t xml:space="preserve"> </w:t>
      </w:r>
      <w:r>
        <w:t xml:space="preserve">“</w:t>
      </w:r>
      <w:r>
        <w:t xml:space="preserve">record detailed usage at short intervals for purposes such as time-of-use billing and energy management. Because these readings can reveal occupancy patterns, appliance use, and lifestyle habits, unauthorized access creates serious privacy risks.</w:t>
      </w:r>
      <w:r>
        <w:t xml:space="preserve">”</w:t>
      </w:r>
      <w:r>
        <w:t xml:space="preserve"> </w:t>
      </w:r>
      <w:r>
        <w:t xml:space="preserve">Many jurisdictions require</w:t>
      </w:r>
      <w:r>
        <w:t xml:space="preserve"> </w:t>
      </w:r>
      <w:r>
        <w:t xml:space="preserve">“</w:t>
      </w:r>
      <w:r>
        <w:t xml:space="preserve">explicit consumer consent before third parties may access personal energy-use data.</w:t>
      </w:r>
      <w:r>
        <w:t xml:space="preserve">”</w:t>
      </w:r>
    </w:p>
    <w:p>
      <w:pPr>
        <w:pStyle w:val="BodyText"/>
      </w:pPr>
      <w:r>
        <w:t xml:space="preserve">The regulatory problem cuts both ways. Not only do utilities resist buying third-party grid data, but a regulatory proceeding would likely be needed before a utility could formally incorporate Gridshare observability data into its distribution planning models, rate cases, or infrastructure investment justifications. Regulatory approval processes for AMI investments can be rejected outright:</w:t>
      </w:r>
      <w:r>
        <w:t xml:space="preserve"> </w:t>
      </w:r>
      <w:r>
        <w:t xml:space="preserve">AMI deployments are expensive—</w:t>
      </w:r>
      <w:r>
        <w:t xml:space="preserve">“</w:t>
      </w:r>
      <w:r>
        <w:t xml:space="preserve">Kentucky Utilities and Louisville Gas &amp; Electric had proposed to install AMI for 1.3 million customers over the next five years, but the plan carried a</w:t>
      </w:r>
      <w:r>
        <w:t xml:space="preserve"> </w:t>
      </w:r>
      <w:r>
        <w:rPr>
          <w:b/>
        </w:rPr>
        <w:t xml:space="preserve">$350 million price tag</w:t>
      </w:r>
      <w:r>
        <w:t xml:space="preserve">”</w:t>
      </w:r>
      <w:r>
        <w:t xml:space="preserve"> </w:t>
      </w:r>
      <w:r>
        <w:t xml:space="preserve">—suggesting utilities already face significant capital scrutiny before spending on grid visibility at all.</w:t>
      </w:r>
    </w:p>
    <w:p>
      <w:pPr>
        <w:pStyle w:val="Heading3"/>
      </w:pPr>
      <w:bookmarkStart w:id="34" w:name="Xba1f1120860ac62124eb07586f27ed595424493"/>
      <w:r>
        <w:t xml:space="preserve">2.5 Smart Meter Vendors Are Racing to Fill the Same Gap</w:t>
      </w:r>
      <w:bookmarkEnd w:id="34"/>
    </w:p>
    <w:p>
      <w:pPr>
        <w:pStyle w:val="FirstParagraph"/>
      </w:pPr>
      <w:r>
        <w:t xml:space="preserve">The very market Gridshare would enter is being aggressively targeted by incumbents with more scale, regulatory relationships, and utility trust.</w:t>
      </w:r>
      <w:r>
        <w:t xml:space="preserve"> </w:t>
      </w:r>
      <w:r>
        <w:t xml:space="preserve">Aclara,</w:t>
      </w:r>
      <w:r>
        <w:t xml:space="preserve"> </w:t>
      </w:r>
      <w:r>
        <w:t xml:space="preserve">“</w:t>
      </w:r>
      <w:r>
        <w:t xml:space="preserve">an industry leader with more than 30 million electric meters deployed in North America, will embed Karman [Utilidata’s AI platform] into a smart meter to provide utilities with 100 times more processing power than traditional solutions.</w:t>
      </w:r>
      <w:r>
        <w:t xml:space="preserve">”</w:t>
      </w:r>
      <w:r>
        <w:t xml:space="preserve"> </w:t>
      </w:r>
      <w:r>
        <w:t xml:space="preserve">These meters</w:t>
      </w:r>
      <w:r>
        <w:t xml:space="preserve"> </w:t>
      </w:r>
      <w:r>
        <w:t xml:space="preserve">“</w:t>
      </w:r>
      <w:r>
        <w:t xml:space="preserve">will provide powerful local computation at the edge of the grid to understand and predict grid conditions and the impacts of DERs.</w:t>
      </w:r>
      <w:r>
        <w:t xml:space="preserve">”</w:t>
      </w:r>
    </w:p>
    <w:p>
      <w:pPr>
        <w:pStyle w:val="BodyText"/>
      </w:pPr>
      <w:r>
        <w:t xml:space="preserve">Sense,</w:t>
      </w:r>
      <w:r>
        <w:t xml:space="preserve"> </w:t>
      </w:r>
      <w:r>
        <w:t xml:space="preserve">“</w:t>
      </w:r>
      <w:r>
        <w:t xml:space="preserve">a leader in grid edge intelligence,</w:t>
      </w:r>
      <w:r>
        <w:t xml:space="preserve">”</w:t>
      </w:r>
      <w:r>
        <w:t xml:space="preserve"> </w:t>
      </w:r>
      <w:r>
        <w:t xml:space="preserve">announced a</w:t>
      </w:r>
      <w:r>
        <w:t xml:space="preserve"> </w:t>
      </w:r>
      <w:r>
        <w:t xml:space="preserve">“</w:t>
      </w:r>
      <w:r>
        <w:t xml:space="preserve">new suite of load visibility services designed to help utilities detect and measure distributed energy resources (DERs) and other major loads in the home. Together, these services make</w:t>
      </w:r>
      <w:r>
        <w:t xml:space="preserve"> </w:t>
      </w:r>
      <w:r>
        <w:rPr>
          <w:b/>
        </w:rPr>
        <w:t xml:space="preserve">detailed transformer and feeder-level mapping</w:t>
      </w:r>
      <w:r>
        <w:t xml:space="preserve"> </w:t>
      </w:r>
      <w:r>
        <w:t xml:space="preserve">of the distribution grid possible.</w:t>
      </w:r>
      <w:r>
        <w:t xml:space="preserve">”</w:t>
      </w:r>
      <w:r>
        <w:t xml:space="preserve"> </w:t>
      </w:r>
      <w:r>
        <w:t xml:space="preserve">The Sense Load Visibility Solution is</w:t>
      </w:r>
      <w:r>
        <w:t xml:space="preserve"> </w:t>
      </w:r>
      <w:r>
        <w:t xml:space="preserve">“</w:t>
      </w:r>
      <w:r>
        <w:t xml:space="preserve">embedded in the latest generation of AMI meters.</w:t>
      </w:r>
      <w:r>
        <w:t xml:space="preserve">”</w:t>
      </w:r>
    </w:p>
    <w:p>
      <w:pPr>
        <w:pStyle w:val="BodyText"/>
      </w:pPr>
      <w:r>
        <w:t xml:space="preserve">Bidgely’s</w:t>
      </w:r>
      <w:r>
        <w:t xml:space="preserve"> </w:t>
      </w:r>
      <w:r>
        <w:t xml:space="preserve">“</w:t>
      </w:r>
      <w:r>
        <w:t xml:space="preserve">patented AI-powered applications are embedded within the physical meter</w:t>
      </w:r>
      <w:r>
        <w:t xml:space="preserve">”</w:t>
      </w:r>
      <w:r>
        <w:t xml:space="preserve"> </w:t>
      </w:r>
      <w:r>
        <w:t xml:space="preserve">through a collaboration with Itron—giving the incumbent smart meter ecosystem a direct and integrated path to real-time grid-edge intelligence.</w:t>
      </w:r>
    </w:p>
    <w:p>
      <w:pPr>
        <w:pStyle w:val="BodyText"/>
      </w:pPr>
      <w:r>
        <w:t xml:space="preserve">These competitors operate</w:t>
      </w:r>
      <w:r>
        <w:t xml:space="preserve"> </w:t>
      </w:r>
      <w:r>
        <w:rPr>
          <w:i/>
        </w:rPr>
        <w:t xml:space="preserve">inside</w:t>
      </w:r>
      <w:r>
        <w:t xml:space="preserve"> </w:t>
      </w:r>
      <w:r>
        <w:t xml:space="preserve">the utility’s existing infrastructure, metering contracts, and regulatory frameworks—a structural advantage Gridshare would need to overcome from outside.</w:t>
      </w:r>
    </w:p>
    <w:p>
      <w:pPr>
        <w:pStyle w:val="Heading3"/>
      </w:pPr>
      <w:bookmarkStart w:id="35" w:name="Xf0d0f2a7bbbc234fc81328c208f6283af09e792"/>
      <w:r>
        <w:t xml:space="preserve">2.6 Utility Cost-Benefit Culture Resists New Data Products</w:t>
      </w:r>
      <w:bookmarkEnd w:id="35"/>
    </w:p>
    <w:p>
      <w:pPr>
        <w:pStyle w:val="FirstParagraph"/>
      </w:pPr>
      <w:r>
        <w:t xml:space="preserve">A documented barrier in the AMI analytics market is that</w:t>
      </w:r>
      <w:r>
        <w:t xml:space="preserve"> </w:t>
      </w:r>
      <w:r>
        <w:t xml:space="preserve">“</w:t>
      </w:r>
      <w:r>
        <w:t xml:space="preserve">expenditures for [AMI] deployment have been approved, but</w:t>
      </w:r>
      <w:r>
        <w:t xml:space="preserve"> </w:t>
      </w:r>
      <w:r>
        <w:rPr>
          <w:b/>
        </w:rPr>
        <w:t xml:space="preserve">expenditures for information technology and data analytics needed to use the data have not been approved.</w:t>
      </w:r>
      <w:r>
        <w:t xml:space="preserve">”</w:t>
      </w:r>
      <w:r>
        <w:t xml:space="preserve"> </w:t>
      </w:r>
      <w:r>
        <w:t xml:space="preserve">Utilities have historically underinvested in actually extracting value from the sensors they already own. Selling a new subscription data product to the same organizations that leave 96–98% of their existing AMI data unused (</w:t>
      </w:r>
      <w:r>
        <w:t xml:space="preserve"> </w:t>
      </w:r>
      <w:r>
        <w:t xml:space="preserve">“</w:t>
      </w:r>
      <w:r>
        <w:t xml:space="preserve">utilities are massively underutilizing grid data—leveraging only 2–4% of the data generated from smart devices and AMI meters</w:t>
      </w:r>
      <w:r>
        <w:t xml:space="preserve">”</w:t>
      </w:r>
      <w:r>
        <w:t xml:space="preserve"> </w:t>
      </w:r>
      <w:r>
        <w:t xml:space="preserve">) faces significant cultural and budgetary resistance.</w:t>
      </w:r>
    </w:p>
    <w:p>
      <w:pPr>
        <w:pStyle w:val="Heading3"/>
      </w:pPr>
      <w:bookmarkStart w:id="36" w:name="X288546b8a87bd86b6c2e6d689d511c8242cecec"/>
      <w:r>
        <w:t xml:space="preserve">2.7 NERC CIP Reclassification May Complicate DER Data Flows</w:t>
      </w:r>
      <w:bookmarkEnd w:id="36"/>
    </w:p>
    <w:p>
      <w:pPr>
        <w:pStyle w:val="FirstParagraph"/>
      </w:pPr>
      <w:r>
        <w:t xml:space="preserve">A significant regulatory shift is underway: NERC CIP updates involve</w:t>
      </w:r>
      <w:r>
        <w:t xml:space="preserve"> </w:t>
      </w:r>
      <w:r>
        <w:t xml:space="preserve">“</w:t>
      </w:r>
      <w:r>
        <w:t xml:space="preserve">reclassifying historically</w:t>
      </w:r>
      <w:r>
        <w:t xml:space="preserve"> </w:t>
      </w:r>
      <w:r>
        <w:t xml:space="preserve">‘</w:t>
      </w:r>
      <w:r>
        <w:t xml:space="preserve">low-impact</w:t>
      </w:r>
      <w:r>
        <w:t xml:space="preserve">’</w:t>
      </w:r>
      <w:r>
        <w:t xml:space="preserve"> </w:t>
      </w:r>
      <w:r>
        <w:t xml:space="preserve">assets, such as substations and</w:t>
      </w:r>
      <w:r>
        <w:t xml:space="preserve"> </w:t>
      </w:r>
      <w:r>
        <w:rPr>
          <w:b/>
        </w:rPr>
        <w:t xml:space="preserve">distributed energy resources (DERs)</w:t>
      </w:r>
      <w:r>
        <w:t xml:space="preserve">, subjecting them to stricter security controls or even elevating them to medium-impact classification.</w:t>
      </w:r>
      <w:r>
        <w:t xml:space="preserve">”</w:t>
      </w:r>
      <w:r>
        <w:t xml:space="preserve"> </w:t>
      </w:r>
      <w:r>
        <w:t xml:space="preserve">This is</w:t>
      </w:r>
      <w:r>
        <w:t xml:space="preserve"> </w:t>
      </w:r>
      <w:r>
        <w:t xml:space="preserve">“</w:t>
      </w:r>
      <w:r>
        <w:t xml:space="preserve">driven by the growing role of these assets in grid reliability.</w:t>
      </w:r>
      <w:r>
        <w:t xml:space="preserve">”</w:t>
      </w:r>
      <w:r>
        <w:t xml:space="preserve"> </w:t>
      </w:r>
      <w:r>
        <w:t xml:space="preserve">As DERs like the Gridshare fleet become formally classified as part of the critical infrastructure, the cybersecurity and data sharing requirements will tighten—potentially creating compliance burdens that make a</w:t>
      </w:r>
      <w:r>
        <w:t xml:space="preserve"> </w:t>
      </w:r>
      <w:r>
        <w:t xml:space="preserve">“</w:t>
      </w:r>
      <w:r>
        <w:t xml:space="preserve">Gridshare for Utilities</w:t>
      </w:r>
      <w:r>
        <w:t xml:space="preserve">”</w:t>
      </w:r>
      <w:r>
        <w:t xml:space="preserve"> </w:t>
      </w:r>
      <w:r>
        <w:t xml:space="preserve">data product more complex to structure legally.</w:t>
      </w:r>
    </w:p>
    <w:p>
      <w:r>
        <w:pict>
          <v:rect style="width:0;height:1.5pt" o:hralign="center" o:hrstd="t" o:hr="t"/>
        </w:pict>
      </w:r>
    </w:p>
    <w:p>
      <w:pPr>
        <w:pStyle w:val="Heading2"/>
      </w:pPr>
      <w:bookmarkStart w:id="37" w:name="comparable-examples"/>
      <w:r>
        <w:t xml:space="preserve">3. COMPARABLE EXAMPLES</w:t>
      </w:r>
      <w:bookmarkEnd w:id="37"/>
    </w:p>
    <w:p>
      <w:pPr>
        <w:pStyle w:val="Heading3"/>
      </w:pPr>
      <w:bookmarkStart w:id="38" w:name="X46b4f45f32036fe55a0cd6b8818d21a6c5af2c3"/>
      <w:r>
        <w:t xml:space="preserve">3.1 Waze for Cities (Google): Crowdsourced Sensing as Public Good, Not Revenue Center</w:t>
      </w:r>
      <w:bookmarkEnd w:id="38"/>
    </w:p>
    <w:p>
      <w:pPr>
        <w:pStyle w:val="FirstParagraph"/>
      </w:pPr>
      <w:r>
        <w:t xml:space="preserve">The Waze analog is apt but imprecise.</w:t>
      </w:r>
      <w:r>
        <w:t xml:space="preserve"> </w:t>
      </w:r>
      <w:r>
        <w:t xml:space="preserve">The Waze for Cities Data program is</w:t>
      </w:r>
      <w:r>
        <w:t xml:space="preserve"> </w:t>
      </w:r>
      <w:r>
        <w:t xml:space="preserve">“</w:t>
      </w:r>
      <w:r>
        <w:t xml:space="preserve">a free, two-way data exchange.</w:t>
      </w:r>
      <w:r>
        <w:t xml:space="preserve">”</w:t>
      </w:r>
      <w:r>
        <w:t xml:space="preserve"> </w:t>
      </w:r>
      <w:r>
        <w:t xml:space="preserve">Launched in October 2014 with 10 city partners, the program expanded to</w:t>
      </w:r>
      <w:r>
        <w:t xml:space="preserve"> </w:t>
      </w:r>
      <w:r>
        <w:t xml:space="preserve">“</w:t>
      </w:r>
      <w:r>
        <w:t xml:space="preserve">over 1,500 partners including city, state, and country government agencies, academic institutions, and first responders.</w:t>
      </w:r>
      <w:r>
        <w:t xml:space="preserve">”</w:t>
      </w:r>
    </w:p>
    <w:p>
      <w:pPr>
        <w:pStyle w:val="BodyText"/>
      </w:pPr>
      <w:r>
        <w:t xml:space="preserve">The commercial model that works is data</w:t>
      </w:r>
      <w:r>
        <w:t xml:space="preserve"> </w:t>
      </w:r>
      <w:r>
        <w:rPr>
          <w:i/>
        </w:rPr>
        <w:t xml:space="preserve">reciprocity</w:t>
      </w:r>
      <w:r>
        <w:t xml:space="preserve">, not data</w:t>
      </w:r>
      <w:r>
        <w:t xml:space="preserve"> </w:t>
      </w:r>
      <w:r>
        <w:rPr>
          <w:i/>
        </w:rPr>
        <w:t xml:space="preserve">sales</w:t>
      </w:r>
      <w:r>
        <w:t xml:space="preserve">:</w:t>
      </w:r>
      <w:r>
        <w:t xml:space="preserve"> </w:t>
      </w:r>
      <w:r>
        <w:t xml:space="preserve">The data-sharing pacts are</w:t>
      </w:r>
      <w:r>
        <w:t xml:space="preserve"> </w:t>
      </w:r>
      <w:r>
        <w:t xml:space="preserve">“</w:t>
      </w:r>
      <w:r>
        <w:t xml:space="preserve">all about improving its navigation app, while municipalities and other organizations can improve their own infrastructure projects via Waze’s traffic data.</w:t>
      </w:r>
      <w:r>
        <w:t xml:space="preserve">”</w:t>
      </w:r>
      <w:r>
        <w:t xml:space="preserve"> </w:t>
      </w:r>
      <w:r>
        <w:t xml:space="preserve">Waze monetizes through advertising, not city contracts.</w:t>
      </w:r>
      <w:r>
        <w:t xml:space="preserve"> </w:t>
      </w:r>
      <w:r>
        <w:t xml:space="preserve">The city programs are shared through</w:t>
      </w:r>
      <w:r>
        <w:t xml:space="preserve"> </w:t>
      </w:r>
      <w:r>
        <w:t xml:space="preserve">“</w:t>
      </w:r>
      <w:r>
        <w:t xml:space="preserve">free civic programs and industry partnerships. The benefit for Waze is long-term product strength. Better data makes navigation more reliable, which keeps users engaged and advertisers interested. In some cases, organizations pay for deeper analytics or extended integrations.</w:t>
      </w:r>
      <w:r>
        <w:t xml:space="preserve">”</w:t>
      </w:r>
    </w:p>
    <w:p>
      <w:pPr>
        <w:pStyle w:val="BodyText"/>
      </w:pPr>
      <w:r>
        <w:rPr>
          <w:b/>
        </w:rPr>
        <w:t xml:space="preserve">Implication for Gridshare:</w:t>
      </w:r>
      <w:r>
        <w:t xml:space="preserve"> </w:t>
      </w:r>
      <w:r>
        <w:t xml:space="preserve">The Waze model suggests the more powerful commercial case is using grid observability data to</w:t>
      </w:r>
      <w:r>
        <w:t xml:space="preserve"> </w:t>
      </w:r>
      <w:r>
        <w:rPr>
          <w:i/>
        </w:rPr>
        <w:t xml:space="preserve">improve Gridshare’s own VPP optimization performance</w:t>
      </w:r>
      <w:r>
        <w:t xml:space="preserve">—enabling better dispatch, reduced battery degradation, and higher VPP revenue—rather than selling raw data to utilities. The data’s indirect value to Gridshare’s core product may exceed any direct subscription revenue.</w:t>
      </w:r>
    </w:p>
    <w:p>
      <w:pPr>
        <w:pStyle w:val="Heading3"/>
      </w:pPr>
      <w:bookmarkStart w:id="39" w:name="X2e915f0f068d861d8fe203c046ac5e5612a34f7"/>
      <w:r>
        <w:t xml:space="preserve">3.2 Whisker Labs / Ting: The Closest True Analog—A Residential Sensor Network Sold to Utilities and Insurers</w:t>
      </w:r>
      <w:bookmarkEnd w:id="39"/>
    </w:p>
    <w:p>
      <w:pPr>
        <w:pStyle w:val="FirstParagraph"/>
      </w:pPr>
      <w:r>
        <w:t xml:space="preserve">Whisker Labs’ Ting is the most structurally similar business to the</w:t>
      </w:r>
      <w:r>
        <w:t xml:space="preserve"> </w:t>
      </w:r>
      <w:r>
        <w:t xml:space="preserve">“</w:t>
      </w:r>
      <w:r>
        <w:t xml:space="preserve">Gridshare for Utilities</w:t>
      </w:r>
      <w:r>
        <w:t xml:space="preserve">”</w:t>
      </w:r>
      <w:r>
        <w:t xml:space="preserve"> </w:t>
      </w:r>
      <w:r>
        <w:t xml:space="preserve">concept—and its trajectory is highly instructive.</w:t>
      </w:r>
    </w:p>
    <w:p>
      <w:pPr>
        <w:pStyle w:val="BodyText"/>
      </w:pPr>
      <w:r>
        <w:t xml:space="preserve">In 2019, Whisker Labs launched Ting to stop electrical fires. Today, with</w:t>
      </w:r>
      <w:r>
        <w:t xml:space="preserve"> </w:t>
      </w:r>
      <w:r>
        <w:t xml:space="preserve">“</w:t>
      </w:r>
      <w:r>
        <w:t xml:space="preserve">more than a million sensors across the country,</w:t>
      </w:r>
      <w:r>
        <w:t xml:space="preserve">”</w:t>
      </w:r>
      <w:r>
        <w:t xml:space="preserve"> </w:t>
      </w:r>
      <w:r>
        <w:t xml:space="preserve">they’ve built</w:t>
      </w:r>
      <w:r>
        <w:t xml:space="preserve"> </w:t>
      </w:r>
      <w:r>
        <w:t xml:space="preserve">“</w:t>
      </w:r>
      <w:r>
        <w:t xml:space="preserve">the most comprehensive IoT network monitoring the safety and resilience of the U.S. electric grid.</w:t>
      </w:r>
      <w:r>
        <w:t xml:space="preserve">”</w:t>
      </w:r>
      <w:r>
        <w:t xml:space="preserve"> </w:t>
      </w:r>
      <w:r>
        <w:t xml:space="preserve">With</w:t>
      </w:r>
      <w:r>
        <w:t xml:space="preserve"> </w:t>
      </w:r>
      <w:r>
        <w:rPr>
          <w:b/>
        </w:rPr>
        <w:t xml:space="preserve">“</w:t>
      </w:r>
      <w:r>
        <w:rPr>
          <w:b/>
        </w:rPr>
        <w:t xml:space="preserve">94% of homes within one mile of a Ting sensor,</w:t>
      </w:r>
      <w:r>
        <w:rPr>
          <w:b/>
        </w:rPr>
        <w:t xml:space="preserve">”</w:t>
      </w:r>
      <w:r>
        <w:t xml:space="preserve"> </w:t>
      </w:r>
      <w:r>
        <w:t xml:space="preserve">the AI-powered network delivers</w:t>
      </w:r>
      <w:r>
        <w:t xml:space="preserve"> </w:t>
      </w:r>
      <w:r>
        <w:t xml:space="preserve">“</w:t>
      </w:r>
      <w:r>
        <w:t xml:space="preserve">real-time visibility into the grid—at a depth and resolution never before possible.</w:t>
      </w:r>
      <w:r>
        <w:t xml:space="preserve">”</w:t>
      </w:r>
    </w:p>
    <w:p>
      <w:pPr>
        <w:pStyle w:val="BodyText"/>
      </w:pPr>
      <w:r>
        <w:t xml:space="preserve">Critically, Whisker Labs’ technical approach closely mirrors what Gridshare could offer.</w:t>
      </w:r>
      <w:r>
        <w:t xml:space="preserve"> </w:t>
      </w:r>
      <w:r>
        <w:t xml:space="preserve">Using co-located sensors,</w:t>
      </w:r>
      <w:r>
        <w:t xml:space="preserve"> </w:t>
      </w:r>
      <w:r>
        <w:t xml:space="preserve">“</w:t>
      </w:r>
      <w:r>
        <w:t xml:space="preserve">if the sensors were on the same feeder, the voltage and THD would be similar magnitudes and change in similar ways. If the voltage and THD magnitudes differ or the changes in the magnitudes of the readings differ, then it would indicate that sensors are not on the same feeder.</w:t>
      </w:r>
      <w:r>
        <w:t xml:space="preserve">”</w:t>
      </w:r>
      <w:r>
        <w:t xml:space="preserve"> </w:t>
      </w:r>
      <w:r>
        <w:t xml:space="preserve">This feeder-identification technique from correlated voltage and THD signals is exactly the kind of distribution topology discovery analysis that utilities need and cannot currently do cheaply.</w:t>
      </w:r>
    </w:p>
    <w:p>
      <w:pPr>
        <w:pStyle w:val="BodyText"/>
      </w:pPr>
      <w:r>
        <w:t xml:space="preserve">Ting data identified</w:t>
      </w:r>
      <w:r>
        <w:t xml:space="preserve"> </w:t>
      </w:r>
      <w:r>
        <w:t xml:space="preserve">“</w:t>
      </w:r>
      <w:r>
        <w:t xml:space="preserve">specific community disparities, with some areas experiencing 10 to 30 times the frequency of surges and outages compared to averages.</w:t>
      </w:r>
      <w:r>
        <w:t xml:space="preserve">”</w:t>
      </w:r>
      <w:r>
        <w:t xml:space="preserve"> </w:t>
      </w:r>
      <w:r>
        <w:t xml:space="preserve">Notably,</w:t>
      </w:r>
      <w:r>
        <w:t xml:space="preserve"> </w:t>
      </w:r>
      <w:r>
        <w:t xml:space="preserve">“</w:t>
      </w:r>
      <w:r>
        <w:t xml:space="preserve">Ting data showed clear signs of grid stress</w:t>
      </w:r>
      <w:r>
        <w:t xml:space="preserve"> </w:t>
      </w:r>
      <w:r>
        <w:rPr>
          <w:b/>
        </w:rPr>
        <w:t xml:space="preserve">for hours before the ignition of devastating wildfires in Maui and Los Angeles</w:t>
      </w:r>
      <w:r>
        <w:t xml:space="preserve">,</w:t>
      </w:r>
      <w:r>
        <w:t xml:space="preserve">”</w:t>
      </w:r>
      <w:r>
        <w:t xml:space="preserve"> </w:t>
      </w:r>
      <w:r>
        <w:t xml:space="preserve">suggesting potential for early warning systems.</w:t>
      </w:r>
    </w:p>
    <w:p>
      <w:pPr>
        <w:pStyle w:val="BodyText"/>
      </w:pPr>
      <w:r>
        <w:rPr>
          <w:b/>
        </w:rPr>
        <w:t xml:space="preserve">Whisker Labs’ monetization model:</w:t>
      </w:r>
      <w:r>
        <w:t xml:space="preserve"> </w:t>
      </w:r>
      <w:r>
        <w:t xml:space="preserve">Through</w:t>
      </w:r>
      <w:r>
        <w:t xml:space="preserve"> </w:t>
      </w:r>
      <w:r>
        <w:t xml:space="preserve">“</w:t>
      </w:r>
      <w:r>
        <w:t xml:space="preserve">cutting-edge sensor technology and network data, we partner with the Insurance and Energy sectors to drive massive loss avoidance through the prediction and prevention of electrical fires, protecting families, homes, and communities.</w:t>
      </w:r>
      <w:r>
        <w:t xml:space="preserve">”</w:t>
      </w:r>
      <w:r>
        <w:t xml:space="preserve"> </w:t>
      </w:r>
      <w:r>
        <w:t xml:space="preserve">The primary revenue pathway that has scaled is</w:t>
      </w:r>
      <w:r>
        <w:t xml:space="preserve"> </w:t>
      </w:r>
      <w:r>
        <w:rPr>
          <w:b/>
        </w:rPr>
        <w:t xml:space="preserve">insurance</w:t>
      </w:r>
      <w:r>
        <w:t xml:space="preserve">, not utility subscriptions:</w:t>
      </w:r>
      <w:r>
        <w:t xml:space="preserve"> </w:t>
      </w:r>
      <w:r>
        <w:t xml:space="preserve">Nationwide will make Ting sensors and fire prevention services</w:t>
      </w:r>
      <w:r>
        <w:t xml:space="preserve"> </w:t>
      </w:r>
      <w:r>
        <w:t xml:space="preserve">“</w:t>
      </w:r>
      <w:r>
        <w:t xml:space="preserve">available for free to 500,000 additional homes over the next two years</w:t>
      </w:r>
      <w:r>
        <w:t xml:space="preserve">”</w:t>
      </w:r>
      <w:r>
        <w:t xml:space="preserve"> </w:t>
      </w:r>
      <w:r>
        <w:t xml:space="preserve">through its expanded strategic program with Whisker Labs.</w:t>
      </w:r>
    </w:p>
    <w:p>
      <w:pPr>
        <w:pStyle w:val="BodyText"/>
      </w:pPr>
      <w:r>
        <w:t xml:space="preserve">The utility partnerships exist</w:t>
      </w:r>
      <w:r>
        <w:t xml:space="preserve"> </w:t>
      </w:r>
      <w:r>
        <w:t xml:space="preserve">as Ting</w:t>
      </w:r>
      <w:r>
        <w:t xml:space="preserve"> </w:t>
      </w:r>
      <w:r>
        <w:t xml:space="preserve">“</w:t>
      </w:r>
      <w:r>
        <w:t xml:space="preserve">is developing partnerships with major utility companies and reports this data to them</w:t>
      </w:r>
      <w:r>
        <w:t xml:space="preserve">”</w:t>
      </w:r>
      <w:r>
        <w:t xml:space="preserve"> </w:t>
      </w:r>
      <w:r>
        <w:t xml:space="preserve">—but public evidence of utility</w:t>
      </w:r>
      <w:r>
        <w:t xml:space="preserve"> </w:t>
      </w:r>
      <w:r>
        <w:rPr>
          <w:i/>
        </w:rPr>
        <w:t xml:space="preserve">subscription revenue</w:t>
      </w:r>
      <w:r>
        <w:t xml:space="preserve"> </w:t>
      </w:r>
      <w:r>
        <w:t xml:space="preserve">from the grid analytics product (as distinct from sponsored sensor deployments) is not available at scale. This suggests utility data monetization is harder to close commercially than insurance monetization.</w:t>
      </w:r>
    </w:p>
    <w:p>
      <w:pPr>
        <w:pStyle w:val="BodyText"/>
      </w:pPr>
      <w:r>
        <w:rPr>
          <w:b/>
        </w:rPr>
        <w:t xml:space="preserve">Key difference from Gridshare:</w:t>
      </w:r>
      <w:r>
        <w:t xml:space="preserve"> </w:t>
      </w:r>
      <w:r>
        <w:t xml:space="preserve">Whisker Labs has ~1 million sensors vs. Gridshare’s 150,000—seven times more coverage, enabling the</w:t>
      </w:r>
      <w:r>
        <w:t xml:space="preserve"> </w:t>
      </w:r>
      <w:r>
        <w:t xml:space="preserve">“</w:t>
      </w:r>
      <w:r>
        <w:t xml:space="preserve">94% of homes within one mile</w:t>
      </w:r>
      <w:r>
        <w:t xml:space="preserve">”</w:t>
      </w:r>
      <w:r>
        <w:t xml:space="preserve"> </w:t>
      </w:r>
      <w:r>
        <w:t xml:space="preserve">statistic. Gridshare’s sparser, geographically clustered fleet would face coverage gaps that undermine its value for broad utility grid planning.</w:t>
      </w:r>
    </w:p>
    <w:p>
      <w:pPr>
        <w:pStyle w:val="Heading3"/>
      </w:pPr>
      <w:bookmarkStart w:id="40" w:name="X593019608eadbd7df6aaf2750707245fa090cca"/>
      <w:r>
        <w:t xml:space="preserve">3.3 Utilidata: The Validated Market—Utilities</w:t>
      </w:r>
      <w:r>
        <w:t xml:space="preserve"> </w:t>
      </w:r>
      <w:r>
        <w:rPr>
          <w:i/>
        </w:rPr>
        <w:t xml:space="preserve">Will</w:t>
      </w:r>
      <w:r>
        <w:t xml:space="preserve"> </w:t>
      </w:r>
      <w:r>
        <w:t xml:space="preserve">Pay for Real-Time Grid-Edge Intelligence</w:t>
      </w:r>
      <w:bookmarkEnd w:id="40"/>
    </w:p>
    <w:p>
      <w:pPr>
        <w:pStyle w:val="FirstParagraph"/>
      </w:pPr>
      <w:r>
        <w:t xml:space="preserve">Utilidata’s trajectory provides the strongest market validation for the hypothesis’s core premise.</w:t>
      </w:r>
    </w:p>
    <w:p>
      <w:pPr>
        <w:pStyle w:val="BodyText"/>
      </w:pPr>
      <w:r>
        <w:t xml:space="preserve">With</w:t>
      </w:r>
      <w:r>
        <w:t xml:space="preserve"> </w:t>
      </w:r>
      <w:r>
        <w:t xml:space="preserve">“</w:t>
      </w:r>
      <w:r>
        <w:t xml:space="preserve">$126.5 million in total venture capital,</w:t>
      </w:r>
      <w:r>
        <w:t xml:space="preserve">”</w:t>
      </w:r>
      <w:r>
        <w:t xml:space="preserve"> </w:t>
      </w:r>
      <w:r>
        <w:t xml:space="preserve">Utilidata has positioned itself as the leading pure-play grid-edge intelligence company.</w:t>
      </w:r>
      <w:r>
        <w:t xml:space="preserve"> </w:t>
      </w:r>
      <w:r>
        <w:t xml:space="preserve">Its funding came from NVIDIA, Quanta Services, and Renown Capital Partners—institutional validators of the market.</w:t>
      </w:r>
    </w:p>
    <w:p>
      <w:pPr>
        <w:pStyle w:val="BodyText"/>
      </w:pPr>
      <w:r>
        <w:t xml:space="preserve">Aclara</w:t>
      </w:r>
      <w:r>
        <w:t xml:space="preserve"> </w:t>
      </w:r>
      <w:r>
        <w:t xml:space="preserve">“</w:t>
      </w:r>
      <w:r>
        <w:t xml:space="preserve">will embed Karman into a smart meter to provide utilities with 100 times more processing power than traditional solutions.</w:t>
      </w:r>
      <w:r>
        <w:t xml:space="preserve">”</w:t>
      </w:r>
      <w:r>
        <w:t xml:space="preserve"> </w:t>
      </w:r>
      <w:r>
        <w:t xml:space="preserve">These meters</w:t>
      </w:r>
      <w:r>
        <w:t xml:space="preserve"> </w:t>
      </w:r>
      <w:r>
        <w:t xml:space="preserve">“</w:t>
      </w:r>
      <w:r>
        <w:t xml:space="preserve">will provide powerful local computation at the edge of the grid to understand and predict grid conditions and the impacts of DERs.</w:t>
      </w:r>
      <w:r>
        <w:t xml:space="preserve">”</w:t>
      </w:r>
      <w:r>
        <w:t xml:space="preserve"> </w:t>
      </w:r>
      <w:r>
        <w:t xml:space="preserve">Local AI models</w:t>
      </w:r>
      <w:r>
        <w:t xml:space="preserve"> </w:t>
      </w:r>
      <w:r>
        <w:t xml:space="preserve">“</w:t>
      </w:r>
      <w:r>
        <w:t xml:space="preserve">will continuously learn to improve grid planning, grid operations, load management, customer service.</w:t>
      </w:r>
      <w:r>
        <w:t xml:space="preserve">”</w:t>
      </w:r>
    </w:p>
    <w:p>
      <w:pPr>
        <w:pStyle w:val="BodyText"/>
      </w:pPr>
      <w:r>
        <w:t xml:space="preserve">The deployment pipeline is real:</w:t>
      </w:r>
      <w:r>
        <w:t xml:space="preserve"> </w:t>
      </w:r>
      <w:r>
        <w:t xml:space="preserve">In October 2023, the Department of Energy announced</w:t>
      </w:r>
      <w:r>
        <w:t xml:space="preserve"> </w:t>
      </w:r>
      <w:r>
        <w:t xml:space="preserve">“</w:t>
      </w:r>
      <w:r>
        <w:t xml:space="preserve">$3.5 billion in funding for grid modernization projects, including awards to Portland General Electric and Duquesne Light Company to deploy over 100,000 Karman units.</w:t>
      </w:r>
      <w:r>
        <w:t xml:space="preserve">”</w:t>
      </w:r>
    </w:p>
    <w:p>
      <w:pPr>
        <w:pStyle w:val="BodyText"/>
      </w:pPr>
      <w:r>
        <w:t xml:space="preserve">Utilidata’s cost-benefit framing is instructive: utility investments in grid-edge intelligence are</w:t>
      </w:r>
      <w:r>
        <w:t xml:space="preserve"> </w:t>
      </w:r>
      <w:r>
        <w:t xml:space="preserve">“</w:t>
      </w:r>
      <w:r>
        <w:t xml:space="preserve">still way cheaper than upgrading transformers because they don’t have enough capacity, or installing a separate device to communicate with DERs.</w:t>
      </w:r>
      <w:r>
        <w:t xml:space="preserve">”</w:t>
      </w:r>
      <w:r>
        <w:t xml:space="preserve"> </w:t>
      </w:r>
      <w:r>
        <w:t xml:space="preserve">And</w:t>
      </w:r>
      <w:r>
        <w:t xml:space="preserve"> </w:t>
      </w:r>
      <w:r>
        <w:t xml:space="preserve">“</w:t>
      </w:r>
      <w:r>
        <w:t xml:space="preserve">the absolute best investment you could make is data capture and software at the edge.</w:t>
      </w:r>
      <w:r>
        <w:t xml:space="preserve">”</w:t>
      </w:r>
      <w:r>
        <w:t xml:space="preserve"> </w:t>
      </w:r>
      <w:r>
        <w:t xml:space="preserve">Utilidata’s</w:t>
      </w:r>
      <w:r>
        <w:t xml:space="preserve"> </w:t>
      </w:r>
      <w:r>
        <w:t xml:space="preserve">“</w:t>
      </w:r>
      <w:r>
        <w:t xml:space="preserve">initial cost-benefit analysis estimates that</w:t>
      </w:r>
      <w:r>
        <w:t xml:space="preserve"> </w:t>
      </w:r>
      <w:r>
        <w:rPr>
          <w:b/>
        </w:rPr>
        <w:t xml:space="preserve">the value of the smart chip is more than ten times its cost.</w:t>
      </w:r>
      <w:r>
        <w:t xml:space="preserve">”</w:t>
      </w:r>
    </w:p>
    <w:p>
      <w:pPr>
        <w:pStyle w:val="BodyText"/>
      </w:pPr>
      <w:r>
        <w:rPr>
          <w:b/>
        </w:rPr>
        <w:t xml:space="preserve">Pricing signal:</w:t>
      </w:r>
      <w:r>
        <w:t xml:space="preserve"> </w:t>
      </w:r>
      <w:r>
        <w:t xml:space="preserve">Utilidata’s pricing is not publicly disclosed per endpoint, but the structure involves multi-million-dollar utility contracts funded partly through DOE GRIP grants.</w:t>
      </w:r>
      <w:r>
        <w:t xml:space="preserve"> </w:t>
      </w:r>
      <w:r>
        <w:t xml:space="preserve">Consumers Energy received</w:t>
      </w:r>
      <w:r>
        <w:t xml:space="preserve"> </w:t>
      </w:r>
      <w:r>
        <w:t xml:space="preserve">“</w:t>
      </w:r>
      <w:r>
        <w:t xml:space="preserve">$20 million in the second round of GRIP funding</w:t>
      </w:r>
      <w:r>
        <w:t xml:space="preserve">”</w:t>
      </w:r>
      <w:r>
        <w:t xml:space="preserve"> </w:t>
      </w:r>
      <w:r>
        <w:t xml:space="preserve">for an 18,000-unit deployment.</w:t>
      </w:r>
      <w:r>
        <w:t xml:space="preserve"> </w:t>
      </w:r>
      <w:r>
        <w:t xml:space="preserve">This implies a per-endpoint cost including hardware + software of roughly</w:t>
      </w:r>
      <w:r>
        <w:t xml:space="preserve"> </w:t>
      </w:r>
      <w:r>
        <w:rPr>
          <w:b/>
        </w:rPr>
        <w:t xml:space="preserve">$1,100/unit</w:t>
      </w:r>
      <w:r>
        <w:t xml:space="preserve">—well above the $100–300/sensor/year subscription model posited in the hypothesis, but for an</w:t>
      </w:r>
      <w:r>
        <w:t xml:space="preserve"> </w:t>
      </w:r>
      <w:r>
        <w:rPr>
          <w:i/>
        </w:rPr>
        <w:t xml:space="preserve">embedded, hardware-dependent</w:t>
      </w:r>
      <w:r>
        <w:t xml:space="preserve"> </w:t>
      </w:r>
      <w:r>
        <w:t xml:space="preserve">solution rather than a software subscription on already-deployed infrastructure.</w:t>
      </w:r>
    </w:p>
    <w:p>
      <w:pPr>
        <w:pStyle w:val="BodyText"/>
      </w:pPr>
      <w:r>
        <w:rPr>
          <w:b/>
        </w:rPr>
        <w:t xml:space="preserve">Critical structural difference:</w:t>
      </w:r>
      <w:r>
        <w:t xml:space="preserve"> </w:t>
      </w:r>
      <w:r>
        <w:t xml:space="preserve">Utilidata’s value proposition requires hardware embedding in new or replacement meters—a utility capital expenditure cycle measured in years. Gridshare data, flowing from already-deployed customer-owned batteries, requires</w:t>
      </w:r>
      <w:r>
        <w:t xml:space="preserve"> </w:t>
      </w:r>
      <w:r>
        <w:rPr>
          <w:b/>
        </w:rPr>
        <w:t xml:space="preserve">zero new utility capital</w:t>
      </w:r>
      <w:r>
        <w:t xml:space="preserve">. This is both the strongest argument for the hypothesis and its central challenge: utilities expect to own the sensors in their infrastructure plans.</w:t>
      </w:r>
    </w:p>
    <w:p>
      <w:pPr>
        <w:pStyle w:val="Heading3"/>
      </w:pPr>
      <w:bookmarkStart w:id="41" w:name="Xd9c79dc5c22ef12ec41a7c62583ce63c3fc3902"/>
      <w:r>
        <w:t xml:space="preserve">3.4 Bidgely: AMI Analytics—What Utilities Pay for Data-Derived Grid Intelligence</w:t>
      </w:r>
      <w:bookmarkEnd w:id="41"/>
    </w:p>
    <w:p>
      <w:pPr>
        <w:pStyle w:val="FirstParagraph"/>
      </w:pPr>
      <w:r>
        <w:t xml:space="preserve">Bidgely provides the most direct commercial comparator for what utilities will actually buy in the analytics layer.</w:t>
      </w:r>
    </w:p>
    <w:p>
      <w:pPr>
        <w:pStyle w:val="BodyText"/>
      </w:pPr>
      <w:r>
        <w:t xml:space="preserve">Built on</w:t>
      </w:r>
      <w:r>
        <w:t xml:space="preserve"> </w:t>
      </w:r>
      <w:r>
        <w:t xml:space="preserve">“</w:t>
      </w:r>
      <w:r>
        <w:t xml:space="preserve">a decade of experience analyzing over a terabyte of AMI data every day,</w:t>
      </w:r>
      <w:r>
        <w:t xml:space="preserve">”</w:t>
      </w:r>
      <w:r>
        <w:t xml:space="preserve"> </w:t>
      </w:r>
      <w:r>
        <w:t xml:space="preserve">Bidgely’s UtilityAI Pro</w:t>
      </w:r>
      <w:r>
        <w:t xml:space="preserve"> </w:t>
      </w:r>
      <w:r>
        <w:t xml:space="preserve">“</w:t>
      </w:r>
      <w:r>
        <w:t xml:space="preserve">operates securely in AWS, OCI, Snowflake, Databricks, Azure, or your own environment—to transform utility data into high-resolution appliance, customer, and grid intelligence.</w:t>
      </w:r>
      <w:r>
        <w:t xml:space="preserve">”</w:t>
      </w:r>
    </w:p>
    <w:p>
      <w:pPr>
        <w:pStyle w:val="BodyText"/>
      </w:pPr>
      <w:r>
        <w:t xml:space="preserve">Bidgely has</w:t>
      </w:r>
      <w:r>
        <w:t xml:space="preserve"> </w:t>
      </w:r>
      <w:r>
        <w:t xml:space="preserve">“</w:t>
      </w:r>
      <w:r>
        <w:t xml:space="preserve">helped its global customer base of</w:t>
      </w:r>
      <w:r>
        <w:t xml:space="preserve"> </w:t>
      </w:r>
      <w:r>
        <w:rPr>
          <w:b/>
        </w:rPr>
        <w:t xml:space="preserve">over 40 utilities</w:t>
      </w:r>
      <w:r>
        <w:t xml:space="preserve"> </w:t>
      </w:r>
      <w:r>
        <w:t xml:space="preserve">achieve more than 1.5 TWh of energy savings.</w:t>
      </w:r>
      <w:r>
        <w:t xml:space="preserve">”</w:t>
      </w:r>
    </w:p>
    <w:p>
      <w:pPr>
        <w:pStyle w:val="BodyText"/>
      </w:pPr>
      <w:r>
        <w:t xml:space="preserve">Bidgely’s</w:t>
      </w:r>
      <w:r>
        <w:t xml:space="preserve"> </w:t>
      </w:r>
      <w:r>
        <w:t xml:space="preserve">“</w:t>
      </w:r>
      <w:r>
        <w:t xml:space="preserve">Analytics Workbench has become a critical tool for utilities like NV Energy and Hydro One, allowing them to more accurately identify EV owners, analyze peak load users and design targeted DSM programs.</w:t>
      </w:r>
      <w:r>
        <w:t xml:space="preserve">”</w:t>
      </w:r>
      <w:r>
        <w:t xml:space="preserve"> </w:t>
      </w:r>
      <w:r>
        <w:t xml:space="preserve">Importantly, the company’s</w:t>
      </w:r>
      <w:r>
        <w:t xml:space="preserve"> </w:t>
      </w:r>
      <w:r>
        <w:t xml:space="preserve">“</w:t>
      </w:r>
      <w:r>
        <w:t xml:space="preserve">grid planning solutions are being utilized by utilities like Avista and major investor-owned utilities to</w:t>
      </w:r>
      <w:r>
        <w:t xml:space="preserve"> </w:t>
      </w:r>
      <w:r>
        <w:rPr>
          <w:b/>
        </w:rPr>
        <w:t xml:space="preserve">pinpoint assets under stress and prioritize infrastructure upgrades</w:t>
      </w:r>
      <w:r>
        <w:t xml:space="preserve"> </w:t>
      </w:r>
      <w:r>
        <w:t xml:space="preserve">based on real-world DER adoption curves.</w:t>
      </w:r>
      <w:r>
        <w:t xml:space="preserve">”</w:t>
      </w:r>
    </w:p>
    <w:p>
      <w:pPr>
        <w:pStyle w:val="BodyText"/>
      </w:pPr>
      <w:r>
        <w:rPr>
          <w:b/>
        </w:rPr>
        <w:t xml:space="preserve">The Bidgely model’s key lesson:</w:t>
      </w:r>
      <w:r>
        <w:t xml:space="preserve"> </w:t>
      </w:r>
      <w:r>
        <w:t xml:space="preserve">Bidgely extracts grid intelligence from AMI data that utilities</w:t>
      </w:r>
      <w:r>
        <w:t xml:space="preserve"> </w:t>
      </w:r>
      <w:r>
        <w:rPr>
          <w:i/>
        </w:rPr>
        <w:t xml:space="preserve">already own</w:t>
      </w:r>
      <w:r>
        <w:t xml:space="preserve"> </w:t>
      </w:r>
      <w:r>
        <w:t xml:space="preserve">and are underutilizing. The monetizable product is not the raw data but the</w:t>
      </w:r>
      <w:r>
        <w:t xml:space="preserve"> </w:t>
      </w:r>
      <w:r>
        <w:rPr>
          <w:b/>
        </w:rPr>
        <w:t xml:space="preserve">derived insights</w:t>
      </w:r>
      <w:r>
        <w:t xml:space="preserve">—appliance disaggregation, EV detection, transformer loading estimates, hosting capacity inputs. Gridshare would need to develop the same analytical layer on top of its raw sensor data to compete with Bidgely’s decade of model training on 38 million meters.</w:t>
      </w:r>
    </w:p>
    <w:p>
      <w:pPr>
        <w:pStyle w:val="BodyText"/>
      </w:pPr>
      <w:r>
        <w:t xml:space="preserve">UtilityAI Pro’s models were</w:t>
      </w:r>
      <w:r>
        <w:t xml:space="preserve"> </w:t>
      </w:r>
      <w:r>
        <w:t xml:space="preserve">“</w:t>
      </w:r>
      <w:r>
        <w:t xml:space="preserve">trained on insights from</w:t>
      </w:r>
      <w:r>
        <w:t xml:space="preserve"> </w:t>
      </w:r>
      <w:r>
        <w:rPr>
          <w:b/>
        </w:rPr>
        <w:t xml:space="preserve">38 million meters worldwide</w:t>
      </w:r>
      <w:r>
        <w:t xml:space="preserve">”</w:t>
      </w:r>
      <w:r>
        <w:t xml:space="preserve">—approximately 250 times Gridshare’s current fleet—giving it a training dataset advantage that would take years to close.</w:t>
      </w:r>
    </w:p>
    <w:p>
      <w:r>
        <w:pict>
          <v:rect style="width:0;height:1.5pt" o:hralign="center" o:hrstd="t" o:hr="t"/>
        </w:pict>
      </w:r>
    </w:p>
    <w:p>
      <w:pPr>
        <w:pStyle w:val="Heading2"/>
      </w:pPr>
      <w:bookmarkStart w:id="42" w:name="feasibility-assessment"/>
      <w:r>
        <w:t xml:space="preserve">4. FEASIBILITY ASSESSMENT</w:t>
      </w:r>
      <w:bookmarkEnd w:id="42"/>
    </w:p>
    <w:p>
      <w:pPr>
        <w:pStyle w:val="Heading3"/>
      </w:pPr>
      <w:bookmarkStart w:id="43" w:name="X53e7087affcdfc82fc3334d4ce0572eae5838cf"/>
      <w:r>
        <w:t xml:space="preserve">4.1 Technical Feasibility: Medium-High (with Important Caveats)</w:t>
      </w:r>
      <w:bookmarkEnd w:id="43"/>
    </w:p>
    <w:p>
      <w:pPr>
        <w:pStyle w:val="FirstParagraph"/>
      </w:pPr>
      <w:r>
        <w:rPr>
          <w:b/>
        </w:rPr>
        <w:t xml:space="preserve">What Gridshare demonstrably has:</w:t>
      </w:r>
      <w:r>
        <w:t xml:space="preserve"> </w:t>
      </w:r>
      <w:r>
        <w:t xml:space="preserve">- Cloud-scale data ingestion infrastructure (AWS-based, processing 178 TB/year)</w:t>
      </w:r>
      <w:r>
        <w:t xml:space="preserve"> </w:t>
      </w:r>
      <w:r>
        <w:t xml:space="preserve">- Per-device real-time data streams for energy flow variables</w:t>
      </w:r>
      <w:r>
        <w:t xml:space="preserve"> </w:t>
      </w:r>
      <w:r>
        <w:t xml:space="preserve">- Machine learning models for household consumption and solar generation forecasting</w:t>
      </w:r>
      <w:r>
        <w:t xml:space="preserve"> </w:t>
      </w:r>
      <w:r>
        <w:t xml:space="preserve">-</w:t>
      </w:r>
      <w:r>
        <w:t xml:space="preserve"> </w:t>
      </w:r>
      <w:r>
        <w:t xml:space="preserve">Architecture that is</w:t>
      </w:r>
      <w:r>
        <w:t xml:space="preserve"> </w:t>
      </w:r>
      <w:r>
        <w:t xml:space="preserve">“</w:t>
      </w:r>
      <w:r>
        <w:t xml:space="preserve">easily scalable and can support many different use cases because of its architecture and data modeling capabilities</w:t>
      </w:r>
      <w:r>
        <w:t xml:space="preserve">”</w:t>
      </w:r>
    </w:p>
    <w:p>
      <w:pPr>
        <w:pStyle w:val="BodyText"/>
      </w:pPr>
      <w:r>
        <w:rPr>
          <w:b/>
        </w:rPr>
        <w:t xml:space="preserve">What Gridshare would need to add for a utility observability product:</w:t>
      </w:r>
      <w:r>
        <w:t xml:space="preserve"> </w:t>
      </w:r>
      <w:r>
        <w:t xml:space="preserve">1. Confirmation that Lunar inverters actually log grid voltage and frequency at high temporal resolution (not merely use it internally for control loop calculations)</w:t>
      </w:r>
      <w:r>
        <w:t xml:space="preserve"> </w:t>
      </w:r>
      <w:r>
        <w:t xml:space="preserve">2. Geospatial mapping of devices to utility feeder circuits—currently not disclosed as a Gridshare capability</w:t>
      </w:r>
      <w:r>
        <w:t xml:space="preserve"> </w:t>
      </w:r>
      <w:r>
        <w:t xml:space="preserve">3. Distribution system state estimation models—a specialized engineering discipline requiring SCADA data integration</w:t>
      </w:r>
      <w:r>
        <w:t xml:space="preserve"> </w:t>
      </w:r>
      <w:r>
        <w:t xml:space="preserve">4. Data normalization frameworks to handle the heterogeneous device fleet (batteries from multiple manufacturers with different sensor specifications)</w:t>
      </w:r>
      <w:r>
        <w:t xml:space="preserve"> </w:t>
      </w:r>
      <w:r>
        <w:t xml:space="preserve">5. Utility-grade data governance, cybersecurity attestation, and audit logging</w:t>
      </w:r>
    </w:p>
    <w:p>
      <w:pPr>
        <w:pStyle w:val="BodyText"/>
      </w:pPr>
      <w:r>
        <w:t xml:space="preserve">For Utilidata’s comparable product,</w:t>
      </w:r>
      <w:r>
        <w:t xml:space="preserve"> </w:t>
      </w:r>
      <w:r>
        <w:t xml:space="preserve">“</w:t>
      </w:r>
      <w:r>
        <w:t xml:space="preserve">deploying the smart grid distributed AI platform at scale represents a</w:t>
      </w:r>
      <w:r>
        <w:t xml:space="preserve"> </w:t>
      </w:r>
      <w:r>
        <w:rPr>
          <w:b/>
        </w:rPr>
        <w:t xml:space="preserve">multi-million dollar investment</w:t>
      </w:r>
      <w:r>
        <w:t xml:space="preserve">. Precisely how many millions, the company said, will depend on how many customers a utility has.</w:t>
      </w:r>
      <w:r>
        <w:t xml:space="preserve">”</w:t>
      </w:r>
    </w:p>
    <w:p>
      <w:pPr>
        <w:pStyle w:val="BodyText"/>
      </w:pPr>
      <w:r>
        <w:t xml:space="preserve">The data science talent requirement is significant.</w:t>
      </w:r>
      <w:r>
        <w:t xml:space="preserve"> </w:t>
      </w:r>
      <w:r>
        <w:t xml:space="preserve">Bidgely has</w:t>
      </w:r>
      <w:r>
        <w:t xml:space="preserve"> </w:t>
      </w:r>
      <w:r>
        <w:t xml:space="preserve">“</w:t>
      </w:r>
      <w:r>
        <w:t xml:space="preserve">30 data scientists and analysts working for 12 years spending over $50M and 17 patents</w:t>
      </w:r>
      <w:r>
        <w:t xml:space="preserve">”</w:t>
      </w:r>
      <w:r>
        <w:t xml:space="preserve"> </w:t>
      </w:r>
      <w:r>
        <w:t xml:space="preserve">to build comparable grid analytics models. Gridshare would need a significant acquisition or partnership—candidates include Bidgely itself, Camus Energy (grid orchestration), or an academic partnership with NREL or EPRI.</w:t>
      </w:r>
    </w:p>
    <w:p>
      <w:pPr>
        <w:pStyle w:val="Heading3"/>
      </w:pPr>
      <w:bookmarkStart w:id="44" w:name="Xdac6f6aaf2a0fb94d492805d73a4215579f61c1"/>
      <w:r>
        <w:t xml:space="preserve">4.2 Commercial Feasibility: Medium (with a Critical Structural Problem)</w:t>
      </w:r>
      <w:bookmarkEnd w:id="44"/>
    </w:p>
    <w:p>
      <w:pPr>
        <w:pStyle w:val="FirstParagraph"/>
      </w:pPr>
      <w:r>
        <w:t xml:space="preserve">The fundamental commercial challenge is that Gridshare’s natural customers—Sunrun, ITOCHU, CCAs, and utilities running VPP programs—are</w:t>
      </w:r>
      <w:r>
        <w:t xml:space="preserve"> </w:t>
      </w:r>
      <w:r>
        <w:rPr>
          <w:i/>
        </w:rPr>
        <w:t xml:space="preserve">not</w:t>
      </w:r>
      <w:r>
        <w:t xml:space="preserve"> </w:t>
      </w:r>
      <w:r>
        <w:t xml:space="preserve">the same organizational units as the distribution planning and grid modernization teams that would buy a grid observability product. This requires opening entirely new sales motions, procurement processes, and regulatory conversations.</w:t>
      </w:r>
    </w:p>
    <w:p>
      <w:pPr>
        <w:pStyle w:val="BodyText"/>
      </w:pPr>
      <w:r>
        <w:t xml:space="preserve">Utilities</w:t>
      </w:r>
      <w:r>
        <w:t xml:space="preserve"> </w:t>
      </w:r>
      <w:r>
        <w:t xml:space="preserve">“</w:t>
      </w:r>
      <w:r>
        <w:t xml:space="preserve">tend to be reticent about betting on new products and entrants</w:t>
      </w:r>
      <w:r>
        <w:t xml:space="preserve">”</w:t>
      </w:r>
      <w:r>
        <w:t xml:space="preserve"> </w:t>
      </w:r>
      <w:r>
        <w:t xml:space="preserve">—and Gridshare, despite its impressive operational track record in VPP dispatch, has not yet established itself as a grid sensing data provider.</w:t>
      </w:r>
    </w:p>
    <w:p>
      <w:pPr>
        <w:pStyle w:val="BodyText"/>
      </w:pPr>
      <w:r>
        <w:t xml:space="preserve">The consent architecture required for a utility-facing data product is also non-trivial.</w:t>
      </w:r>
      <w:r>
        <w:t xml:space="preserve"> </w:t>
      </w:r>
      <w:r>
        <w:t xml:space="preserve">Regulations may require utilities to provide</w:t>
      </w:r>
      <w:r>
        <w:t xml:space="preserve"> </w:t>
      </w:r>
      <w:r>
        <w:t xml:space="preserve">“</w:t>
      </w:r>
      <w:r>
        <w:t xml:space="preserve">third parties with access, upon the</w:t>
      </w:r>
      <w:r>
        <w:t xml:space="preserve"> </w:t>
      </w:r>
      <w:r>
        <w:rPr>
          <w:b/>
        </w:rPr>
        <w:t xml:space="preserve">customer’s consent</w:t>
      </w:r>
      <w:r>
        <w:t xml:space="preserve">, to that customer’s real-time or near real-time usage information.</w:t>
      </w:r>
      <w:r>
        <w:t xml:space="preserve">”</w:t>
      </w:r>
      <w:r>
        <w:t xml:space="preserve"> </w:t>
      </w:r>
      <w:r>
        <w:t xml:space="preserve">Lunar would need to either obtain explicit consent from its device owners for sharing their grid measurement data with utilities (a consent flow that may reduce opt-in rates) or structure the product using only anonymized, aggregated grid-state data (voltage profiles by feeder segment, not by individual home) that falls outside personal data definitions.</w:t>
      </w:r>
    </w:p>
    <w:p>
      <w:pPr>
        <w:pStyle w:val="Heading3"/>
      </w:pPr>
      <w:bookmarkStart w:id="45" w:name="X5c7dca91967f48e49eab8b5c8db1863e3f82451"/>
      <w:r>
        <w:t xml:space="preserve">4.3 Organizational Feasibility: Low-Medium (Near-Term)</w:t>
      </w:r>
      <w:bookmarkEnd w:id="45"/>
    </w:p>
    <w:p>
      <w:pPr>
        <w:pStyle w:val="FirstParagraph"/>
      </w:pPr>
      <w:r>
        <w:t xml:space="preserve">Lunar is primarily focused on scaling its VPP SaaS business and its hardware deployment.</w:t>
      </w:r>
      <w:r>
        <w:t xml:space="preserve"> </w:t>
      </w:r>
      <w:r>
        <w:t xml:space="preserve">The company aims</w:t>
      </w:r>
      <w:r>
        <w:t xml:space="preserve"> </w:t>
      </w:r>
      <w:r>
        <w:t xml:space="preserve">“</w:t>
      </w:r>
      <w:r>
        <w:t xml:space="preserve">to scale its battery fleet, growing from about 2,000 deployed systems today to about 10,000 by year’s end, and</w:t>
      </w:r>
      <w:r>
        <w:t xml:space="preserve"> </w:t>
      </w:r>
      <w:r>
        <w:t xml:space="preserve">‘</w:t>
      </w:r>
      <w:r>
        <w:t xml:space="preserve">at least doubling</w:t>
      </w:r>
      <w:r>
        <w:t xml:space="preserve">’</w:t>
      </w:r>
      <w:r>
        <w:t xml:space="preserve"> </w:t>
      </w:r>
      <w:r>
        <w:t xml:space="preserve">every year after that.</w:t>
      </w:r>
      <w:r>
        <w:t xml:space="preserve">”</w:t>
      </w:r>
      <w:r>
        <w:t xml:space="preserve"> </w:t>
      </w:r>
      <w:r>
        <w:t xml:space="preserve">Building a parallel utility grid analytics business requires different talent, different sales motions, and different regulatory expertise. The more immediate path is partnership rather than organic build.</w:t>
      </w:r>
    </w:p>
    <w:p>
      <w:pPr>
        <w:pStyle w:val="Heading3"/>
      </w:pPr>
      <w:bookmarkStart w:id="46" w:name="japan-specific-feasibility-high"/>
      <w:r>
        <w:t xml:space="preserve">4.4 Japan-Specific Feasibility: High</w:t>
      </w:r>
      <w:bookmarkEnd w:id="46"/>
    </w:p>
    <w:p>
      <w:pPr>
        <w:pStyle w:val="FirstParagraph"/>
      </w:pPr>
      <w:r>
        <w:t xml:space="preserve">The Japan deployment deserves special analysis.</w:t>
      </w:r>
      <w:r>
        <w:t xml:space="preserve"> </w:t>
      </w:r>
      <w:r>
        <w:t xml:space="preserve">With</w:t>
      </w:r>
      <w:r>
        <w:t xml:space="preserve"> </w:t>
      </w:r>
      <w:r>
        <w:t xml:space="preserve">“</w:t>
      </w:r>
      <w:r>
        <w:t xml:space="preserve">37,000 residential batteries installed by ITOCHU</w:t>
      </w:r>
      <w:r>
        <w:t xml:space="preserve">”</w:t>
      </w:r>
      <w:r>
        <w:t xml:space="preserve"> </w:t>
      </w:r>
      <w:r>
        <w:t xml:space="preserve">and existing relationships with</w:t>
      </w:r>
      <w:r>
        <w:t xml:space="preserve"> </w:t>
      </w:r>
      <w:r>
        <w:t xml:space="preserve">“</w:t>
      </w:r>
      <w:r>
        <w:t xml:space="preserve">four of the five largest Japanese power companies,</w:t>
      </w:r>
      <w:r>
        <w:t xml:space="preserve">”</w:t>
      </w:r>
      <w:r>
        <w:t xml:space="preserve"> </w:t>
      </w:r>
      <w:r>
        <w:t xml:space="preserve">the Gridshare Japan fleet already has the utility relationships and regulatory context that would make a grid observability subscription product</w:t>
      </w:r>
      <w:r>
        <w:t xml:space="preserve"> </w:t>
      </w:r>
      <w:r>
        <w:rPr>
          <w:i/>
        </w:rPr>
        <w:t xml:space="preserve">most feasible</w:t>
      </w:r>
      <w:r>
        <w:t xml:space="preserve">.</w:t>
      </w:r>
      <w:r>
        <w:t xml:space="preserve"> </w:t>
      </w:r>
      <w:r>
        <w:t xml:space="preserve">Japan’s OCCTO (Organization for Cross-regional Coordination of Transmission Operators) has specific data requirements for distribution grid visibility, and the METI grid modernization mandate creates a regulatory pull for exactly the kind of real-time low-voltage grid sensing Gridshare could provide. The Japan case is the clearest near-term opportunity for piloting the hypothesis.</w:t>
      </w:r>
    </w:p>
    <w:p>
      <w:r>
        <w:pict>
          <v:rect style="width:0;height:1.5pt" o:hralign="center" o:hrstd="t" o:hr="t"/>
        </w:pict>
      </w:r>
    </w:p>
    <w:p>
      <w:pPr>
        <w:pStyle w:val="Heading2"/>
      </w:pPr>
      <w:bookmarkStart w:id="47" w:name="magnitude-estimate"/>
      <w:r>
        <w:t xml:space="preserve">5. MAGNITUDE ESTIMATE</w:t>
      </w:r>
      <w:bookmarkEnd w:id="47"/>
    </w:p>
    <w:p>
      <w:pPr>
        <w:pStyle w:val="Heading3"/>
      </w:pPr>
      <w:bookmarkStart w:id="48" w:name="X4a448f2c68530eda2aac3bc57f1de4a74be5fb0"/>
      <w:r>
        <w:t xml:space="preserve">5.1 Revenue Potential at Current Fleet Scale (150,000 devices)</w:t>
      </w:r>
      <w:bookmarkEnd w:id="48"/>
    </w:p>
    <w:p>
      <w:pPr>
        <w:pStyle w:val="FirstParagraph"/>
      </w:pPr>
      <w:r>
        <w:t xml:space="preserve">The $100–300/sensor/year pricing assumption in the hypothesis requires examination. Comparable market data:</w:t>
      </w:r>
    </w:p>
    <w:p>
      <w:pPr>
        <w:numPr>
          <w:ilvl w:val="0"/>
          <w:numId w:val="1001"/>
        </w:numPr>
        <w:pStyle w:val="Compact"/>
      </w:pPr>
      <w:r>
        <w:rPr>
          <w:b/>
        </w:rPr>
        <w:t xml:space="preserve">Utilidata</w:t>
      </w:r>
      <w:r>
        <w:t xml:space="preserve">: Multi-million dollar utility contracts, partly DOE-funded; approximate per-endpoint cost ~$500–1,100/unit (hardware + software), one-time + annual software fee unknown but likely $50–200/unit/year</w:t>
      </w:r>
    </w:p>
    <w:p>
      <w:pPr>
        <w:numPr>
          <w:ilvl w:val="0"/>
          <w:numId w:val="1001"/>
        </w:numPr>
        <w:pStyle w:val="Compact"/>
      </w:pPr>
      <w:r>
        <w:rPr>
          <w:b/>
        </w:rPr>
        <w:t xml:space="preserve">Whisker Labs</w:t>
      </w:r>
      <w:r>
        <w:t xml:space="preserve">: Insurance-funded model (insurers pay for sensor deployment); utility revenue not publicly quantified</w:t>
      </w:r>
    </w:p>
    <w:p>
      <w:pPr>
        <w:numPr>
          <w:ilvl w:val="0"/>
          <w:numId w:val="1001"/>
        </w:numPr>
        <w:pStyle w:val="Compact"/>
      </w:pPr>
      <w:r>
        <w:rPr>
          <w:b/>
        </w:rPr>
        <w:t xml:space="preserve">Bidgely</w:t>
      </w:r>
      <w:r>
        <w:t xml:space="preserve">: SaaS subscription pricing not disclosed; $75M+ in funding serving 40+ utilities suggests average contract values of ~$1–5M/utility/year for analytics platform (implied)</w:t>
      </w:r>
    </w:p>
    <w:p>
      <w:pPr>
        <w:numPr>
          <w:ilvl w:val="0"/>
          <w:numId w:val="1001"/>
        </w:numPr>
        <w:pStyle w:val="Compact"/>
      </w:pPr>
      <w:r>
        <w:rPr>
          <w:b/>
        </w:rPr>
        <w:t xml:space="preserve">Sense (AMI-embedded)</w:t>
      </w:r>
      <w:r>
        <w:t xml:space="preserve">: Per-utility software licenses; pricing not disclosed</w:t>
      </w:r>
    </w:p>
    <w:p>
      <w:pPr>
        <w:pStyle w:val="FirstParagraph"/>
      </w:pPr>
      <w:r>
        <w:t xml:space="preserve">A realistic utility-facing data subscription for Gridshare observability data—given the limitations in fleet coverage density and the need to package it into specific grid planning use cases—would likely start at</w:t>
      </w:r>
      <w:r>
        <w:t xml:space="preserve"> </w:t>
      </w:r>
      <w:r>
        <w:rPr>
          <w:b/>
        </w:rPr>
        <w:t xml:space="preserve">$50–100/sensor/year</w:t>
      </w:r>
      <w:r>
        <w:t xml:space="preserve"> </w:t>
      </w:r>
      <w:r>
        <w:t xml:space="preserve">rather than the $100–300 range, for a simple grid-state reporting subscription. More sophisticated products (hosting capacity analysis, transformer loading forecasts, feeder topology discovery) could command $150–250/sensor/year.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Fleet Size</w:t>
            </w:r>
          </w:p>
        </w:tc>
        <w:tc>
          <w:tcPr>
            <w:tcBorders>
              <w:bottom w:val="single"/>
            </w:tcBorders>
            <w:vAlign w:val="bottom"/>
          </w:tcPr>
          <w:p>
            <w:pPr>
              <w:pStyle w:val="Compact"/>
              <w:jc w:val="left"/>
            </w:pPr>
            <w:r>
              <w:t xml:space="preserve">Conservative ($50/sensor/year)</w:t>
            </w:r>
          </w:p>
        </w:tc>
        <w:tc>
          <w:tcPr>
            <w:tcBorders>
              <w:bottom w:val="single"/>
            </w:tcBorders>
            <w:vAlign w:val="bottom"/>
          </w:tcPr>
          <w:p>
            <w:pPr>
              <w:pStyle w:val="Compact"/>
              <w:jc w:val="left"/>
            </w:pPr>
            <w:r>
              <w:t xml:space="preserve">Base Case ($100/sensor/year)</w:t>
            </w:r>
          </w:p>
        </w:tc>
        <w:tc>
          <w:tcPr>
            <w:tcBorders>
              <w:bottom w:val="single"/>
            </w:tcBorders>
            <w:vAlign w:val="bottom"/>
          </w:tcPr>
          <w:p>
            <w:pPr>
              <w:pStyle w:val="Compact"/>
              <w:jc w:val="left"/>
            </w:pPr>
            <w:r>
              <w:t xml:space="preserve">Optimistic ($200/sensor/year)</w:t>
            </w:r>
          </w:p>
        </w:tc>
      </w:tr>
      <w:tr>
        <w:tc>
          <w:p>
            <w:pPr>
              <w:pStyle w:val="Compact"/>
              <w:jc w:val="left"/>
            </w:pPr>
            <w:r>
              <w:t xml:space="preserve">150,000 (current)</w:t>
            </w:r>
          </w:p>
        </w:tc>
        <w:tc>
          <w:p>
            <w:pPr>
              <w:pStyle w:val="Compact"/>
              <w:jc w:val="left"/>
            </w:pPr>
            <w:r>
              <w:t xml:space="preserve">$7.5M/year</w:t>
            </w:r>
          </w:p>
        </w:tc>
        <w:tc>
          <w:p>
            <w:pPr>
              <w:pStyle w:val="Compact"/>
              <w:jc w:val="left"/>
            </w:pPr>
            <w:r>
              <w:t xml:space="preserve">$15M/year</w:t>
            </w:r>
          </w:p>
        </w:tc>
        <w:tc>
          <w:p>
            <w:pPr>
              <w:pStyle w:val="Compact"/>
              <w:jc w:val="left"/>
            </w:pPr>
            <w:r>
              <w:t xml:space="preserve">$30M/year</w:t>
            </w:r>
          </w:p>
        </w:tc>
      </w:tr>
      <w:tr>
        <w:tc>
          <w:p>
            <w:pPr>
              <w:pStyle w:val="Compact"/>
              <w:jc w:val="left"/>
            </w:pPr>
            <w:r>
              <w:t xml:space="preserve">500,000</w:t>
            </w:r>
          </w:p>
        </w:tc>
        <w:tc>
          <w:p>
            <w:pPr>
              <w:pStyle w:val="Compact"/>
              <w:jc w:val="left"/>
            </w:pPr>
            <w:r>
              <w:t xml:space="preserve">$25M/year</w:t>
            </w:r>
          </w:p>
        </w:tc>
        <w:tc>
          <w:p>
            <w:pPr>
              <w:pStyle w:val="Compact"/>
              <w:jc w:val="left"/>
            </w:pPr>
            <w:r>
              <w:t xml:space="preserve">$50M/year</w:t>
            </w:r>
          </w:p>
        </w:tc>
        <w:tc>
          <w:p>
            <w:pPr>
              <w:pStyle w:val="Compact"/>
              <w:jc w:val="left"/>
            </w:pPr>
            <w:r>
              <w:t xml:space="preserve">$100M/year</w:t>
            </w:r>
          </w:p>
        </w:tc>
      </w:tr>
      <w:tr>
        <w:tc>
          <w:p>
            <w:pPr>
              <w:pStyle w:val="Compact"/>
              <w:jc w:val="left"/>
            </w:pPr>
            <w:r>
              <w:t xml:space="preserve">1,000,000</w:t>
            </w:r>
          </w:p>
        </w:tc>
        <w:tc>
          <w:p>
            <w:pPr>
              <w:pStyle w:val="Compact"/>
              <w:jc w:val="left"/>
            </w:pPr>
            <w:r>
              <w:t xml:space="preserve">$50M/year</w:t>
            </w:r>
          </w:p>
        </w:tc>
        <w:tc>
          <w:p>
            <w:pPr>
              <w:pStyle w:val="Compact"/>
              <w:jc w:val="left"/>
            </w:pPr>
            <w:r>
              <w:t xml:space="preserve">$100M/year</w:t>
            </w:r>
          </w:p>
        </w:tc>
        <w:tc>
          <w:p>
            <w:pPr>
              <w:pStyle w:val="Compact"/>
              <w:jc w:val="left"/>
            </w:pPr>
            <w:r>
              <w:t xml:space="preserve">$200M/year</w:t>
            </w:r>
          </w:p>
        </w:tc>
      </w:tr>
    </w:tbl>
    <w:p>
      <w:pPr>
        <w:pStyle w:val="BodyText"/>
      </w:pPr>
      <w:r>
        <w:t xml:space="preserve">However, these numbers assume</w:t>
      </w:r>
      <w:r>
        <w:t xml:space="preserve"> </w:t>
      </w:r>
      <w:r>
        <w:rPr>
          <w:i/>
        </w:rPr>
        <w:t xml:space="preserve">all devices</w:t>
      </w:r>
      <w:r>
        <w:t xml:space="preserve"> </w:t>
      </w:r>
      <w:r>
        <w:t xml:space="preserve">are monetizable to utilities—an assumption that requires geographic concentration sufficient to cover specific utility service territories with meaningful sensor density. With 150,000 devices spread across Japan, the UK, and the US, the addressable fleet for any specific utility is likely 5,000–20,000 devices. At $100/device, that’s $500K–$2M per utility relationship—a viable but modest SaaS contract.</w:t>
      </w:r>
    </w:p>
    <w:p>
      <w:pPr>
        <w:pStyle w:val="Heading3"/>
      </w:pPr>
      <w:bookmarkStart w:id="49" w:name="comparative-revenue-context"/>
      <w:r>
        <w:t xml:space="preserve">5.2 Comparative Revenue Context</w:t>
      </w:r>
      <w:bookmarkEnd w:id="49"/>
    </w:p>
    <w:p>
      <w:pPr>
        <w:pStyle w:val="FirstParagraph"/>
      </w:pPr>
      <w:r>
        <w:t xml:space="preserve">For perspective:</w:t>
      </w:r>
      <w:r>
        <w:t xml:space="preserve"> </w:t>
      </w:r>
      <w:r>
        <w:t xml:space="preserve">The Sunrun/PG&amp;E Peak Power Rewards VPP program</w:t>
      </w:r>
      <w:r>
        <w:t xml:space="preserve"> </w:t>
      </w:r>
      <w:r>
        <w:t xml:space="preserve">“</w:t>
      </w:r>
      <w:r>
        <w:t xml:space="preserve">supplied the grid with a consistent daily average of 27 megawatts over two hours for 90 consecutive days.</w:t>
      </w:r>
      <w:r>
        <w:t xml:space="preserve">”</w:t>
      </w:r>
      <w:r>
        <w:t xml:space="preserve"> </w:t>
      </w:r>
      <w:r>
        <w:t xml:space="preserve">VPP revenues in California programs pay roughly $10–50/kW-year for capacity—implying this 27 MW program was worth ~$270K–$1.35M/year in direct VPP revenue to Sunrun. Grid observability data, if valued at $100/sensor, would generate</w:t>
      </w:r>
      <w:r>
        <w:t xml:space="preserve"> </w:t>
      </w:r>
      <w:r>
        <w:rPr>
          <w:b/>
        </w:rPr>
        <w:t xml:space="preserve">more revenue per device</w:t>
      </w:r>
      <w:r>
        <w:t xml:space="preserve"> </w:t>
      </w:r>
      <w:r>
        <w:t xml:space="preserve">than the VPP dispatch revenue per device, validating the core financial proposition of the hypothesis.</w:t>
      </w:r>
    </w:p>
    <w:p>
      <w:pPr>
        <w:pStyle w:val="Heading3"/>
      </w:pPr>
      <w:bookmarkStart w:id="50" w:name="Xa77569bdb6bdbe191113ed528816573351f00ab"/>
      <w:r>
        <w:t xml:space="preserve">5.3 The Correct Framing: Not Revenue, But Defensibility and Fleet Value</w:t>
      </w:r>
      <w:bookmarkEnd w:id="50"/>
    </w:p>
    <w:p>
      <w:pPr>
        <w:pStyle w:val="FirstParagraph"/>
      </w:pPr>
      <w:r>
        <w:t xml:space="preserve">The more compelling financial case for</w:t>
      </w:r>
      <w:r>
        <w:t xml:space="preserve"> </w:t>
      </w:r>
      <w:r>
        <w:t xml:space="preserve">“</w:t>
      </w:r>
      <w:r>
        <w:t xml:space="preserve">Gridshare for Utilities</w:t>
      </w:r>
      <w:r>
        <w:t xml:space="preserve">”</w:t>
      </w:r>
      <w:r>
        <w:t xml:space="preserve"> </w:t>
      </w:r>
      <w:r>
        <w:t xml:space="preserve">may not be the subscription revenue itself, but its effect on the</w:t>
      </w:r>
      <w:r>
        <w:t xml:space="preserve"> </w:t>
      </w:r>
      <w:r>
        <w:rPr>
          <w:i/>
        </w:rPr>
        <w:t xml:space="preserve">value of the Gridshare fleet</w:t>
      </w:r>
      <w:r>
        <w:t xml:space="preserve"> </w:t>
      </w:r>
      <w:r>
        <w:t xml:space="preserve">as a strategic asset. A battery fleet whose owner has utility data contracts is structurally more valuable because:</w:t>
      </w:r>
      <w:r>
        <w:t xml:space="preserve"> </w:t>
      </w:r>
      <w:r>
        <w:t xml:space="preserve">1. It creates regulatory relationships that ease VPP interconnection approvals</w:t>
      </w:r>
      <w:r>
        <w:t xml:space="preserve"> </w:t>
      </w:r>
      <w:r>
        <w:t xml:space="preserve">2. It generates recurring non-VPP revenue that reduces dependence on volatile energy market prices</w:t>
      </w:r>
      <w:r>
        <w:t xml:space="preserve"> </w:t>
      </w:r>
      <w:r>
        <w:t xml:space="preserve">3. It demonstrates the fleet’s value beyond dispatch capacity, supporting higher device owner retention and Lunar hardware sales</w:t>
      </w:r>
      <w:r>
        <w:t xml:space="preserve"> </w:t>
      </w:r>
      <w:r>
        <w:t xml:space="preserve">4. It creates a competitive moat—a utility that is paying Gridshare for observability data has an implicit incentive to facilitate Gridshare’s VPP dispatch permissions</w:t>
      </w:r>
    </w:p>
    <w:p>
      <w:r>
        <w:pict>
          <v:rect style="width:0;height:1.5pt" o:hralign="center" o:hrstd="t" o:hr="t"/>
        </w:pict>
      </w:r>
    </w:p>
    <w:p>
      <w:pPr>
        <w:pStyle w:val="Heading2"/>
      </w:pPr>
      <w:bookmarkStart w:id="51" w:name="confidence-assessment"/>
      <w:r>
        <w:t xml:space="preserve">6. CONFIDENCE ASSESSMENT</w:t>
      </w:r>
      <w:bookmarkEnd w:id="51"/>
    </w:p>
    <w:p>
      <w:pPr>
        <w:pStyle w:val="Heading3"/>
      </w:pPr>
      <w:bookmarkStart w:id="52" w:name="X076f6bed6d0f712347f244db4586e9078ec7f74"/>
      <w:r>
        <w:t xml:space="preserve">Overall Hypothesis Confidence:</w:t>
      </w:r>
      <w:r>
        <w:t xml:space="preserve"> </w:t>
      </w:r>
      <w:r>
        <w:rPr>
          <w:b/>
        </w:rPr>
        <w:t xml:space="preserve">MEDIUM-HIGH</w:t>
      </w:r>
      <w:r>
        <w:t xml:space="preserve"> </w:t>
      </w:r>
      <w:r>
        <w:t xml:space="preserve">that the data asset is real and undermonetized;</w:t>
      </w:r>
      <w:r>
        <w:t xml:space="preserve"> </w:t>
      </w:r>
      <w:r>
        <w:rPr>
          <w:b/>
        </w:rPr>
        <w:t xml:space="preserve">MEDIUM-LOW</w:t>
      </w:r>
      <w:r>
        <w:t xml:space="preserve"> </w:t>
      </w:r>
      <w:r>
        <w:t xml:space="preserve">that the specific</w:t>
      </w:r>
      <w:r>
        <w:t xml:space="preserve"> </w:t>
      </w:r>
      <w:r>
        <w:t xml:space="preserve">“</w:t>
      </w:r>
      <w:r>
        <w:t xml:space="preserve">Gridshare for Utilities</w:t>
      </w:r>
      <w:r>
        <w:t xml:space="preserve">”</w:t>
      </w:r>
      <w:r>
        <w:t xml:space="preserve"> </w:t>
      </w:r>
      <w:r>
        <w:t xml:space="preserve">subscription product is the right commercial vehicle in the near term.</w:t>
      </w:r>
      <w:bookmarkEnd w:id="5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Sub-Question</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Key Uncertainty</w:t>
            </w:r>
          </w:p>
        </w:tc>
      </w:tr>
      <w:tr>
        <w:tc>
          <w:p>
            <w:pPr>
              <w:pStyle w:val="Compact"/>
              <w:jc w:val="left"/>
            </w:pPr>
            <w:r>
              <w:t xml:space="preserve">Gridshare data contains grid-state observability value</w:t>
            </w:r>
          </w:p>
        </w:tc>
        <w:tc>
          <w:p>
            <w:pPr>
              <w:pStyle w:val="Compact"/>
              <w:jc w:val="left"/>
            </w:pPr>
            <w:r>
              <w:rPr>
                <w:b/>
              </w:rPr>
              <w:t xml:space="preserve">HIGH</w:t>
            </w:r>
          </w:p>
        </w:tc>
        <w:tc>
          <w:p>
            <w:pPr>
              <w:pStyle w:val="Compact"/>
              <w:jc w:val="left"/>
            </w:pPr>
            <w:r>
              <w:t xml:space="preserve">Confirmed by VPP operation and Japan utility relationships</w:t>
            </w:r>
          </w:p>
        </w:tc>
      </w:tr>
      <w:tr>
        <w:tc>
          <w:p>
            <w:pPr>
              <w:pStyle w:val="Compact"/>
              <w:jc w:val="left"/>
            </w:pPr>
            <w:r>
              <w:t xml:space="preserve">Gridshare inverters actually log voltage/frequency/THD at high temporal resolution</w:t>
            </w:r>
          </w:p>
        </w:tc>
        <w:tc>
          <w:p>
            <w:pPr>
              <w:pStyle w:val="Compact"/>
              <w:jc w:val="left"/>
            </w:pPr>
            <w:r>
              <w:rPr>
                <w:b/>
              </w:rPr>
              <w:t xml:space="preserve">UNKNOWN</w:t>
            </w:r>
          </w:p>
        </w:tc>
        <w:tc>
          <w:p>
            <w:pPr>
              <w:pStyle w:val="Compact"/>
              <w:jc w:val="left"/>
            </w:pPr>
            <w:r>
              <w:t xml:space="preserve">No public disclosure; technically likely but not confirmed</w:t>
            </w:r>
          </w:p>
        </w:tc>
      </w:tr>
      <w:tr>
        <w:tc>
          <w:p>
            <w:pPr>
              <w:pStyle w:val="Compact"/>
              <w:jc w:val="left"/>
            </w:pPr>
            <w:r>
              <w:t xml:space="preserve">Utilities would pay $100+/sensor/year for third-party observability data</w:t>
            </w:r>
          </w:p>
        </w:tc>
        <w:tc>
          <w:p>
            <w:pPr>
              <w:pStyle w:val="Compact"/>
              <w:jc w:val="left"/>
            </w:pPr>
            <w:r>
              <w:rPr>
                <w:b/>
              </w:rPr>
              <w:t xml:space="preserve">MEDIUM</w:t>
            </w:r>
          </w:p>
        </w:tc>
        <w:tc>
          <w:p>
            <w:pPr>
              <w:pStyle w:val="Compact"/>
              <w:jc w:val="left"/>
            </w:pPr>
            <w:r>
              <w:t xml:space="preserve">Utilidata validates the market but incumbents have structural advantages</w:t>
            </w:r>
          </w:p>
        </w:tc>
      </w:tr>
      <w:tr>
        <w:tc>
          <w:p>
            <w:pPr>
              <w:pStyle w:val="Compact"/>
              <w:jc w:val="left"/>
            </w:pPr>
            <w:r>
              <w:t xml:space="preserve">Coverage density is sufficient for utility grid planning</w:t>
            </w:r>
          </w:p>
        </w:tc>
        <w:tc>
          <w:p>
            <w:pPr>
              <w:pStyle w:val="Compact"/>
              <w:jc w:val="left"/>
            </w:pPr>
            <w:r>
              <w:rPr>
                <w:b/>
              </w:rPr>
              <w:t xml:space="preserve">LOW-MEDIUM</w:t>
            </w:r>
          </w:p>
        </w:tc>
        <w:tc>
          <w:p>
            <w:pPr>
              <w:pStyle w:val="Compact"/>
              <w:jc w:val="left"/>
            </w:pPr>
            <w:r>
              <w:t xml:space="preserve">150,000 scattered devices is sparse for feeder-level analysis</w:t>
            </w:r>
          </w:p>
        </w:tc>
      </w:tr>
      <w:tr>
        <w:tc>
          <w:p>
            <w:pPr>
              <w:pStyle w:val="Compact"/>
              <w:jc w:val="left"/>
            </w:pPr>
            <w:r>
              <w:t xml:space="preserve">Consumer consent framework is manageable</w:t>
            </w:r>
          </w:p>
        </w:tc>
        <w:tc>
          <w:p>
            <w:pPr>
              <w:pStyle w:val="Compact"/>
              <w:jc w:val="left"/>
            </w:pPr>
            <w:r>
              <w:rPr>
                <w:b/>
              </w:rPr>
              <w:t xml:space="preserve">MEDIUM</w:t>
            </w:r>
          </w:p>
        </w:tc>
        <w:tc>
          <w:p>
            <w:pPr>
              <w:pStyle w:val="Compact"/>
              <w:jc w:val="left"/>
            </w:pPr>
            <w:r>
              <w:t xml:space="preserve">Anonymized aggregate data is defensible; individual home data requires explicit consent</w:t>
            </w:r>
          </w:p>
        </w:tc>
      </w:tr>
      <w:tr>
        <w:tc>
          <w:p>
            <w:pPr>
              <w:pStyle w:val="Compact"/>
              <w:jc w:val="left"/>
            </w:pPr>
            <w:r>
              <w:t xml:space="preserve">Japan is the most viable near-term market</w:t>
            </w:r>
          </w:p>
        </w:tc>
        <w:tc>
          <w:p>
            <w:pPr>
              <w:pStyle w:val="Compact"/>
              <w:jc w:val="left"/>
            </w:pPr>
            <w:r>
              <w:rPr>
                <w:b/>
              </w:rPr>
              <w:t xml:space="preserve">HIGH</w:t>
            </w:r>
          </w:p>
        </w:tc>
        <w:tc>
          <w:p>
            <w:pPr>
              <w:pStyle w:val="Compact"/>
              <w:jc w:val="left"/>
            </w:pPr>
            <w:r>
              <w:t xml:space="preserve">Existing relationships with top 5 Japanese utilities strongly support this</w:t>
            </w:r>
          </w:p>
        </w:tc>
      </w:tr>
      <w:tr>
        <w:tc>
          <w:p>
            <w:pPr>
              <w:pStyle w:val="Compact"/>
              <w:jc w:val="left"/>
            </w:pPr>
            <w:r>
              <w:t xml:space="preserve">Insurance is an easier near-term monetization path (Ting model)</w:t>
            </w:r>
          </w:p>
        </w:tc>
        <w:tc>
          <w:p>
            <w:pPr>
              <w:pStyle w:val="Compact"/>
              <w:jc w:val="left"/>
            </w:pPr>
            <w:r>
              <w:rPr>
                <w:b/>
              </w:rPr>
              <w:t xml:space="preserve">HIGH</w:t>
            </w:r>
          </w:p>
        </w:tc>
        <w:tc>
          <w:p>
            <w:pPr>
              <w:pStyle w:val="Compact"/>
              <w:jc w:val="left"/>
            </w:pPr>
            <w:r>
              <w:t xml:space="preserve">Whisker Labs validates this as the natural first commercial step</w:t>
            </w:r>
          </w:p>
        </w:tc>
      </w:tr>
      <w:tr>
        <w:tc>
          <w:p>
            <w:pPr>
              <w:pStyle w:val="Compact"/>
              <w:jc w:val="left"/>
            </w:pPr>
            <w:r>
              <w:t xml:space="preserve">Direct competition from AMI-embedded solutions (Utilidata, Sense, Bidgely) creates long-term substitution risk</w:t>
            </w:r>
          </w:p>
        </w:tc>
        <w:tc>
          <w:p>
            <w:pPr>
              <w:pStyle w:val="Compact"/>
              <w:jc w:val="left"/>
            </w:pPr>
            <w:r>
              <w:rPr>
                <w:b/>
              </w:rPr>
              <w:t xml:space="preserve">HIGH</w:t>
            </w:r>
          </w:p>
        </w:tc>
        <w:tc>
          <w:p>
            <w:pPr>
              <w:pStyle w:val="Compact"/>
              <w:jc w:val="left"/>
            </w:pPr>
            <w:r>
              <w:t xml:space="preserve">AMI 2.0 rollout will reduce Gridshare’s data advantage over a 5–10 year horizon</w:t>
            </w:r>
          </w:p>
        </w:tc>
      </w:tr>
    </w:tbl>
    <w:p>
      <w:r>
        <w:pict>
          <v:rect style="width:0;height:1.5pt" o:hralign="center" o:hrstd="t" o:hr="t"/>
        </w:pict>
      </w:r>
    </w:p>
    <w:p>
      <w:pPr>
        <w:pStyle w:val="Heading2"/>
      </w:pPr>
      <w:bookmarkStart w:id="53" w:name="X67760b0d6e0299af851075f6729600535a64b6d"/>
      <w:r>
        <w:t xml:space="preserve">7. SYNTHESIZED CONCLUSIONS FOR STRATEGIC DECISION-MAKING</w:t>
      </w:r>
      <w:bookmarkEnd w:id="53"/>
    </w:p>
    <w:p>
      <w:pPr>
        <w:pStyle w:val="FirstParagraph"/>
      </w:pPr>
      <w:r>
        <w:rPr>
          <w:b/>
        </w:rPr>
        <w:t xml:space="preserve">The hypothesis is structurally correct but the commercial pathway requires reframing.</w:t>
      </w:r>
    </w:p>
    <w:p>
      <w:pPr>
        <w:pStyle w:val="BodyText"/>
      </w:pPr>
      <w:r>
        <w:t xml:space="preserve">The Gridshare fleet is genuinely generating a high-value, largely unmonetized observability data stream. The grid-edge visibility gap is real, documented, and expensive for utilities. The market is validated by Utilidata’s $126M in funding and DOE’s $10.5B GRIP program. The Waze analogy is apt in demonstrating that crowdsourced sensor networks can displace expensive purpose-built infrastructure.</w:t>
      </w:r>
    </w:p>
    <w:p>
      <w:pPr>
        <w:pStyle w:val="BodyText"/>
      </w:pPr>
      <w:r>
        <w:t xml:space="preserve">However, four strategic adjustments to the hypothesis improve the commercial case:</w:t>
      </w:r>
    </w:p>
    <w:p>
      <w:pPr>
        <w:numPr>
          <w:ilvl w:val="0"/>
          <w:numId w:val="1002"/>
        </w:numPr>
      </w:pPr>
      <w:r>
        <w:rPr>
          <w:b/>
        </w:rPr>
        <w:t xml:space="preserve">Insurance before utilities</w:t>
      </w:r>
      <w:r>
        <w:t xml:space="preserve">: The Whisker Labs model—where insurers</w:t>
      </w:r>
      <w:r>
        <w:t xml:space="preserve"> </w:t>
      </w:r>
      <w:r>
        <w:rPr>
          <w:i/>
        </w:rPr>
        <w:t xml:space="preserve">subsidize</w:t>
      </w:r>
      <w:r>
        <w:t xml:space="preserve"> </w:t>
      </w:r>
      <w:r>
        <w:t xml:space="preserve">sensor deployment and pay for aggregated grid risk data—is a more accessible near-term buyer than utility distribution planning departments. Homeowner consent is easier to obtain for fire prevention and outage insurance than for utility grid analytics. This path builds the fleet density that makes the utility product compelling.</w:t>
      </w:r>
    </w:p>
    <w:p>
      <w:pPr>
        <w:numPr>
          <w:ilvl w:val="0"/>
          <w:numId w:val="1002"/>
        </w:numPr>
      </w:pPr>
      <w:r>
        <w:rPr>
          <w:b/>
        </w:rPr>
        <w:t xml:space="preserve">Japan first</w:t>
      </w:r>
      <w:r>
        <w:t xml:space="preserve">:</w:t>
      </w:r>
      <w:r>
        <w:t xml:space="preserve"> </w:t>
      </w:r>
      <w:r>
        <w:t xml:space="preserve">The existing relationship with</w:t>
      </w:r>
      <w:r>
        <w:t xml:space="preserve"> </w:t>
      </w:r>
      <w:r>
        <w:t xml:space="preserve">“</w:t>
      </w:r>
      <w:r>
        <w:t xml:space="preserve">four of the five largest Japanese power companies</w:t>
      </w:r>
      <w:r>
        <w:t xml:space="preserve">”</w:t>
      </w:r>
      <w:r>
        <w:t xml:space="preserve"> </w:t>
      </w:r>
      <w:r>
        <w:t xml:space="preserve">makes Japan the natural first market for a formal grid observability subscription. METI’s regulatory requirements create pull; the ITOCHU relationship creates distribution; the existing fleet provides the sensor network.</w:t>
      </w:r>
    </w:p>
    <w:p>
      <w:pPr>
        <w:numPr>
          <w:ilvl w:val="0"/>
          <w:numId w:val="1002"/>
        </w:numPr>
      </w:pPr>
      <w:r>
        <w:rPr>
          <w:b/>
        </w:rPr>
        <w:t xml:space="preserve">Internal value first, external sale second</w:t>
      </w:r>
      <w:r>
        <w:t xml:space="preserve">: The most certain near-term ROI from Gridshare’s observability data is</w:t>
      </w:r>
      <w:r>
        <w:t xml:space="preserve"> </w:t>
      </w:r>
      <w:r>
        <w:rPr>
          <w:i/>
        </w:rPr>
        <w:t xml:space="preserve">improving Gridshare’s own VPP dispatch performance</w:t>
      </w:r>
      <w:r>
        <w:t xml:space="preserve">—enabling more accurate capacity bidding, lower penalty rates for non-delivery, and better battery degradation management. This is the Waze model: data that makes the core product better, with monetization of the data as a secondary revenue stream.</w:t>
      </w:r>
    </w:p>
    <w:p>
      <w:pPr>
        <w:numPr>
          <w:ilvl w:val="0"/>
          <w:numId w:val="1002"/>
        </w:numPr>
      </w:pPr>
      <w:r>
        <w:rPr>
          <w:b/>
        </w:rPr>
        <w:t xml:space="preserve">Partner for the analytics layer</w:t>
      </w:r>
      <w:r>
        <w:t xml:space="preserve">: Rather than building grid analytics capabilities organically, Lunar should explore a partnership with NREL, EPRI, or a specialized grid analytics firm (Camus Energy, AutoGrid, or a distribution system state estimation specialist) to build the models that transform raw Gridshare data into the specific deliverables utilities need: feeder voltage profiles, transformer loading estimates, and hosting capacity validation.</w:t>
      </w:r>
    </w:p>
    <w:p>
      <w:pPr>
        <w:pStyle w:val="FirstParagraph"/>
      </w:pPr>
      <w:r>
        <w:rPr>
          <w:b/>
        </w:rPr>
        <w:t xml:space="preserve">The bottom line</w:t>
      </w:r>
      <w:r>
        <w:t xml:space="preserve">:</w:t>
      </w:r>
      <w:r>
        <w:t xml:space="preserve"> </w:t>
      </w:r>
      <w:r>
        <w:t xml:space="preserve">Utilidata’s analysis concludes that</w:t>
      </w:r>
      <w:r>
        <w:t xml:space="preserve"> </w:t>
      </w:r>
      <w:r>
        <w:t xml:space="preserve">“</w:t>
      </w:r>
      <w:r>
        <w:t xml:space="preserve">the absolute best investment you could make is data capture and software at the edge.</w:t>
      </w:r>
      <w:r>
        <w:t xml:space="preserve">”</w:t>
      </w:r>
      <w:r>
        <w:t xml:space="preserve"> </w:t>
      </w:r>
      <w:r>
        <w:t xml:space="preserve">Gridshare has already made that investment—funded by its hardware customers, not by utilities. The observability data asset exists today and is worth materially more than zero. Whether it generates $15M or $50M/year depends on Lunar’s willingness to invest in the product, sales, and regulatory strategy required to extract that value from a utility sector that is notoriously slow to adopt third-party data products—but increasingly desperate for last-mile grid visibility.</w:t>
      </w:r>
    </w:p>
    <w:p>
      <w:r>
        <w:pict>
          <v:rect style="width:0;height:1.5pt" o:hralign="center" o:hrstd="t" o:hr="t"/>
        </w:pict>
      </w:r>
    </w:p>
    <w:p>
      <w:pPr>
        <w:pStyle w:val="Heading2"/>
      </w:pPr>
      <w:bookmarkStart w:id="54" w:name="citations"/>
      <w:r>
        <w:t xml:space="preserve">7. CITATIONS</w:t>
      </w:r>
      <w:bookmarkEnd w:id="54"/>
    </w:p>
    <w:p>
      <w:pPr>
        <w:pStyle w:val="FirstParagraph"/>
      </w:pPr>
      <w:r>
        <w:rPr>
          <w:b/>
        </w:rPr>
        <w:t xml:space="preserve">Gridshare Fleet &amp; Platform:</w:t>
      </w:r>
      <w:r>
        <w:t xml:space="preserve"> </w:t>
      </w:r>
      <w:r>
        <w:t xml:space="preserve">- AWS/Lunar Energy case study: Gridshare architecture, Japan fleet, data volumes (38-series, 105-series)</w:t>
      </w:r>
      <w:r>
        <w:t xml:space="preserve"> </w:t>
      </w:r>
      <w:r>
        <w:t xml:space="preserve">- Latitude Media: 40 billion data points/month, Sunrun VPP SaaS (102-series)</w:t>
      </w:r>
      <w:r>
        <w:t xml:space="preserve"> </w:t>
      </w:r>
      <w:r>
        <w:t xml:space="preserve">- Lunar Energy CEO letter: 100,000+ devices, Gridshare capabilities (108-series)</w:t>
      </w:r>
      <w:r>
        <w:t xml:space="preserve"> </w:t>
      </w:r>
      <w:r>
        <w:t xml:space="preserve">- Heatmap News: $232M raise, 130,000 Sunrun batteries (110-series)</w:t>
      </w:r>
      <w:r>
        <w:t xml:space="preserve"> </w:t>
      </w:r>
      <w:r>
        <w:t xml:space="preserve">- Lunar/PCE/SVCE partnership: DERMS capabilities (32-series)</w:t>
      </w:r>
      <w:r>
        <w:t xml:space="preserve"> </w:t>
      </w:r>
      <w:r>
        <w:t xml:space="preserve">- Sunrun case study: VPP performance, SCE delivery (39-series, 109-series)</w:t>
      </w:r>
    </w:p>
    <w:p>
      <w:pPr>
        <w:pStyle w:val="BodyText"/>
      </w:pPr>
      <w:r>
        <w:rPr>
          <w:b/>
        </w:rPr>
        <w:t xml:space="preserve">Utilidata:</w:t>
      </w:r>
      <w:r>
        <w:t xml:space="preserve"> </w:t>
      </w:r>
      <w:r>
        <w:t xml:space="preserve">- Utilidata/Aclara partnership: Karman AI meter (1-series, 2-series, 3-series)</w:t>
      </w:r>
      <w:r>
        <w:t xml:space="preserve"> </w:t>
      </w:r>
      <w:r>
        <w:t xml:space="preserve">- Latitude Media smart meter analysis: cost-benefit, deployment scale (9-series)</w:t>
      </w:r>
      <w:r>
        <w:t xml:space="preserve"> </w:t>
      </w:r>
      <w:r>
        <w:t xml:space="preserve">- Latitude Media GRIP funding: Consumers Energy, deployment pipeline (4-series)</w:t>
      </w:r>
      <w:r>
        <w:t xml:space="preserve"> </w:t>
      </w:r>
      <w:r>
        <w:t xml:space="preserve">- Utilidata Series C: $60.3M, $126.5M total (6-series)</w:t>
      </w:r>
      <w:r>
        <w:t xml:space="preserve"> </w:t>
      </w:r>
      <w:r>
        <w:t xml:space="preserve">- GlobeNewswire: NVIDIA/Utilidata module development (7-series)</w:t>
      </w:r>
    </w:p>
    <w:p>
      <w:pPr>
        <w:pStyle w:val="BodyText"/>
      </w:pPr>
      <w:r>
        <w:rPr>
          <w:b/>
        </w:rPr>
        <w:t xml:space="preserve">Whisker Labs / Ting:</w:t>
      </w:r>
      <w:r>
        <w:t xml:space="preserve"> </w:t>
      </w:r>
      <w:r>
        <w:t xml:space="preserve">- Whisker Labs: 1M+ sensors, Ting Insights product (11-series, 12-series, 13-series)</w:t>
      </w:r>
      <w:r>
        <w:t xml:space="preserve"> </w:t>
      </w:r>
      <w:r>
        <w:t xml:space="preserve">- Nationwide partnership: 500,000 sensor expansion (16-series)</w:t>
      </w:r>
      <w:r>
        <w:t xml:space="preserve"> </w:t>
      </w:r>
      <w:r>
        <w:t xml:space="preserve">- CB Insights: business model, IoT network scale (14-series)</w:t>
      </w:r>
      <w:r>
        <w:t xml:space="preserve"> </w:t>
      </w:r>
      <w:r>
        <w:t xml:space="preserve">- Citysbuzz: Maui/LA wildfire grid stress data (18-series)</w:t>
      </w:r>
      <w:r>
        <w:t xml:space="preserve"> </w:t>
      </w:r>
      <w:r>
        <w:t xml:space="preserve">- Whisker Labs THD analysis: feeder identification methodology (51-series)</w:t>
      </w:r>
    </w:p>
    <w:p>
      <w:pPr>
        <w:pStyle w:val="BodyText"/>
      </w:pPr>
      <w:r>
        <w:rPr>
          <w:b/>
        </w:rPr>
        <w:t xml:space="preserve">Waze for Cities:</w:t>
      </w:r>
      <w:r>
        <w:t xml:space="preserve"> </w:t>
      </w:r>
      <w:r>
        <w:t xml:space="preserve">- Waze for Cities official site: free program, data exchange model (22-series, 23-series)</w:t>
      </w:r>
      <w:r>
        <w:t xml:space="preserve"> </w:t>
      </w:r>
      <w:r>
        <w:t xml:space="preserve">- Digital One Agency: Waze monetization analysis (21-series)</w:t>
      </w:r>
      <w:r>
        <w:t xml:space="preserve"> </w:t>
      </w:r>
      <w:r>
        <w:t xml:space="preserve">- VentureBeat: Waze city partnerships, no direct financial transactions (26-series)</w:t>
      </w:r>
      <w:r>
        <w:t xml:space="preserve"> </w:t>
      </w:r>
      <w:r>
        <w:t xml:space="preserve">- AppMakers: Waze civic data ethics (25-series)</w:t>
      </w:r>
    </w:p>
    <w:p>
      <w:pPr>
        <w:pStyle w:val="BodyText"/>
      </w:pPr>
      <w:r>
        <w:rPr>
          <w:b/>
        </w:rPr>
        <w:t xml:space="preserve">Bidgely:</w:t>
      </w:r>
      <w:r>
        <w:t xml:space="preserve"> </w:t>
      </w:r>
      <w:r>
        <w:t xml:space="preserve">- Bidgely UtilityAI Pro: 38M meters, analytics capabilities (93-series)</w:t>
      </w:r>
      <w:r>
        <w:t xml:space="preserve"> </w:t>
      </w:r>
      <w:r>
        <w:t xml:space="preserve">- Bidgely Darcy recognition: 40+ utility customers, 1.5 TWh savings (99-series)</w:t>
      </w:r>
      <w:r>
        <w:t xml:space="preserve"> </w:t>
      </w:r>
      <w:r>
        <w:t xml:space="preserve">- Bidgely AMI underutilization: 2-4% data utilization stat (100-series)</w:t>
      </w:r>
      <w:r>
        <w:t xml:space="preserve"> </w:t>
      </w:r>
      <w:r>
        <w:t xml:space="preserve">- Bidgely AMI 2.0: Itron partnership, meter-embedded AI (97-series)</w:t>
      </w:r>
    </w:p>
    <w:p>
      <w:pPr>
        <w:pStyle w:val="BodyText"/>
      </w:pPr>
      <w:r>
        <w:rPr>
          <w:b/>
        </w:rPr>
        <w:t xml:space="preserve">Grid Visibility Gap / DOE/NREL:</w:t>
      </w:r>
      <w:r>
        <w:t xml:space="preserve"> </w:t>
      </w:r>
      <w:r>
        <w:t xml:space="preserve">- DOE Bridging the Visibility Gap report: last-mile blind spot (62-series)</w:t>
      </w:r>
      <w:r>
        <w:t xml:space="preserve"> </w:t>
      </w:r>
      <w:r>
        <w:t xml:space="preserve">- Renewable Energy World: $470B grid investment, distribution planning gap (61-series)</w:t>
      </w:r>
      <w:r>
        <w:t xml:space="preserve"> </w:t>
      </w:r>
      <w:r>
        <w:t xml:space="preserve">- Energy Central: voltage stability, transformer loading, DER hosting capacity use cases (63-series)</w:t>
      </w:r>
      <w:r>
        <w:t xml:space="preserve"> </w:t>
      </w:r>
      <w:r>
        <w:t xml:space="preserve">- IREC: hosting capacity analysis failures, 70-80% California distribution blocked (68-series)</w:t>
      </w:r>
      <w:r>
        <w:t xml:space="preserve"> </w:t>
      </w:r>
      <w:r>
        <w:t xml:space="preserve">- NREL: distribution grid analysis, hosting capacity tools (64-series, 65-series)</w:t>
      </w:r>
      <w:r>
        <w:t xml:space="preserve"> </w:t>
      </w:r>
      <w:r>
        <w:t xml:space="preserve">- DOE GRIP: $10.5B grid modernization (43-series)</w:t>
      </w:r>
    </w:p>
    <w:p>
      <w:pPr>
        <w:pStyle w:val="BodyText"/>
      </w:pPr>
      <w:r>
        <w:rPr>
          <w:b/>
        </w:rPr>
        <w:t xml:space="preserve">AMI Standards &amp; Market:</w:t>
      </w:r>
      <w:r>
        <w:t xml:space="preserve"> </w:t>
      </w:r>
      <w:r>
        <w:t xml:space="preserve">- Eaton: AMI definition and capabilities (42-series)</w:t>
      </w:r>
      <w:r>
        <w:t xml:space="preserve"> </w:t>
      </w:r>
      <w:r>
        <w:t xml:space="preserve">- IBM: AMI technical architecture, daily data transmission (48-series)</w:t>
      </w:r>
      <w:r>
        <w:t xml:space="preserve"> </w:t>
      </w:r>
      <w:r>
        <w:t xml:space="preserve">- Utility Dive: AMI cost-effectiveness debates (44-series, 49-series)</w:t>
      </w:r>
      <w:r>
        <w:t xml:space="preserve"> </w:t>
      </w:r>
      <w:r>
        <w:t xml:space="preserve">- NARUC: AMI regulatory barriers (46-series)</w:t>
      </w:r>
      <w:r>
        <w:t xml:space="preserve"> </w:t>
      </w:r>
      <w:r>
        <w:t xml:space="preserve">- INL GridTechPedia: AMI 2.0, 120M meters deployed (43-series)</w:t>
      </w:r>
      <w:r>
        <w:t xml:space="preserve"> </w:t>
      </w:r>
      <w:r>
        <w:t xml:space="preserve">- Sense: grid edge load visibility product (69-series)</w:t>
      </w:r>
    </w:p>
    <w:p>
      <w:pPr>
        <w:pStyle w:val="BodyText"/>
      </w:pPr>
      <w:r>
        <w:rPr>
          <w:b/>
        </w:rPr>
        <w:t xml:space="preserve">Tesla Powerwall / VPP Data:</w:t>
      </w:r>
      <w:r>
        <w:t xml:space="preserve"> </w:t>
      </w:r>
      <w:r>
        <w:t xml:space="preserve">- Tesla: Powerwall telemetry every 60 seconds, 3x faster than AMI 2.0 (81-series)</w:t>
      </w:r>
      <w:r>
        <w:t xml:space="preserve"> </w:t>
      </w:r>
      <w:r>
        <w:t xml:space="preserve">- InfoQ: Tesla VPP architecture, power/frequency/voltage telemetry (86-series)</w:t>
      </w:r>
      <w:r>
        <w:t xml:space="preserve"> </w:t>
      </w:r>
      <w:r>
        <w:t xml:space="preserve">- Kai Waehner: Tesla data streaming, Kafka infrastructure (82-series)</w:t>
      </w:r>
    </w:p>
    <w:p>
      <w:pPr>
        <w:pStyle w:val="BodyText"/>
      </w:pPr>
      <w:r>
        <w:rPr>
          <w:b/>
        </w:rPr>
        <w:t xml:space="preserve">Regulatory / Privacy:</w:t>
      </w:r>
      <w:r>
        <w:t xml:space="preserve"> </w:t>
      </w:r>
      <w:r>
        <w:t xml:space="preserve">- PAC World: NERC CIP dual-track privacy framework (71-series)</w:t>
      </w:r>
      <w:r>
        <w:t xml:space="preserve"> </w:t>
      </w:r>
      <w:r>
        <w:t xml:space="preserve">- DOE smart grid privacy report: consumer consent requirements (72-series)</w:t>
      </w:r>
      <w:r>
        <w:t xml:space="preserve"> </w:t>
      </w:r>
      <w:r>
        <w:t xml:space="preserve">- Xage/NERC: 2025 CIP updates, DER reclassification (76-series)</w:t>
      </w:r>
      <w:r>
        <w:t xml:space="preserve"> </w:t>
      </w:r>
      <w:r>
        <w:t xml:space="preserve">- Reform: NERC CIP data sharing compliance (75-series)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2026-02-28T06:01:29Z</dcterms:created>
  <dcterms:modified xsi:type="dcterms:W3CDTF">2026-02-28T06:01:29Z</dcterms:modified>
</cp:coreProperties>
</file>

<file path=docProps/custom.xml><?xml version="1.0" encoding="utf-8"?>
<Properties xmlns="http://schemas.openxmlformats.org/officeDocument/2006/custom-properties" xmlns:vt="http://schemas.openxmlformats.org/officeDocument/2006/docPropsVTypes"/>
</file>