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SaaS valuation analyst and energy technology researcher investigating whether Lunar Energy’s software platform is being systematically undervalued because it is bundled inside a hardware company narrative.</w:t>
      </w:r>
    </w:p>
    <w:p>
      <w:pPr>
        <w:pStyle w:val="BodyText"/>
      </w:pPr>
      <w:r>
        <w:t xml:space="preserve">CONTEXT:</w:t>
      </w:r>
      <w:r>
        <w:t xml:space="preserve"> </w:t>
      </w:r>
      <w:r>
        <w:t xml:space="preserve">Lunar Energy is a US-based residential battery and energy management company that raised a $232M Series D in February 2026 and has raised $532M total. The company operates a software platform called</w:t>
      </w:r>
      <w:r>
        <w:t xml:space="preserve"> </w:t>
      </w:r>
      <w:r>
        <w:t xml:space="preserve">“</w:t>
      </w:r>
      <w:r>
        <w:t xml:space="preserve">Gridshare</w:t>
      </w:r>
      <w:r>
        <w:t xml:space="preserve">”</w:t>
      </w:r>
      <w:r>
        <w:t xml:space="preserve"> </w:t>
      </w:r>
      <w:r>
        <w:t xml:space="preserve">— a cloud-based virtual power plant (VPP) and distributed energy resource management system (DERMS). Critically, Gridshare manages approximately 650 MW of capacity across ~150,000 devices globally, but Lunar’s own battery hardware represents only ~2,000 units (~40 MW) — roughly 3% of the total managed fleet. The remaining 97% consists of third-party hardware: Sunrun’s non-Tesla residential battery fleet in California, ITOCHU Smart Star batteries in Japan (~35,000+ homes), Honda batteries in the UK, and EDP-managed systems in Spain/Portugal. Gridshare reportedly processes 40 billion data points per month from Japan alone. In a VPP trial for Southern California Edison’s Sunrun fleet, Gridshare delivered a 60% performance improvement over previous dispatch methods. Lunar UK (formerly Moixa) developed the original Gridshare platform. Despite all this, the Series D was positioned around manufacturing scale-up, and market coverage treats Lunar primarily as a battery hardware company.</w:t>
      </w:r>
    </w:p>
    <w:p>
      <w:pPr>
        <w:pStyle w:val="BodyText"/>
      </w:pPr>
      <w:r>
        <w:t xml:space="preserve">HYPOTHESIS TO INVESTIGATE:</w:t>
      </w:r>
      <w:r>
        <w:t xml:space="preserve"> </w:t>
      </w:r>
      <w:r>
        <w:t xml:space="preserve">Gridshare is Lunar Energy’s most valuable asset and is being systematically undervalued because it is financially opaque — bundled inside a hardware company story. At comparable SaaS multiples (AutoGrid acquired by Schneider at ~5-10x ARR, OhmConnect valued at $800M+, Voltus public market valuation), Gridshare alone could be worth $70–150M today and $300–500M at 300,000 managed devices. Surfacing Gridshare’s unit economics could unlock significant incremental enterprise value.</w:t>
      </w:r>
    </w:p>
    <w:p>
      <w:pPr>
        <w:pStyle w:val="BodyText"/>
      </w:pPr>
      <w:r>
        <w:t xml:space="preserve">SPECIFIC RESEARCH QUESTIONS:</w:t>
      </w:r>
    </w:p>
    <w:p>
      <w:pPr>
        <w:numPr>
          <w:ilvl w:val="0"/>
          <w:numId w:val="1001"/>
        </w:numPr>
      </w:pPr>
      <w:r>
        <w:t xml:space="preserve">What is Gridshare’s estimated annual recurring revenue (ARR), broken down by customer segment? Specifically: What does Sunrun pay (per device per year or as a licensing fee) for Gridshare management of its non-Tesla battery fleet? What does ITOCHU pay for Gridshare licensing in Japan?</w:t>
      </w:r>
    </w:p>
    <w:p>
      <w:pPr>
        <w:numPr>
          <w:ilvl w:val="0"/>
          <w:numId w:val="1001"/>
        </w:numPr>
      </w:pPr>
      <w:r>
        <w:t xml:space="preserve">What VPP SaaS platform transactions have occurred in the last 5 years, and at what revenue multiples? Focus on: AutoGrid acquisition by Schneider Electric (2022) — reported terms, ARR at time of acquisition, multiple; OhmConnect funding rounds and implied valuation; Voltus (VLTS) public financials if available; EnergyHub acquisition by Alarm.com; Virtual Peaker acquisition by Clearsight; Swell Energy financials.</w:t>
      </w:r>
    </w:p>
    <w:p>
      <w:pPr>
        <w:numPr>
          <w:ilvl w:val="0"/>
          <w:numId w:val="1001"/>
        </w:numPr>
      </w:pPr>
      <w:r>
        <w:t xml:space="preserve">What do California Community Choice Aggregators (CCAs) — specifically Peninsula Clean Energy (PCE), Silicon Valley Clean Energy (SVCE), and East Bay Community Energy (Ava/EBCE) — pay for VPP dispatch and DERMS services? Check CCA board meeting minutes, procurement records, and budget documents for any contracts referencing Lunar, Gridshare, or Moixa.</w:t>
      </w:r>
    </w:p>
    <w:p>
      <w:pPr>
        <w:numPr>
          <w:ilvl w:val="0"/>
          <w:numId w:val="1001"/>
        </w:numPr>
      </w:pPr>
      <w:r>
        <w:t xml:space="preserve">What are typical per-device-per-year revenue figures for VPP management platforms? What net revenue retention rates do energy SaaS platforms achieve?</w:t>
      </w:r>
    </w:p>
    <w:p>
      <w:pPr>
        <w:numPr>
          <w:ilvl w:val="0"/>
          <w:numId w:val="1001"/>
        </w:numPr>
      </w:pPr>
      <w:r>
        <w:t xml:space="preserve">What would Gridshare be worth as a standalone entity at 150,000 managed devices (current) and at 300,000 devices (projected), using the comparable transaction multiples identified above?</w:t>
      </w:r>
    </w:p>
    <w:p>
      <w:pPr>
        <w:pStyle w:val="FirstParagraph"/>
      </w:pPr>
      <w:r>
        <w:t xml:space="preserve">RESEARCH GUIDANCE:</w:t>
      </w:r>
      <w:r>
        <w:t xml:space="preserve"> </w:t>
      </w:r>
      <w:r>
        <w:t xml:space="preserve">- Check Sunrun’s 10-K and 10-Q filings (SEC EDGAR) for line items referencing third-party software licensing costs, VPP platform fees, or related-party transactions with Lunar Energy</w:t>
      </w:r>
      <w:r>
        <w:t xml:space="preserve"> </w:t>
      </w:r>
      <w:r>
        <w:t xml:space="preserve">- Search ITOCHU Corporation’s annual securities report (available on their IR website) for GridShare Japan (GSJ) related licensing expenses</w:t>
      </w:r>
      <w:r>
        <w:t xml:space="preserve"> </w:t>
      </w:r>
      <w:r>
        <w:t xml:space="preserve">- Search CPUC filings and CCA procurement databases for Gridshare/Lunar/Moixa contract values</w:t>
      </w:r>
      <w:r>
        <w:t xml:space="preserve"> </w:t>
      </w:r>
      <w:r>
        <w:t xml:space="preserve">- Check UK Companies House for Lunar Energy Limited (formerly Moixa Energy Holdings) financial statements — UK companies must file revenue data</w:t>
      </w:r>
      <w:r>
        <w:t xml:space="preserve"> </w:t>
      </w:r>
      <w:r>
        <w:t xml:space="preserve">- Research AutoGrid/Schneider acquisition terms via Schneider’s investor presentations and press releases</w:t>
      </w:r>
      <w:r>
        <w:t xml:space="preserve"> </w:t>
      </w:r>
      <w:r>
        <w:t xml:space="preserve">- Check Voltus (VLTS) SEC filings for public VPP platform revenue benchmarks</w:t>
      </w:r>
      <w:r>
        <w:t xml:space="preserve"> </w:t>
      </w:r>
      <w:r>
        <w:t xml:space="preserve">- Search PitchBook, Crunchbase, and CB Insights for energy SaaS comparable valuations</w:t>
      </w:r>
    </w:p>
    <w:p>
      <w:pPr>
        <w:pStyle w:val="BodyText"/>
      </w:pPr>
      <w:r>
        <w:t xml:space="preserve">OUTPUT FORMAT:</w:t>
      </w:r>
      <w:r>
        <w:t xml:space="preserve"> </w:t>
      </w:r>
      <w:r>
        <w:t xml:space="preserve">Structure your response as:</w:t>
      </w:r>
      <w:r>
        <w:t xml:space="preserve"> </w:t>
      </w:r>
      <w:r>
        <w:t xml:space="preserve">1. EVIDENCE FOR THE HYPOTHESIS</w:t>
      </w:r>
      <w:r>
        <w:t xml:space="preserve"> </w:t>
      </w:r>
      <w:r>
        <w:t xml:space="preserve">2. EVIDENCE AGAINST THE HYPOTHESIS</w:t>
      </w:r>
      <w:r>
        <w:t xml:space="preserve"> </w:t>
      </w:r>
      <w:r>
        <w:t xml:space="preserve">3. COMPARABLE EXAMPLES</w:t>
      </w:r>
      <w:r>
        <w:t xml:space="preserve"> </w:t>
      </w:r>
      <w:r>
        <w:t xml:space="preserve">4. FEASIBILITY ASSESSMENT</w:t>
      </w:r>
      <w:r>
        <w:t xml:space="preserve"> </w:t>
      </w:r>
      <w:r>
        <w:t xml:space="preserve">5. MAGNITUDE ESTIMATE</w:t>
      </w:r>
      <w:r>
        <w:t xml:space="preserve"> </w:t>
      </w:r>
      <w:r>
        <w:t xml:space="preserve">6. CONFIDENCE ASSESSMENT</w:t>
      </w:r>
      <w:r>
        <w:t xml:space="preserve"> </w:t>
      </w:r>
      <w:r>
        <w:t xml:space="preserve">7. CITATIONS</w:t>
      </w:r>
    </w:p>
    <w:p>
      <w:pPr>
        <w:pStyle w:val="BodyText"/>
      </w:pPr>
      <w:r>
        <w:t xml:space="preserve">Be rigorous. If Gridshare’s revenue is too small to support the hypothesis, say so clearly.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2026-02-28T04:44:25Z</dcterms:created>
  <dcterms:modified xsi:type="dcterms:W3CDTF">2026-02-28T04:44:25Z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