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tax policy analyst specializing in Inflation Reduction Act manufacturing credits and domestic content requirements for battery energy storage systems. You are investigating whether Lunar Energy’s current manufacturing configuration qualifies for — or is disqualified from — two major federal incentives worth potentially $50M+/year at scale.</w:t>
      </w:r>
    </w:p>
    <w:p>
      <w:pPr>
        <w:pStyle w:val="BodyText"/>
      </w:pPr>
      <w:r>
        <w:t xml:space="preserve">CONTEXT:</w:t>
      </w:r>
      <w:r>
        <w:t xml:space="preserve"> </w:t>
      </w:r>
      <w:r>
        <w:t xml:space="preserve">Lunar Energy manufactures a residential battery system called the Lunar System (15–30 kWh capacity, 9.6 kW inverter). The manufacturing is split across locations: battery modules (cell sorting, busbar welding, BMS installation, module housing) are assembled</w:t>
      </w:r>
      <w:r>
        <w:t xml:space="preserve"> </w:t>
      </w:r>
      <w:r>
        <w:t xml:space="preserve">“</w:t>
      </w:r>
      <w:r>
        <w:t xml:space="preserve">just over the border in Mexico,</w:t>
      </w:r>
      <w:r>
        <w:t xml:space="preserve">”</w:t>
      </w:r>
      <w:r>
        <w:t xml:space="preserve"> </w:t>
      </w:r>
      <w:r>
        <w:t xml:space="preserve">while the inverter, smart electrical panel (</w:t>
      </w:r>
      <w:r>
        <w:t xml:space="preserve">“</w:t>
      </w:r>
      <w:r>
        <w:t xml:space="preserve">Lunar Bridge</w:t>
      </w:r>
      <w:r>
        <w:t xml:space="preserve">”</w:t>
      </w:r>
      <w:r>
        <w:t xml:space="preserve">), and system integration occur at a facility in Suwanee, Georgia. Lunar also has a facility in Redmond, Washington. The company markets itself as</w:t>
      </w:r>
      <w:r>
        <w:t xml:space="preserve"> </w:t>
      </w:r>
      <w:r>
        <w:t xml:space="preserve">“</w:t>
      </w:r>
      <w:r>
        <w:t xml:space="preserve">proudly domestic content</w:t>
      </w:r>
      <w:r>
        <w:t xml:space="preserve">”</w:t>
      </w:r>
      <w:r>
        <w:t xml:space="preserve"> </w:t>
      </w:r>
      <w:r>
        <w:t xml:space="preserve">and VP Ed Gunn has used this language publicly. Two federal incentive programs are at stake:</w:t>
      </w:r>
    </w:p>
    <w:p>
      <w:pPr>
        <w:numPr>
          <w:ilvl w:val="0"/>
          <w:numId w:val="1001"/>
        </w:numPr>
      </w:pPr>
      <w:r>
        <w:t xml:space="preserve">Section 45X Advanced Manufacturing Production Credits: $10/kWh for battery modules ≥7 kWh assembled in the US. At Lunar’s 15-30 kWh module size, this equals $150–$300 per unit. Inverters qualify at $0.11/watt AC for inverters ≥20 watts (= ~$1,056 per 9.6 kW inverter). At 100,000 units/year, the combined potential is $15–25M/year. These credits are transferable at 90-95 cents on the dollar.</w:t>
      </w:r>
    </w:p>
    <w:p>
      <w:pPr>
        <w:numPr>
          <w:ilvl w:val="0"/>
          <w:numId w:val="1001"/>
        </w:numPr>
      </w:pPr>
      <w:r>
        <w:t xml:space="preserve">Domestic Content ITC Bonus: A 10% adder on the 30% Investment Tax Credit for battery storage. The domestic content cost threshold rises from 40% to 55% after 2026. Battery modules typically represent 50-60% of total system cost. If Mexico-assembled modules don’t count as domestic, Lunar likely fails the 55% threshold — costing the end customer (or TPO like Sunrun) approximately $2,500 per system.</w:t>
      </w:r>
    </w:p>
    <w:p>
      <w:pPr>
        <w:pStyle w:val="FirstParagraph"/>
      </w:pPr>
      <w:r>
        <w:t xml:space="preserve">HYPOTHESIS TO INVESTIGATE:</w:t>
      </w:r>
      <w:r>
        <w:t xml:space="preserve"> </w:t>
      </w:r>
      <w:r>
        <w:t xml:space="preserve">Lunar’s Mexico-based module assembly currently disqualifies its battery modules from 45X production credits and may cause failure of the domestic content threshold after 2026. Relocating module assembly to Georgia would cost an estimated $15–25M but would simultaneously unlock 45X credits ($150–300/unit) and preserve the domestic content bonus ($2,500/unit) — a combined benefit of ~$2,650–$2,800/unit that recoups the relocation investment within the first year at 10,000+ units. The question is whether this is legally required, financially optimal, and logistically feasible.</w:t>
      </w:r>
    </w:p>
    <w:p>
      <w:pPr>
        <w:pStyle w:val="BodyText"/>
      </w:pPr>
      <w:r>
        <w:t xml:space="preserve">SPECIFIC RESEARCH QUESTIONS:</w:t>
      </w:r>
    </w:p>
    <w:p>
      <w:pPr>
        <w:numPr>
          <w:ilvl w:val="0"/>
          <w:numId w:val="1002"/>
        </w:numPr>
      </w:pPr>
      <w:r>
        <w:t xml:space="preserve">Under IRS Notice 2023-38 and subsequent Treasury/IRS 45X guidance, does assembling LFP cells into battery modules in Mexico disqualify those modules from the $10/kWh 45X credit? Does the Georgia-based inverter assembly independently qualify for the $0.11/watt 45X inverter credit regardless of where the battery module is made?</w:t>
      </w:r>
    </w:p>
    <w:p>
      <w:pPr>
        <w:numPr>
          <w:ilvl w:val="0"/>
          <w:numId w:val="1002"/>
        </w:numPr>
      </w:pPr>
      <w:r>
        <w:t xml:space="preserve">Under Treasury Notice 2025-08’s BESS-specific safe harbor tables for domestic content, how is the cost of a residential battery system allocated across components? If the battery module (assembled in Mexico) is excluded from domestic content, can Lunar still meet the 55% threshold with its US-assembled inverter, Bridge panel, and other components?</w:t>
      </w:r>
    </w:p>
    <w:p>
      <w:pPr>
        <w:numPr>
          <w:ilvl w:val="0"/>
          <w:numId w:val="1002"/>
        </w:numPr>
      </w:pPr>
      <w:r>
        <w:t xml:space="preserve">Has any battery manufacturer received Treasury guidance (private letter ruling, FAQ response) on whether USMCA-origin components from Mexico or Canada count as</w:t>
      </w:r>
      <w:r>
        <w:t xml:space="preserve"> </w:t>
      </w:r>
      <w:r>
        <w:t xml:space="preserve">“</w:t>
      </w:r>
      <w:r>
        <w:t xml:space="preserve">domestic</w:t>
      </w:r>
      <w:r>
        <w:t xml:space="preserve">”</w:t>
      </w:r>
      <w:r>
        <w:t xml:space="preserve"> </w:t>
      </w:r>
      <w:r>
        <w:t xml:space="preserve">for ITC domestic content purposes? What is the legal consensus?</w:t>
      </w:r>
    </w:p>
    <w:p>
      <w:pPr>
        <w:numPr>
          <w:ilvl w:val="0"/>
          <w:numId w:val="1002"/>
        </w:numPr>
      </w:pPr>
      <w:r>
        <w:t xml:space="preserve">What have comparable US residential battery/inverter manufacturers (Enphase, FranklinWH, SolarEdge, Tesla) publicly disclosed about 45X credit claims? Check their 10-K filings, earnings calls, and investor presentations for 45X-related revenue or benefit disclosures.</w:t>
      </w:r>
    </w:p>
    <w:p>
      <w:pPr>
        <w:numPr>
          <w:ilvl w:val="0"/>
          <w:numId w:val="1002"/>
        </w:numPr>
      </w:pPr>
      <w:r>
        <w:t xml:space="preserve">What would it cost and how long would it take to establish LFP battery module assembly in Lunar’s existing Suwanee, GA facility or a new adjacent facility? What equipment is required (cell sorting, ultrasonic welding, BMS testing, module enclosure assembly), and what are comparable facility buildout costs and timelines?</w:t>
      </w:r>
    </w:p>
    <w:p>
      <w:pPr>
        <w:pStyle w:val="FirstParagraph"/>
      </w:pPr>
      <w:r>
        <w:t xml:space="preserve">RESEARCH GUIDANCE:</w:t>
      </w:r>
      <w:r>
        <w:t xml:space="preserve"> </w:t>
      </w:r>
      <w:r>
        <w:t xml:space="preserve">- IRS Notice 2023-38 (45X guidance), Treasury Notice 2025-08 (BESS domestic content safe harbors)</w:t>
      </w:r>
      <w:r>
        <w:t xml:space="preserve"> </w:t>
      </w:r>
      <w:r>
        <w:t xml:space="preserve">- IRS domestic content FAQ and bonus credit guidance under Section 48E</w:t>
      </w:r>
      <w:r>
        <w:t xml:space="preserve"> </w:t>
      </w:r>
      <w:r>
        <w:t xml:space="preserve">- USMCA rules of origin for batteries (HS code 8507)</w:t>
      </w:r>
      <w:r>
        <w:t xml:space="preserve"> </w:t>
      </w:r>
      <w:r>
        <w:t xml:space="preserve">- Enphase 10-K (search for</w:t>
      </w:r>
      <w:r>
        <w:t xml:space="preserve"> </w:t>
      </w:r>
      <w:r>
        <w:t xml:space="preserve">“</w:t>
      </w:r>
      <w:r>
        <w:t xml:space="preserve">45X</w:t>
      </w:r>
      <w:r>
        <w:t xml:space="preserve">”</w:t>
      </w:r>
      <w:r>
        <w:t xml:space="preserve"> </w:t>
      </w:r>
      <w:r>
        <w:t xml:space="preserve">or</w:t>
      </w:r>
      <w:r>
        <w:t xml:space="preserve"> </w:t>
      </w:r>
      <w:r>
        <w:t xml:space="preserve">“</w:t>
      </w:r>
      <w:r>
        <w:t xml:space="preserve">advanced manufacturing production credit</w:t>
      </w:r>
      <w:r>
        <w:t xml:space="preserve">”</w:t>
      </w:r>
      <w:r>
        <w:t xml:space="preserve">) — Enphase has been vocal about 45X benefits from its US inverter manufacturing</w:t>
      </w:r>
      <w:r>
        <w:t xml:space="preserve"> </w:t>
      </w:r>
      <w:r>
        <w:t xml:space="preserve">- FranklinWH — check if they claim domestic content (they assemble in California)</w:t>
      </w:r>
      <w:r>
        <w:t xml:space="preserve"> </w:t>
      </w:r>
      <w:r>
        <w:t xml:space="preserve">- Tesla — check Powerwall domestic content claims and manufacturing location</w:t>
      </w:r>
      <w:r>
        <w:t xml:space="preserve"> </w:t>
      </w:r>
      <w:r>
        <w:t xml:space="preserve">- For facility cost estimates: look at comparable battery module assembly facility announcements (e.g., Flatiron’s partnership with SK On, Base Power’s Austin facility buildout costs)</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If the legal analysis is ambiguous, clearly state what is settled vs. unsettled in the guidance.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3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2026-02-28T04:44:25Z</dcterms:created>
  <dcterms:modified xsi:type="dcterms:W3CDTF">2026-02-28T04:44:25Z</dcterms:modified>
</cp:coreProperties>
</file>

<file path=docProps/custom.xml><?xml version="1.0" encoding="utf-8"?>
<Properties xmlns="http://schemas.openxmlformats.org/officeDocument/2006/custom-properties" xmlns:vt="http://schemas.openxmlformats.org/officeDocument/2006/docPropsVTypes"/>
</file>