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clean energy finance specialist and government programs analyst investigating whether Lunar Energy is eligible for — and should pursue — a $150–250M loan from the Department of Energy’s Loan Programs Office (LPO).</w:t>
      </w:r>
    </w:p>
    <w:p>
      <w:pPr>
        <w:pStyle w:val="BodyText"/>
      </w:pPr>
      <w:r>
        <w:t xml:space="preserve">CONTEXT:</w:t>
      </w:r>
      <w:r>
        <w:t xml:space="preserve"> </w:t>
      </w:r>
      <w:r>
        <w:t xml:space="preserve">Lunar Energy is scaling residential battery manufacturing toward a target of 100,000 units/year, requiring an estimated $230–450M in capital expenditure and working capital. The company raised $232M in a Series D (February 2026, total raised $532M) and its CEO has stated the company will</w:t>
      </w:r>
      <w:r>
        <w:t xml:space="preserve"> </w:t>
      </w:r>
      <w:r>
        <w:t xml:space="preserve">“</w:t>
      </w:r>
      <w:r>
        <w:t xml:space="preserve">never raise again.</w:t>
      </w:r>
      <w:r>
        <w:t xml:space="preserve">”</w:t>
      </w:r>
      <w:r>
        <w:t xml:space="preserve"> </w:t>
      </w:r>
      <w:r>
        <w:t xml:space="preserve">Current cash burn is estimated at $8–12M/month. The company assembles inverters and smart electrical panels in Suwanee, Georgia, with battery module assembly in Mexico.</w:t>
      </w:r>
    </w:p>
    <w:p>
      <w:pPr>
        <w:pStyle w:val="BodyText"/>
      </w:pPr>
      <w:r>
        <w:t xml:space="preserve">The DOE Loan Programs Office has deployed over $40B in low-cost loans (typically 2–3% fixed rate) to domestic clean energy manufacturers. Redwood Materials received a $2B conditional commitment; multiple battery manufacturers have accessed $100M–$500M facilities. Residential battery assembly operations appear to be eligible under Title XVII (Innovative Clean Energy) or the expanded Advanced Technology Vehicles Manufacturing (ATVM) program. At $200M of LPO financing, the interest cost savings versus typical venture debt (9–11%) would be approximately $12–16M/year. There is no public evidence that Lunar has applied.</w:t>
      </w:r>
    </w:p>
    <w:p>
      <w:pPr>
        <w:pStyle w:val="BodyText"/>
      </w:pPr>
      <w:r>
        <w:t xml:space="preserve">HYPOTHESIS TO INVESTIGATE:</w:t>
      </w:r>
      <w:r>
        <w:t xml:space="preserve"> </w:t>
      </w:r>
      <w:r>
        <w:t xml:space="preserve">A $150–250M DOE LPO loan would close Lunar’s manufacturing CapEx gap, validate its</w:t>
      </w:r>
      <w:r>
        <w:t xml:space="preserve"> </w:t>
      </w:r>
      <w:r>
        <w:t xml:space="preserve">“</w:t>
      </w:r>
      <w:r>
        <w:t xml:space="preserve">never raise again</w:t>
      </w:r>
      <w:r>
        <w:t xml:space="preserve">”</w:t>
      </w:r>
      <w:r>
        <w:t xml:space="preserve"> </w:t>
      </w:r>
      <w:r>
        <w:t xml:space="preserve">claim, save $12–16M/year in interest costs, and signal government confidence to utility customers. If Lunar has not filed a pre-application, this may be the single highest-priority financial action available — but the window may be narrowing under the current political administration’s stance toward clean energy lending.</w:t>
      </w:r>
    </w:p>
    <w:p>
      <w:pPr>
        <w:pStyle w:val="BodyText"/>
      </w:pPr>
      <w:r>
        <w:t xml:space="preserve">SPECIFIC RESEARCH QUESTIONS:</w:t>
      </w:r>
    </w:p>
    <w:p>
      <w:pPr>
        <w:numPr>
          <w:ilvl w:val="0"/>
          <w:numId w:val="1001"/>
        </w:numPr>
      </w:pPr>
      <w:r>
        <w:t xml:space="preserve">Has Lunar Energy submitted a pre-application or formal application to DOE LPO? Check DOE LPO’s conditional commitment announcements, active application lists (if available via FOIA), and any Lunar management statements at industry conferences or in press coverage referencing government financing.</w:t>
      </w:r>
    </w:p>
    <w:p>
      <w:pPr>
        <w:numPr>
          <w:ilvl w:val="0"/>
          <w:numId w:val="1001"/>
        </w:numPr>
      </w:pPr>
      <w:r>
        <w:t xml:space="preserve">What are the specific eligibility requirements for a residential battery assembly operation (as opposed to cell manufacturing) under Title XVII and/or the ATVM program? Does Lunar’s Georgia-based inverter/panel assembly qualify? Would Mexico-based module assembly disqualify the overall application?</w:t>
      </w:r>
    </w:p>
    <w:p>
      <w:pPr>
        <w:numPr>
          <w:ilvl w:val="0"/>
          <w:numId w:val="1001"/>
        </w:numPr>
      </w:pPr>
      <w:r>
        <w:t xml:space="preserve">Which comparable companies — specifically residential battery or inverter assemblers, not just cell manufacturers — have received LPO financing? What were the loan sizes, terms, and timelines from application to conditional commitment to closing?</w:t>
      </w:r>
    </w:p>
    <w:p>
      <w:pPr>
        <w:numPr>
          <w:ilvl w:val="0"/>
          <w:numId w:val="1001"/>
        </w:numPr>
      </w:pPr>
      <w:r>
        <w:t xml:space="preserve">What is the current political status of the LPO under the current administration (2025–2026)? Are new conditional commitments still being issued for clean energy and battery storage projects, or has the program been effectively frozen? What is the current Congressional appropriation status for LPO credit subsidy?</w:t>
      </w:r>
    </w:p>
    <w:p>
      <w:pPr>
        <w:numPr>
          <w:ilvl w:val="0"/>
          <w:numId w:val="1001"/>
        </w:numPr>
      </w:pPr>
      <w:r>
        <w:t xml:space="preserve">What is the typical LPO application timeline (pre-application to conditional commitment to financial close), and what are the key requirements (independent engineering report, financial model, environmental review)?</w:t>
      </w:r>
    </w:p>
    <w:p>
      <w:pPr>
        <w:pStyle w:val="FirstParagraph"/>
      </w:pPr>
      <w:r>
        <w:t xml:space="preserve">RESEARCH GUIDANCE:</w:t>
      </w:r>
      <w:r>
        <w:t xml:space="preserve"> </w:t>
      </w:r>
      <w:r>
        <w:t xml:space="preserve">- DOE LPO portfolio tracker and project database (energy.gov/lpo)</w:t>
      </w:r>
      <w:r>
        <w:t xml:space="preserve"> </w:t>
      </w:r>
      <w:r>
        <w:t xml:space="preserve">- DOE LPO annual reports and Congressional budget justifications</w:t>
      </w:r>
      <w:r>
        <w:t xml:space="preserve"> </w:t>
      </w:r>
      <w:r>
        <w:t xml:space="preserve">- Search for LPO conditional commitments announced in 2025–2026</w:t>
      </w:r>
      <w:r>
        <w:t xml:space="preserve"> </w:t>
      </w:r>
      <w:r>
        <w:t xml:space="preserve">- Check whether the current administration has proposed budget cuts or policy changes affecting LPO</w:t>
      </w:r>
      <w:r>
        <w:t xml:space="preserve"> </w:t>
      </w:r>
      <w:r>
        <w:t xml:space="preserve">- Search for comparable LPO loans: Redwood Materials ($2B), Sila Nanotechnologies, Enovix, Form Energy, ESS Inc. — focus on terms and timelines</w:t>
      </w:r>
      <w:r>
        <w:t xml:space="preserve"> </w:t>
      </w:r>
      <w:r>
        <w:t xml:space="preserve">- Search for Lunar Energy or CEO Kunal Girotra statements about government financing at conferences (Intersolar, RE+, CESA events)</w:t>
      </w:r>
      <w:r>
        <w:t xml:space="preserve"> </w:t>
      </w:r>
      <w:r>
        <w:t xml:space="preserve">- Check DOE LPO’s published application guide and FAQ for residential storage eligibility</w:t>
      </w:r>
    </w:p>
    <w:p>
      <w:pPr>
        <w:pStyle w:val="BodyText"/>
      </w:pPr>
      <w:r>
        <w:t xml:space="preserve">OUTPUT FORMAT:</w:t>
      </w:r>
      <w:r>
        <w:t xml:space="preserve"> </w:t>
      </w:r>
      <w:r>
        <w:t xml:space="preserve">Structure your response as:</w:t>
      </w:r>
      <w:r>
        <w:t xml:space="preserve"> </w:t>
      </w:r>
      <w:r>
        <w:t xml:space="preserve">1. EVIDENCE FOR THE HYPOTHESIS</w:t>
      </w:r>
      <w:r>
        <w:t xml:space="preserve"> </w:t>
      </w:r>
      <w:r>
        <w:t xml:space="preserve">2. EVIDENCE AGAINST THE HYPOTHESIS</w:t>
      </w:r>
      <w:r>
        <w:t xml:space="preserve"> </w:t>
      </w:r>
      <w:r>
        <w:t xml:space="preserve">3. COMPARABLE EXAMPLES</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p>
      <w:pPr>
        <w:pStyle w:val="BodyText"/>
      </w:pPr>
      <w:r>
        <w:t xml:space="preserve">Be direct about political risk. If the current administration has effectively frozen LPO clean energy lending, say so and quantify the probability that an application filed today would be processed.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2026-02-28T04:44:26Z</dcterms:created>
  <dcterms:modified xsi:type="dcterms:W3CDTF">2026-02-28T04:44:26Z</dcterms:modified>
</cp:coreProperties>
</file>

<file path=docProps/custom.xml><?xml version="1.0" encoding="utf-8"?>
<Properties xmlns="http://schemas.openxmlformats.org/officeDocument/2006/custom-properties" xmlns:vt="http://schemas.openxmlformats.org/officeDocument/2006/docPropsVTypes"/>
</file>