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California energy regulatory analyst and consumer economics researcher investigating whether Lunar Energy’s primary marketing claim — $464/year in VPP earnings for battery owners — remains valid after the defunding of California’s Demand Side Grid Support (DSGS) program.</w:t>
      </w:r>
    </w:p>
    <w:p>
      <w:pPr>
        <w:pStyle w:val="BodyText"/>
      </w:pPr>
      <w:r>
        <w:t xml:space="preserve">CONTEXT:</w:t>
      </w:r>
      <w:r>
        <w:t xml:space="preserve"> </w:t>
      </w:r>
      <w:r>
        <w:t xml:space="preserve">Lunar Energy’s most-cited customer value proposition claims homeowners can earn</w:t>
      </w:r>
      <w:r>
        <w:t xml:space="preserve"> </w:t>
      </w:r>
      <w:r>
        <w:t xml:space="preserve">“</w:t>
      </w:r>
      <w:r>
        <w:t xml:space="preserve">$464/year in VPP earnings plus $338 in AI-optimized bill savings = $802/year.</w:t>
      </w:r>
      <w:r>
        <w:t xml:space="preserve">”</w:t>
      </w:r>
      <w:r>
        <w:t xml:space="preserve"> </w:t>
      </w:r>
      <w:r>
        <w:t xml:space="preserve">This figure appears in Lunar’s marketing materials, website, and was referenced in connection with its February 2026 Series D announcement. The $464 VPP earnings figure was derived primarily from California’s DSGS program, which paid battery owners for grid exports during emergencies and high-demand periods. Governor Newsom vetoed DSGS program funding, effectively terminating it.</w:t>
      </w:r>
    </w:p>
    <w:p>
      <w:pPr>
        <w:pStyle w:val="BodyText"/>
      </w:pPr>
      <w:r>
        <w:t xml:space="preserve">Meanwhile, Sunrun — Lunar’s largest distribution partner and Gridshare customer — separately offers its VPP participants approximately $150 per battery per season. Multiple replacement programs may partially fill the DSGS gap: PG&amp;E’s Emergency Load Reduction Program (ELRP), SCE demand response programs, and Community Choice Aggregator (CCA) VPP procurement. But the total available compensation from these programs is almost certainly less than DSGS provided. Lunar’s continued use of the $464 figure without disclosure of DSGS termination creates potential misrepresentation risk with installers, homeowners, and investors.</w:t>
      </w:r>
    </w:p>
    <w:p>
      <w:pPr>
        <w:pStyle w:val="BodyText"/>
      </w:pPr>
      <w:r>
        <w:t xml:space="preserve">HYPOTHESIS TO INVESTIGATE:</w:t>
      </w:r>
      <w:r>
        <w:t xml:space="preserve"> </w:t>
      </w:r>
      <w:r>
        <w:t xml:space="preserve">Lunar’s real-world VPP earnings for 2026 enrollees will be materially lower than $464/year — likely $150–$300/year depending on which replacement programs are available. Continuing to market the $464 figure without disclosing the DSGS termination creates regulatory, legal, and channel trust risk. The magnitude of the gap between marketed and actual VPP economics could erode installer confidence at the worst possible moment for Lunar’s growth.</w:t>
      </w:r>
    </w:p>
    <w:p>
      <w:pPr>
        <w:pStyle w:val="BodyText"/>
      </w:pPr>
      <w:r>
        <w:t xml:space="preserve">SPECIFIC RESEARCH QUESTIONS:</w:t>
      </w:r>
    </w:p>
    <w:p>
      <w:pPr>
        <w:numPr>
          <w:ilvl w:val="0"/>
          <w:numId w:val="1001"/>
        </w:numPr>
      </w:pPr>
      <w:r>
        <w:t xml:space="preserve">What VPP compensation programs are currently available to residential battery owners in California, post-DSGS? For each program (PG&amp;E ELRP, SCE demand response, CCA programs, CAISO market participation via aggregators), what is the realistic annual $/device payment for a 15–20 kWh battery?</w:t>
      </w:r>
    </w:p>
    <w:p>
      <w:pPr>
        <w:numPr>
          <w:ilvl w:val="0"/>
          <w:numId w:val="1001"/>
        </w:numPr>
      </w:pPr>
      <w:r>
        <w:t xml:space="preserve">Are there any pending California legislative or CPUC proceedings to create a DSGS successor program? Check CPUC docket searches, California Energy Commission proceedings, and legislative bill trackers for any 2025–2026 battery compensation program proposals.</w:t>
      </w:r>
    </w:p>
    <w:p>
      <w:pPr>
        <w:numPr>
          <w:ilvl w:val="0"/>
          <w:numId w:val="1001"/>
        </w:numPr>
      </w:pPr>
      <w:r>
        <w:t xml:space="preserve">What has Sunrun publicly communicated to its VPP enrollees about post-DSGS compensation changes? Has Sunrun updated its VPP enrollment terms, marketing materials, or customer communications?</w:t>
      </w:r>
    </w:p>
    <w:p>
      <w:pPr>
        <w:numPr>
          <w:ilvl w:val="0"/>
          <w:numId w:val="1001"/>
        </w:numPr>
      </w:pPr>
      <w:r>
        <w:t xml:space="preserve">What are other residential battery manufacturers (Tesla, FranklinWH, Enphase) promising their California customers for VPP earnings in 2026? Have they updated their marketing to reflect DSGS defunding?</w:t>
      </w:r>
    </w:p>
    <w:p>
      <w:pPr>
        <w:numPr>
          <w:ilvl w:val="0"/>
          <w:numId w:val="1001"/>
        </w:numPr>
      </w:pPr>
      <w:r>
        <w:t xml:space="preserve">What is the legal/regulatory risk of continuing to market VPP earnings figures based on a defunct program? Are there California consumer protection precedents (DTPA, FTC Act) for misleading energy savings claims?</w:t>
      </w:r>
    </w:p>
    <w:p>
      <w:pPr>
        <w:pStyle w:val="FirstParagraph"/>
      </w:pPr>
      <w:r>
        <w:t xml:space="preserve">RESEARCH GUIDANCE:</w:t>
      </w:r>
      <w:r>
        <w:t xml:space="preserve"> </w:t>
      </w:r>
      <w:r>
        <w:t xml:space="preserve">- CPUC docket search (apps.cpuc.ca.gov) for</w:t>
      </w:r>
      <w:r>
        <w:t xml:space="preserve"> </w:t>
      </w:r>
      <w:r>
        <w:t xml:space="preserve">“</w:t>
      </w:r>
      <w:r>
        <w:t xml:space="preserve">DSGS,</w:t>
      </w:r>
      <w:r>
        <w:t xml:space="preserve">”</w:t>
      </w:r>
      <w:r>
        <w:t xml:space="preserve"> </w:t>
      </w:r>
      <w:r>
        <w:t xml:space="preserve">“</w:t>
      </w:r>
      <w:r>
        <w:t xml:space="preserve">demand side grid support,</w:t>
      </w:r>
      <w:r>
        <w:t xml:space="preserve">”</w:t>
      </w:r>
      <w:r>
        <w:t xml:space="preserve"> </w:t>
      </w:r>
      <w:r>
        <w:t xml:space="preserve">“</w:t>
      </w:r>
      <w:r>
        <w:t xml:space="preserve">virtual power plant,</w:t>
      </w:r>
      <w:r>
        <w:t xml:space="preserve">”</w:t>
      </w:r>
      <w:r>
        <w:t xml:space="preserve"> </w:t>
      </w:r>
      <w:r>
        <w:t xml:space="preserve">and</w:t>
      </w:r>
      <w:r>
        <w:t xml:space="preserve"> </w:t>
      </w:r>
      <w:r>
        <w:t xml:space="preserve">“</w:t>
      </w:r>
      <w:r>
        <w:t xml:space="preserve">battery compensation</w:t>
      </w:r>
      <w:r>
        <w:t xml:space="preserve">”</w:t>
      </w:r>
      <w:r>
        <w:t xml:space="preserve"> </w:t>
      </w:r>
      <w:r>
        <w:t xml:space="preserve">- California Legislative Information (leginfo.legislature.ca.gov) for bills related to battery storage compensation</w:t>
      </w:r>
      <w:r>
        <w:t xml:space="preserve"> </w:t>
      </w:r>
      <w:r>
        <w:t xml:space="preserve">- PG&amp;E, SCE, and SDG&amp;E demand response program tariff sheets and customer enrollment materials</w:t>
      </w:r>
      <w:r>
        <w:t xml:space="preserve"> </w:t>
      </w:r>
      <w:r>
        <w:t xml:space="preserve">- Sunrun’s VPP page and enrollment terms (sunrun.com)</w:t>
      </w:r>
      <w:r>
        <w:t xml:space="preserve"> </w:t>
      </w:r>
      <w:r>
        <w:t xml:space="preserve">- Peninsula Clean Energy, SVCE, EBCE budget documents for VPP procurement allocations</w:t>
      </w:r>
      <w:r>
        <w:t xml:space="preserve"> </w:t>
      </w:r>
      <w:r>
        <w:t xml:space="preserve">- California Energy Commission 2025–2026 reports on DER compensation</w:t>
      </w:r>
      <w:r>
        <w:t xml:space="preserve"> </w:t>
      </w:r>
      <w:r>
        <w:t xml:space="preserve">- Tesla Powerwall VPP program (Tesla Virtual Power Plant) terms and compensation rates</w:t>
      </w:r>
      <w:r>
        <w:t xml:space="preserve"> </w:t>
      </w:r>
      <w:r>
        <w:t xml:space="preserve">- Search for</w:t>
      </w:r>
      <w:r>
        <w:t xml:space="preserve"> </w:t>
      </w:r>
      <w:r>
        <w:t xml:space="preserve">“</w:t>
      </w:r>
      <w:r>
        <w:t xml:space="preserve">DSGS replacement</w:t>
      </w:r>
      <w:r>
        <w:t xml:space="preserve">”</w:t>
      </w:r>
      <w:r>
        <w:t xml:space="preserve"> </w:t>
      </w:r>
      <w:r>
        <w:t xml:space="preserve">or</w:t>
      </w:r>
      <w:r>
        <w:t xml:space="preserve"> </w:t>
      </w:r>
      <w:r>
        <w:t xml:space="preserve">“</w:t>
      </w:r>
      <w:r>
        <w:t xml:space="preserve">DSGS successor</w:t>
      </w:r>
      <w:r>
        <w:t xml:space="preserve">”</w:t>
      </w:r>
      <w:r>
        <w:t xml:space="preserve"> </w:t>
      </w:r>
      <w:r>
        <w:t xml:space="preserve">in energy trade press (Utility Dive, Canary Media, Greentech Media)</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Quantify: what is the realistic range of annual VPP earnings per device in California for 2026–2027, program by program?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