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battery supply chain analyst and trade compliance investigator examining the origin and chemistry of Lunar Energy’s battery cells, which appear to have significant factual inconsistencies in public disclosures.</w:t>
      </w:r>
    </w:p>
    <w:p>
      <w:pPr>
        <w:pStyle w:val="BodyText"/>
      </w:pPr>
      <w:r>
        <w:t xml:space="preserve">CONTEXT:</w:t>
      </w:r>
      <w:r>
        <w:t xml:space="preserve"> </w:t>
      </w:r>
      <w:r>
        <w:t xml:space="preserve">Lunar Energy markets a residential battery system using what it describes as LFP (lithium iron phosphate) chemistry. The company identifies SK Group as its cell supplier and assembles battery modules</w:t>
      </w:r>
      <w:r>
        <w:t xml:space="preserve"> </w:t>
      </w:r>
      <w:r>
        <w:t xml:space="preserve">“</w:t>
      </w:r>
      <w:r>
        <w:t xml:space="preserve">just over the border in Mexico,</w:t>
      </w:r>
      <w:r>
        <w:t xml:space="preserve">”</w:t>
      </w:r>
      <w:r>
        <w:t xml:space="preserve"> </w:t>
      </w:r>
      <w:r>
        <w:t xml:space="preserve">with system integration in Suwanee, Georgia. However, critical inconsistencies exist:</w:t>
      </w:r>
    </w:p>
    <w:p>
      <w:pPr>
        <w:numPr>
          <w:ilvl w:val="0"/>
          <w:numId w:val="1001"/>
        </w:numPr>
        <w:pStyle w:val="Compact"/>
      </w:pPr>
      <w:r>
        <w:t xml:space="preserve">SK On’s two Georgia factories (Commerce, GA) produce NMC (nickel manganese cobalt) pouch cells for Ford F-150 Lightning and Hyundai EVs — not LFP prismatic cells for stationary storage.</w:t>
      </w:r>
    </w:p>
    <w:p>
      <w:pPr>
        <w:numPr>
          <w:ilvl w:val="0"/>
          <w:numId w:val="1001"/>
        </w:numPr>
        <w:pStyle w:val="Compact"/>
      </w:pPr>
      <w:r>
        <w:t xml:space="preserve">SK On’s LFP cell production was announced to begin in H2 2026, primarily committed to Flatiron Energy Storage’s 7.2 GWh offtake contract.</w:t>
      </w:r>
    </w:p>
    <w:p>
      <w:pPr>
        <w:numPr>
          <w:ilvl w:val="0"/>
          <w:numId w:val="1001"/>
        </w:numPr>
        <w:pStyle w:val="Compact"/>
      </w:pPr>
      <w:r>
        <w:t xml:space="preserve">Lunar’s website states cells come from</w:t>
      </w:r>
      <w:r>
        <w:t xml:space="preserve"> </w:t>
      </w:r>
      <w:r>
        <w:t xml:space="preserve">“</w:t>
      </w:r>
      <w:r>
        <w:t xml:space="preserve">the United States and Europe,</w:t>
      </w:r>
      <w:r>
        <w:t xml:space="preserve">”</w:t>
      </w:r>
      <w:r>
        <w:t xml:space="preserve"> </w:t>
      </w:r>
      <w:r>
        <w:t xml:space="preserve">while CEO Kunal Girotra has said the company</w:t>
      </w:r>
      <w:r>
        <w:t xml:space="preserve"> </w:t>
      </w:r>
      <w:r>
        <w:t xml:space="preserve">“</w:t>
      </w:r>
      <w:r>
        <w:t xml:space="preserve">only contracts with battery manufacturers in the US.</w:t>
      </w:r>
      <w:r>
        <w:t xml:space="preserve">”</w:t>
      </w:r>
      <w:r>
        <w:t xml:space="preserve"> </w:t>
      </w:r>
      <w:r>
        <w:t xml:space="preserve">These statements appear mutually inconsistent.</w:t>
      </w:r>
    </w:p>
    <w:p>
      <w:pPr>
        <w:numPr>
          <w:ilvl w:val="0"/>
          <w:numId w:val="1001"/>
        </w:numPr>
        <w:pStyle w:val="Compact"/>
      </w:pPr>
      <w:r>
        <w:t xml:space="preserve">SK On does produce batteries at facilities in Hungary (Europe) and South Korea.</w:t>
      </w:r>
    </w:p>
    <w:p>
      <w:pPr>
        <w:numPr>
          <w:ilvl w:val="0"/>
          <w:numId w:val="1001"/>
        </w:numPr>
        <w:pStyle w:val="Compact"/>
      </w:pPr>
      <w:r>
        <w:t xml:space="preserve">At Lunar’s current estimated demand (~200 MWh/year for ~2,000 units), they are a micro-customer with minimal pricing leverage.</w:t>
      </w:r>
    </w:p>
    <w:p>
      <w:pPr>
        <w:pStyle w:val="FirstParagraph"/>
      </w:pPr>
      <w:r>
        <w:t xml:space="preserve">The IRA’s Foreign Entity of Concern (FEOC) provisions, which take effect for battery storage ITC eligibility, require that battery components not be manufactured by or contain critical minerals extracted/processed by FEOC entities (primarily Chinese companies). FEOC compliance is essential for ITC qualification.</w:t>
      </w:r>
    </w:p>
    <w:p>
      <w:pPr>
        <w:pStyle w:val="BodyText"/>
      </w:pPr>
      <w:r>
        <w:t xml:space="preserve">HYPOTHESIS TO INVESTIGATE:</w:t>
      </w:r>
      <w:r>
        <w:t xml:space="preserve"> </w:t>
      </w:r>
      <w:r>
        <w:t xml:space="preserve">Lunar’s current LFP cells are most likely sourced from either SK On’s Hungary facility, an undisclosed non-SK supplier, or possibly a non-LFP chemistry — each scenario creating different risks around FEOC compliance, domestic content qualification, and supply continuity. At the 100,000 unit/year target (requiring ~2 GWh/year of cells), Lunar would need approximately 9% of SK On Georgia’s total LFP nameplate capacity — a non-trivial allocation with no public evidence of being contracted.</w:t>
      </w:r>
    </w:p>
    <w:p>
      <w:pPr>
        <w:pStyle w:val="BodyText"/>
      </w:pPr>
      <w:r>
        <w:t xml:space="preserve">SPECIFIC RESEARCH QUESTIONS:</w:t>
      </w:r>
    </w:p>
    <w:p>
      <w:pPr>
        <w:numPr>
          <w:ilvl w:val="0"/>
          <w:numId w:val="1002"/>
        </w:numPr>
      </w:pPr>
      <w:r>
        <w:t xml:space="preserve">What battery chemistry does the Lunar System actually use — LFP or NMC? Check UL 9540 and UL 9540A certification filings (UL’s BESS product database), California fire marshal battery storage permits, building department permits in California jurisdictions, and Lunar’s published product specification sheets and safety data sheets.</w:t>
      </w:r>
    </w:p>
    <w:p>
      <w:pPr>
        <w:numPr>
          <w:ilvl w:val="0"/>
          <w:numId w:val="1002"/>
        </w:numPr>
      </w:pPr>
      <w:r>
        <w:t xml:space="preserve">What is the specific origin of Lunar’s current battery cells? Search US Customs import records (ImportGenius, Panjiva, or Descartes Datamyne) for shipments to Lunar Energy, Lunar Energy Inc., or associated entities from SK On (Hungary, Korea), or from other battery cell manufacturers. Also check Mexico customs/trade data for cell imports into Lunar’s Mexico assembly facility.</w:t>
      </w:r>
    </w:p>
    <w:p>
      <w:pPr>
        <w:numPr>
          <w:ilvl w:val="0"/>
          <w:numId w:val="1002"/>
        </w:numPr>
      </w:pPr>
      <w:r>
        <w:t xml:space="preserve">Has Lunar or SK disclosed a formal cell supply agreement with volume commitments, pricing, and exclusivity? Check SK Innovation/SK On investor presentations, earnings calls, and annual reports for references to residential storage customers or Lunar Energy specifically.</w:t>
      </w:r>
    </w:p>
    <w:p>
      <w:pPr>
        <w:numPr>
          <w:ilvl w:val="0"/>
          <w:numId w:val="1002"/>
        </w:numPr>
      </w:pPr>
      <w:r>
        <w:t xml:space="preserve">What is SK On Georgia’s planned LFP production timeline and capacity allocation? How much of the planned capacity is committed to Flatiron (7.2 GWh contract) vs. available for other customers? When will SK On Georgia LFP cells be commercially available for non-Flatiron customers?</w:t>
      </w:r>
    </w:p>
    <w:p>
      <w:pPr>
        <w:numPr>
          <w:ilvl w:val="0"/>
          <w:numId w:val="1002"/>
        </w:numPr>
      </w:pPr>
      <w:r>
        <w:t xml:space="preserve">If Lunar’s cells currently come from SK On Hungary (or another non-US source), what are the FEOC compliance implications? Does SK On’s Hungarian facility use CATL-licensed technology or Chinese-origin cathode/anode materials that would trigger FEOC restrictions?</w:t>
      </w:r>
    </w:p>
    <w:p>
      <w:pPr>
        <w:pStyle w:val="FirstParagraph"/>
      </w:pPr>
      <w:r>
        <w:t xml:space="preserve">RESEARCH GUIDANCE:</w:t>
      </w:r>
      <w:r>
        <w:t xml:space="preserve"> </w:t>
      </w:r>
      <w:r>
        <w:t xml:space="preserve">- UL Product iQ database (productiq.ulprospector.com) — search for Lunar Energy battery certifications</w:t>
      </w:r>
      <w:r>
        <w:t xml:space="preserve"> </w:t>
      </w:r>
      <w:r>
        <w:t xml:space="preserve">- ImportGenius.com or Panjiva.com — search for import records under</w:t>
      </w:r>
      <w:r>
        <w:t xml:space="preserve"> </w:t>
      </w:r>
      <w:r>
        <w:t xml:space="preserve">“</w:t>
      </w:r>
      <w:r>
        <w:t xml:space="preserve">Lunar Energy</w:t>
      </w:r>
      <w:r>
        <w:t xml:space="preserve">”</w:t>
      </w:r>
      <w:r>
        <w:t xml:space="preserve"> </w:t>
      </w:r>
      <w:r>
        <w:t xml:space="preserve">and variants</w:t>
      </w:r>
      <w:r>
        <w:t xml:space="preserve"> </w:t>
      </w:r>
      <w:r>
        <w:t xml:space="preserve">- SK On/SK Innovation investor relations — quarterly earnings presentations, annual reports</w:t>
      </w:r>
      <w:r>
        <w:t xml:space="preserve"> </w:t>
      </w:r>
      <w:r>
        <w:t xml:space="preserve">- Flatiron Energy Storage press releases and DOE LPO filings (Flatiron received a DOE loan conditional commitment)</w:t>
      </w:r>
      <w:r>
        <w:t xml:space="preserve"> </w:t>
      </w:r>
      <w:r>
        <w:t xml:space="preserve">- IRS FEOC guidance (Notice 2023-1, proposed regulations for 30D/45W FEOC rules, and any analogous 48E FEOC guidance)</w:t>
      </w:r>
      <w:r>
        <w:t xml:space="preserve"> </w:t>
      </w:r>
      <w:r>
        <w:t xml:space="preserve">- EPA battery labeling requirements and California’s SB 1383 battery disclosure rules</w:t>
      </w:r>
      <w:r>
        <w:t xml:space="preserve"> </w:t>
      </w:r>
      <w:r>
        <w:t xml:space="preserve">- Search for any Lunar Energy safety data sheets (SDS) filed with California Poison Control or OSHA</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This is a fact-finding mission. Prioritize hard evidence (import records, certification filings, disclosed contracts) over speculation.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2026-02-28T04:44:26Z</dcterms:created>
  <dcterms:modified xsi:type="dcterms:W3CDTF">2026-02-28T04:44:26Z</dcterms:modified>
</cp:coreProperties>
</file>

<file path=docProps/custom.xml><?xml version="1.0" encoding="utf-8"?>
<Properties xmlns="http://schemas.openxmlformats.org/officeDocument/2006/custom-properties" xmlns:vt="http://schemas.openxmlformats.org/officeDocument/2006/docPropsVTypes"/>
</file>