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You are a corporate governance and financial risk analyst investigating the depth and danger of Lunar Energy’s dependency on Sunrun — simultaneously its largest investor, board chair, primary distribution channel, and dominant software customer.</w:t>
      </w:r>
    </w:p>
    <w:p>
      <w:pPr>
        <w:pStyle w:val="BodyText"/>
      </w:pPr>
      <w:r>
        <w:t xml:space="preserve">CONTEXT:</w:t>
      </w:r>
      <w:r>
        <w:t xml:space="preserve"> </w:t>
      </w:r>
      <w:r>
        <w:t xml:space="preserve">Sunrun (NASDAQ: RUN) is a $4–6B market cap residential solar and battery company. Sunrun is Lunar Energy’s largest strategic investor, and Sunrun co-executive chair Lynn Jurich chairs Lunar’s board of directors. Sunrun is Lunar’s primary hardware distribution channel and the largest customer of Lunar’s Gridshare VPP software platform (Gridshare manages Sunrun’s non-Tesla residential battery fleet across California).</w:t>
      </w:r>
    </w:p>
    <w:p>
      <w:pPr>
        <w:pStyle w:val="BodyText"/>
      </w:pPr>
      <w:r>
        <w:t xml:space="preserve">Simultaneously, Sunrun’s financial position shows significant stress: Altman Z-Score of approximately -0.47 (distress zone), total debt of ~$14.6B against ~$4.6B in equity (315% D/E ratio), and a stock price that fell 27.9% in a single session in 2025. Sunrun’s next significant debt maturity is March 2028.</w:t>
      </w:r>
    </w:p>
    <w:p>
      <w:pPr>
        <w:pStyle w:val="BodyText"/>
      </w:pPr>
      <w:r>
        <w:t xml:space="preserve">The governance conflict is also notable: Sunrun’s own customer-facing website promotes Tesla Powerwall 3 as</w:t>
      </w:r>
      <w:r>
        <w:t xml:space="preserve"> </w:t>
      </w:r>
      <w:r>
        <w:t xml:space="preserve">“</w:t>
      </w:r>
      <w:r>
        <w:t xml:space="preserve">one of the most trusted energy storage solutions available.</w:t>
      </w:r>
      <w:r>
        <w:t xml:space="preserve">”</w:t>
      </w:r>
      <w:r>
        <w:t xml:space="preserve"> </w:t>
      </w:r>
      <w:r>
        <w:t xml:space="preserve">Sunrun’s Texas VPP and CalReady program (75,000 installations) run primarily on Tesla hardware. Within Sunrun’s VPP architecture, Tesla’s own software platform manages Powerwalls while Gridshare manages only non-Tesla batteries — meaning as Sunrun’s fleet becomes more Tesla-dominated, Gridshare’s role shrinks. Lunar’s $232M Series D was raised without public acknowledgment of this concentration risk.</w:t>
      </w:r>
    </w:p>
    <w:p>
      <w:pPr>
        <w:pStyle w:val="BodyText"/>
      </w:pPr>
      <w:r>
        <w:t xml:space="preserve">HYPOTHESIS TO INVESTIGATE:</w:t>
      </w:r>
      <w:r>
        <w:t xml:space="preserve"> </w:t>
      </w:r>
      <w:r>
        <w:t xml:space="preserve">Lunar faces a dual threat: (1) Sunrun’s financial distress could trigger delayed payments, reduced orders, or bankruptcy, causing simultaneous revenue collapse on both Lunar’s hardware and software lines; and (2) Sunrun’s structural preference for Tesla Powerwall hardware means Gridshare’s share of Sunrun’s managed fleet may decline over time even absent financial distress. Together, these create an existential concentration risk that requires urgent diversification.</w:t>
      </w:r>
    </w:p>
    <w:p>
      <w:pPr>
        <w:pStyle w:val="BodyText"/>
      </w:pPr>
      <w:r>
        <w:t xml:space="preserve">SPECIFIC RESEARCH QUESTIONS:</w:t>
      </w:r>
    </w:p>
    <w:p>
      <w:pPr>
        <w:numPr>
          <w:ilvl w:val="0"/>
          <w:numId w:val="1001"/>
        </w:numPr>
      </w:pPr>
      <w:r>
        <w:t xml:space="preserve">What percentage of Lunar’s total revenue (hardware + Gridshare software) is estimated to come from Sunrun? Check Sunrun’s 10-K and proxy statement for related-party transaction disclosures mentioning Lunar Energy, Gridshare, or Moixa. What are the payment terms (net 30, net 60, milestone-based)?</w:t>
      </w:r>
    </w:p>
    <w:p>
      <w:pPr>
        <w:numPr>
          <w:ilvl w:val="0"/>
          <w:numId w:val="1001"/>
        </w:numPr>
      </w:pPr>
      <w:r>
        <w:t xml:space="preserve">What is the current breakdown of Sunrun’s battery installations by brand — Tesla Powerwall vs. Lunar System vs. FranklinWH vs. other? Check Sunrun earnings call transcripts, investor presentations, and California interconnection databases (NEM/SGIP data) that may list battery manufacturer by installer.</w:t>
      </w:r>
    </w:p>
    <w:p>
      <w:pPr>
        <w:numPr>
          <w:ilvl w:val="0"/>
          <w:numId w:val="1001"/>
        </w:numPr>
      </w:pPr>
      <w:r>
        <w:t xml:space="preserve">Has Sunrun filed any SEC disclosures describing governance safeguards for the Lunar relationship — recusal policies for Lynn Jurich, related-party transaction approval processes, or conflict-of-interest protocols? Check Sunrun’s proxy statement (DEF 14A) and corporate governance guidelines.</w:t>
      </w:r>
    </w:p>
    <w:p>
      <w:pPr>
        <w:numPr>
          <w:ilvl w:val="0"/>
          <w:numId w:val="1001"/>
        </w:numPr>
      </w:pPr>
      <w:r>
        <w:t xml:space="preserve">What is Sunrun’s realistic probability of financial distress or restructuring before 2028? Analyze: cash flow generation ($377M operating cash in 2025), debt maturity schedule, ABS (asset-backed securitization) facility availability, and covenant compliance. What happened to third-party technology vendor contracts in the SunPower bankruptcy — were they honored, rejected, or renegotiated?</w:t>
      </w:r>
    </w:p>
    <w:p>
      <w:pPr>
        <w:numPr>
          <w:ilvl w:val="0"/>
          <w:numId w:val="1001"/>
        </w:numPr>
      </w:pPr>
      <w:r>
        <w:t xml:space="preserve">What alternative national distribution channels currently carry or could carry Lunar products? Check Greentech Renewables (formerly CED Greentech), Soligent, BayWa r.e., and other solar/battery distributors for Lunar product listings. What would it take for Lunar to reduce Sunrun concentration below 30% of revenue within 18 months?</w:t>
      </w:r>
    </w:p>
    <w:p>
      <w:pPr>
        <w:pStyle w:val="FirstParagraph"/>
      </w:pPr>
      <w:r>
        <w:t xml:space="preserve">RESEARCH GUIDANCE:</w:t>
      </w:r>
      <w:r>
        <w:t xml:space="preserve"> </w:t>
      </w:r>
      <w:r>
        <w:t xml:space="preserve">- Sunrun SEC filings on EDGAR: 10-K (annual), 10-Q (quarterly), DEF 14A (proxy), 8-K (current reports)</w:t>
      </w:r>
      <w:r>
        <w:t xml:space="preserve"> </w:t>
      </w:r>
      <w:r>
        <w:t xml:space="preserve">- Search Sunrun filings for</w:t>
      </w:r>
      <w:r>
        <w:t xml:space="preserve"> </w:t>
      </w:r>
      <w:r>
        <w:t xml:space="preserve">“</w:t>
      </w:r>
      <w:r>
        <w:t xml:space="preserve">Lunar,</w:t>
      </w:r>
      <w:r>
        <w:t xml:space="preserve">”</w:t>
      </w:r>
      <w:r>
        <w:t xml:space="preserve"> </w:t>
      </w:r>
      <w:r>
        <w:t xml:space="preserve">“</w:t>
      </w:r>
      <w:r>
        <w:t xml:space="preserve">Gridshare,</w:t>
      </w:r>
      <w:r>
        <w:t xml:space="preserve">”</w:t>
      </w:r>
      <w:r>
        <w:t xml:space="preserve"> </w:t>
      </w:r>
      <w:r>
        <w:t xml:space="preserve">“</w:t>
      </w:r>
      <w:r>
        <w:t xml:space="preserve">Moixa,</w:t>
      </w:r>
      <w:r>
        <w:t xml:space="preserve">”</w:t>
      </w:r>
      <w:r>
        <w:t xml:space="preserve"> </w:t>
      </w:r>
      <w:r>
        <w:t xml:space="preserve">“</w:t>
      </w:r>
      <w:r>
        <w:t xml:space="preserve">related party,</w:t>
      </w:r>
      <w:r>
        <w:t xml:space="preserve">”</w:t>
      </w:r>
      <w:r>
        <w:t xml:space="preserve"> </w:t>
      </w:r>
      <w:r>
        <w:t xml:space="preserve">and</w:t>
      </w:r>
      <w:r>
        <w:t xml:space="preserve"> </w:t>
      </w:r>
      <w:r>
        <w:t xml:space="preserve">“</w:t>
      </w:r>
      <w:r>
        <w:t xml:space="preserve">Lynn Jurich</w:t>
      </w:r>
      <w:r>
        <w:t xml:space="preserve">”</w:t>
      </w:r>
      <w:r>
        <w:t xml:space="preserve"> </w:t>
      </w:r>
      <w:r>
        <w:t xml:space="preserve">- Sunrun earnings call transcripts (available via Seeking Alpha, The Motley Fool, or Sunrun IR page)</w:t>
      </w:r>
      <w:r>
        <w:t xml:space="preserve"> </w:t>
      </w:r>
      <w:r>
        <w:t xml:space="preserve">- SunPower bankruptcy docket (Delaware Bankruptcy Court) — treatment of technology vendor contracts</w:t>
      </w:r>
      <w:r>
        <w:t xml:space="preserve"> </w:t>
      </w:r>
      <w:r>
        <w:t xml:space="preserve">- California NEM interconnection database and SGIP database for battery brand data by installer</w:t>
      </w:r>
      <w:r>
        <w:t xml:space="preserve"> </w:t>
      </w:r>
      <w:r>
        <w:t xml:space="preserve">- Credit analysis: Moody’s/S&amp;P ratings on Sunrun debt, CreditSights reports, Bloomberg terminal data if accessible</w:t>
      </w:r>
      <w:r>
        <w:t xml:space="preserve"> </w:t>
      </w:r>
      <w:r>
        <w:t xml:space="preserve">- Solar/battery distributor websites: Greentech Renewables, Soligent, BayWa r.e. — search product catalogs for Lunar</w:t>
      </w:r>
    </w:p>
    <w:p>
      <w:pPr>
        <w:pStyle w:val="BodyText"/>
      </w:pPr>
      <w:r>
        <w:t xml:space="preserve">OUTPUT FORMAT:</w:t>
      </w:r>
      <w:r>
        <w:t xml:space="preserve"> </w:t>
      </w:r>
      <w:r>
        <w:t xml:space="preserve">Structure your response as:</w:t>
      </w:r>
      <w:r>
        <w:t xml:space="preserve"> </w:t>
      </w:r>
      <w:r>
        <w:t xml:space="preserve">1. EVIDENCE FOR THE HYPOTHESIS</w:t>
      </w:r>
      <w:r>
        <w:t xml:space="preserve"> </w:t>
      </w:r>
      <w:r>
        <w:t xml:space="preserve">2. EVIDENCE AGAINST THE HYPOTHESIS</w:t>
      </w:r>
      <w:r>
        <w:t xml:space="preserve"> </w:t>
      </w:r>
      <w:r>
        <w:t xml:space="preserve">3. COMPARABLE EXAMPLES</w:t>
      </w:r>
      <w:r>
        <w:t xml:space="preserve"> </w:t>
      </w:r>
      <w:r>
        <w:t xml:space="preserve">4. FEASIBILITY ASSESSMENT</w:t>
      </w:r>
      <w:r>
        <w:t xml:space="preserve"> </w:t>
      </w:r>
      <w:r>
        <w:t xml:space="preserve">5. MAGNITUDE ESTIMATE</w:t>
      </w:r>
      <w:r>
        <w:t xml:space="preserve"> </w:t>
      </w:r>
      <w:r>
        <w:t xml:space="preserve">6. CONFIDENCE ASSESSMENT</w:t>
      </w:r>
      <w:r>
        <w:t xml:space="preserve"> </w:t>
      </w:r>
      <w:r>
        <w:t xml:space="preserve">7. CITATIONS</w:t>
      </w:r>
    </w:p>
    <w:p>
      <w:pPr>
        <w:pStyle w:val="BodyText"/>
      </w:pPr>
      <w:r>
        <w:t xml:space="preserve">Be specific about what you can and cannot find in SEC filings. Absence of disclosure is itself informative.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2026-02-28T04:44:25Z</dcterms:created>
  <dcterms:modified xsi:type="dcterms:W3CDTF">2026-02-28T04:44:25Z</dcterms:modified>
</cp:coreProperties>
</file>

<file path=docProps/custom.xml><?xml version="1.0" encoding="utf-8"?>
<Properties xmlns="http://schemas.openxmlformats.org/officeDocument/2006/custom-properties" xmlns:vt="http://schemas.openxmlformats.org/officeDocument/2006/docPropsVTypes"/>
</file>