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an energy markets analyst specializing in Japan’s electricity market liberalization and distributed energy resource monetization. You are investigating the revenue potential of Lunar Energy’s Gridshare software platform in Japan as VPP market participation opens in 2026.</w:t>
      </w:r>
    </w:p>
    <w:p>
      <w:pPr>
        <w:pStyle w:val="BodyText"/>
      </w:pPr>
      <w:r>
        <w:t xml:space="preserve">CONTEXT:</w:t>
      </w:r>
      <w:r>
        <w:t xml:space="preserve"> </w:t>
      </w:r>
      <w:r>
        <w:t xml:space="preserve">Lunar Energy (through its UK subsidiary, formerly Moixa Energy) developed the Gridshare software platform, which manages over 35,000 ITOCHU Smart Star residential batteries in Japan — processing 40 billion data points per month. Gridshare has completed VPP demonstration trials with TEPCO, Chubu Electric, Kyushu Electric, and Tohoku Electric, and demonstrated a 48-hour forecasting capability that dispatched 60% more energy than competitor systems in Japanese trials.</w:t>
      </w:r>
    </w:p>
    <w:p>
      <w:pPr>
        <w:pStyle w:val="BodyText"/>
      </w:pPr>
      <w:r>
        <w:t xml:space="preserve">In December 2025, Lunar restructured its Japan operations: rather than operating directly, it took a minority equity stake in GridShare Japan (GSJ), a subsidiary with ITOCHU and Japanese utility co-investors. This means Lunar captures technology licensing revenue and equity upside from GSJ but does not control operations, pricing, or commercial decisions.</w:t>
      </w:r>
    </w:p>
    <w:p>
      <w:pPr>
        <w:pStyle w:val="BodyText"/>
      </w:pPr>
      <w:r>
        <w:t xml:space="preserve">Starting in 2026, Japanese residential distributed energy resources become eligible for transmission-level capacity market and balancing market participation for the first time. METI (Japan’s Ministry of Economy, Trade and Industry) has allocated ¥9 billion (~$58M) in subsidies for battery aggregation. Japan’s capacity market has already held auctions with clearing prices for future delivery years.</w:t>
      </w:r>
    </w:p>
    <w:p>
      <w:pPr>
        <w:pStyle w:val="BodyText"/>
      </w:pPr>
      <w:r>
        <w:t xml:space="preserve">HYPOTHESIS TO INVESTIGATE:</w:t>
      </w:r>
      <w:r>
        <w:t xml:space="preserve"> </w:t>
      </w:r>
      <w:r>
        <w:t xml:space="preserve">The Japan 2026 VPP market opening could generate $5–15M/year in incremental Gridshare licensing revenue within 12–18 months — potentially the fastest-growing and highest-margin revenue line in Lunar’s portfolio. The critical unknown is the licensing terms between Lunar UK and GSJ: if it’s a fixed annual fee negotiated when the fleet was smaller and pre-market-opening, Lunar may be dramatically undercharging for a platform that is about to generate significant commercial revenue.</w:t>
      </w:r>
    </w:p>
    <w:p>
      <w:pPr>
        <w:pStyle w:val="BodyText"/>
      </w:pPr>
      <w:r>
        <w:t xml:space="preserve">SPECIFIC RESEARCH QUESTIONS:</w:t>
      </w:r>
    </w:p>
    <w:p>
      <w:pPr>
        <w:numPr>
          <w:ilvl w:val="0"/>
          <w:numId w:val="1001"/>
        </w:numPr>
      </w:pPr>
      <w:r>
        <w:t xml:space="preserve">What are the specific financial terms of Lunar UK’s technology licensing agreement with GridShare Japan? Check UK Companies House filings for Lunar Energy Limited (formerly Moixa Energy Holdings Limited) — UK companies must disclose related-party transactions and material contracts. Also check ITOCHU Corporation’s annual securities report (yuho) for GSJ-related disclosures.</w:t>
      </w:r>
    </w:p>
    <w:p>
      <w:pPr>
        <w:numPr>
          <w:ilvl w:val="0"/>
          <w:numId w:val="1001"/>
        </w:numPr>
      </w:pPr>
      <w:r>
        <w:t xml:space="preserve">What capacity market clearing prices were observed in Japan’s 2024 and 2025 capacity market auctions (for delivery years 2027–2028)? What revenue per kW/year can a participating residential battery aggregator expect to earn? What are the balancing market (regulation reserve, frequency response) price levels?</w:t>
      </w:r>
    </w:p>
    <w:p>
      <w:pPr>
        <w:numPr>
          <w:ilvl w:val="0"/>
          <w:numId w:val="1001"/>
        </w:numPr>
      </w:pPr>
      <w:r>
        <w:t xml:space="preserve">What is Lunar’s equity percentage in GSJ after the December 2025 restructuring? Who are the other equity investors (which specific Japanese utilities)?</w:t>
      </w:r>
    </w:p>
    <w:p>
      <w:pPr>
        <w:numPr>
          <w:ilvl w:val="0"/>
          <w:numId w:val="1001"/>
        </w:numPr>
      </w:pPr>
      <w:r>
        <w:t xml:space="preserve">How many total residential batteries are projected to participate in Japan’s capacity and balancing markets in 2026–2027? What is Gridshare/GSJ’s estimated market share of the residential battery aggregation market in Japan? Who are the competitors (TEPCO’s own platform, Panasonic, Nichicon)?</w:t>
      </w:r>
    </w:p>
    <w:p>
      <w:pPr>
        <w:numPr>
          <w:ilvl w:val="0"/>
          <w:numId w:val="1001"/>
        </w:numPr>
      </w:pPr>
      <w:r>
        <w:t xml:space="preserve">What is the total addressable market for residential VPP in Japan — how many homes have battery storage, and what is the projected growth rate? How does METI’s ¥9B subsidy program work, and which aggregators are eligible?</w:t>
      </w:r>
    </w:p>
    <w:p>
      <w:pPr>
        <w:pStyle w:val="FirstParagraph"/>
      </w:pPr>
      <w:r>
        <w:t xml:space="preserve">RESEARCH GUIDANCE:</w:t>
      </w:r>
      <w:r>
        <w:t xml:space="preserve"> </w:t>
      </w:r>
      <w:r>
        <w:t xml:space="preserve">- UK Companies House (find-and-update.company-information.service.gov.uk) — search for</w:t>
      </w:r>
      <w:r>
        <w:t xml:space="preserve"> </w:t>
      </w:r>
      <w:r>
        <w:t xml:space="preserve">“</w:t>
      </w:r>
      <w:r>
        <w:t xml:space="preserve">Lunar Energy Limited</w:t>
      </w:r>
      <w:r>
        <w:t xml:space="preserve">”</w:t>
      </w:r>
      <w:r>
        <w:t xml:space="preserve"> </w:t>
      </w:r>
      <w:r>
        <w:t xml:space="preserve">and</w:t>
      </w:r>
      <w:r>
        <w:t xml:space="preserve"> </w:t>
      </w:r>
      <w:r>
        <w:t xml:space="preserve">“</w:t>
      </w:r>
      <w:r>
        <w:t xml:space="preserve">Moixa Energy Holdings Limited</w:t>
      </w:r>
      <w:r>
        <w:t xml:space="preserve">”</w:t>
      </w:r>
      <w:r>
        <w:t xml:space="preserve"> </w:t>
      </w:r>
      <w:r>
        <w:t xml:space="preserve">— download annual accounts and confirmation statements</w:t>
      </w:r>
      <w:r>
        <w:t xml:space="preserve"> </w:t>
      </w:r>
      <w:r>
        <w:t xml:space="preserve">- ITOCHU Corporation investor relations (itochu.co.jp/en/ir/) — annual securities report, integrated report</w:t>
      </w:r>
      <w:r>
        <w:t xml:space="preserve"> </w:t>
      </w:r>
      <w:r>
        <w:t xml:space="preserve">- OCCTO (Organization for Cross-regional Coordination of Transmission Operators, Japan) — capacity market auction results</w:t>
      </w:r>
      <w:r>
        <w:t xml:space="preserve"> </w:t>
      </w:r>
      <w:r>
        <w:t xml:space="preserve">- METI energy policy publications on VPP and DER market participation rules</w:t>
      </w:r>
      <w:r>
        <w:t xml:space="preserve"> </w:t>
      </w:r>
      <w:r>
        <w:t xml:space="preserve">- Japan Electric Power Exchange (JEPX) — balancing market price data</w:t>
      </w:r>
      <w:r>
        <w:t xml:space="preserve"> </w:t>
      </w:r>
      <w:r>
        <w:t xml:space="preserve">- Bloomberg NEF or Wood Mackenzie reports on Japan residential storage market</w:t>
      </w:r>
      <w:r>
        <w:t xml:space="preserve"> </w:t>
      </w:r>
      <w:r>
        <w:t xml:space="preserve">- Search for</w:t>
      </w:r>
      <w:r>
        <w:t xml:space="preserve"> </w:t>
      </w:r>
      <w:r>
        <w:t xml:space="preserve">“</w:t>
      </w:r>
      <w:r>
        <w:t xml:space="preserve">GridShare Japan,</w:t>
      </w:r>
      <w:r>
        <w:t xml:space="preserve">”</w:t>
      </w:r>
      <w:r>
        <w:t xml:space="preserve"> </w:t>
      </w:r>
      <w:r>
        <w:t xml:space="preserve">“</w:t>
      </w:r>
      <w:r>
        <w:t xml:space="preserve">GSJ,</w:t>
      </w:r>
      <w:r>
        <w:t xml:space="preserve">”</w:t>
      </w:r>
      <w:r>
        <w:t xml:space="preserve"> </w:t>
      </w:r>
      <w:r>
        <w:t xml:space="preserve">or</w:t>
      </w:r>
      <w:r>
        <w:t xml:space="preserve"> </w:t>
      </w:r>
      <w:r>
        <w:t xml:space="preserve">“</w:t>
      </w:r>
      <w:r>
        <w:t xml:space="preserve">Moixa Japan</w:t>
      </w:r>
      <w:r>
        <w:t xml:space="preserve">”</w:t>
      </w:r>
      <w:r>
        <w:t xml:space="preserve"> </w:t>
      </w:r>
      <w:r>
        <w:t xml:space="preserve">in Japanese business press (Nikkei, Reuters Japan)</w:t>
      </w:r>
    </w:p>
    <w:p>
      <w:pPr>
        <w:pStyle w:val="BodyText"/>
      </w:pPr>
      <w:r>
        <w:t xml:space="preserve">OUTPUT FORMAT:</w:t>
      </w:r>
      <w:r>
        <w:t xml:space="preserve"> </w:t>
      </w:r>
      <w:r>
        <w:t xml:space="preserve">Structure your response as:</w:t>
      </w:r>
      <w:r>
        <w:t xml:space="preserve"> </w:t>
      </w:r>
      <w:r>
        <w:t xml:space="preserve">1. EVIDENCE FOR THE HYPOTHESIS</w:t>
      </w:r>
      <w:r>
        <w:t xml:space="preserve"> </w:t>
      </w:r>
      <w:r>
        <w:t xml:space="preserve">2. EVIDENCE AGAINST THE HYPOTHESIS</w:t>
      </w:r>
      <w:r>
        <w:t xml:space="preserve"> </w:t>
      </w:r>
      <w:r>
        <w:t xml:space="preserve">3. COMPARABLE EXAMPLES</w:t>
      </w:r>
      <w:r>
        <w:t xml:space="preserve"> </w:t>
      </w:r>
      <w:r>
        <w:t xml:space="preserve">4. FEASIBILITY ASSESSMENT</w:t>
      </w:r>
      <w:r>
        <w:t xml:space="preserve"> </w:t>
      </w:r>
      <w:r>
        <w:t xml:space="preserve">5. MAGNITUDE ESTIMATE</w:t>
      </w:r>
      <w:r>
        <w:t xml:space="preserve"> </w:t>
      </w:r>
      <w:r>
        <w:t xml:space="preserve">6. CONFIDENCE ASSESSMENT</w:t>
      </w:r>
      <w:r>
        <w:t xml:space="preserve"> </w:t>
      </w:r>
      <w:r>
        <w:t xml:space="preserve">7. CITATIONS</w:t>
      </w:r>
    </w:p>
    <w:p>
      <w:pPr>
        <w:pStyle w:val="BodyText"/>
      </w:pPr>
      <w:r>
        <w:t xml:space="preserve">If UK Companies House filings reveal licensing revenue figures, these are high-value data points. Report them precisely.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2026-02-28T04:44:25Z</dcterms:created>
  <dcterms:modified xsi:type="dcterms:W3CDTF">2026-02-28T04:44:25Z</dcterms:modified>
</cp:coreProperties>
</file>

<file path=docProps/custom.xml><?xml version="1.0" encoding="utf-8"?>
<Properties xmlns="http://schemas.openxmlformats.org/officeDocument/2006/custom-properties" xmlns:vt="http://schemas.openxmlformats.org/officeDocument/2006/docPropsVTypes"/>
</file>