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federal energy tax policy analyst and market sizing researcher investigating whether the differential treatment of battery storage vs. solar under recent tax legislation creates a structural advantage for battery-first companies like Lunar Energy.</w:t>
      </w:r>
    </w:p>
    <w:p>
      <w:pPr>
        <w:pStyle w:val="BodyText"/>
      </w:pPr>
      <w:r>
        <w:t xml:space="preserve">CONTEXT:</w:t>
      </w:r>
      <w:r>
        <w:t xml:space="preserve"> </w:t>
      </w:r>
      <w:r>
        <w:t xml:space="preserve">The</w:t>
      </w:r>
      <w:r>
        <w:t xml:space="preserve"> </w:t>
      </w:r>
      <w:r>
        <w:t xml:space="preserve">“</w:t>
      </w:r>
      <w:r>
        <w:t xml:space="preserve">One Big Beautiful Bill Act</w:t>
      </w:r>
      <w:r>
        <w:t xml:space="preserve">”</w:t>
      </w:r>
      <w:r>
        <w:t xml:space="preserve"> </w:t>
      </w:r>
      <w:r>
        <w:t xml:space="preserve">(2025 reconciliation legislation) made significant changes to clean energy tax credits. Reports indicate that Section 25D (the homeowner residential clean energy credit) was eliminated, and Section 48E (the technology-neutral investment tax credit for solar/wind) faces accelerated expiration — potentially ending for solar by end of 2027 for placed-in-service. However, the original IRA schedule for standalone battery energy storage under Section 48E was reportedly preserved through 2033, with phasedown starting 2034.</w:t>
      </w:r>
    </w:p>
    <w:p>
      <w:pPr>
        <w:pStyle w:val="BodyText"/>
      </w:pPr>
      <w:r>
        <w:t xml:space="preserve">If confirmed, this creates a remarkable regulatory asymmetry: for the next 7+ years, the primary federal subsidy for residential clean energy would be the battery storage ITC (30%+ with adders), not solar. Competitors who lead with solar (Enphase’s microinverter ecosystem, SunPower successor entities) would face a contracting subsidy environment, while battery-first companies gain relative advantage.</w:t>
      </w:r>
    </w:p>
    <w:p>
      <w:pPr>
        <w:pStyle w:val="BodyText"/>
      </w:pPr>
      <w:r>
        <w:t xml:space="preserve">Lunar Energy sells a residential battery system (15–30 kWh) with a smart electrical panel, marketed as a home energy management platform. It is designed to work with existing solar or without solar. Lunar’s primary distribution is through third-party ownership (TPO/lease) structures via Sunrun, which would use the Section 48E commercial ITC (not the eliminated 25D homeowner credit).</w:t>
      </w:r>
    </w:p>
    <w:p>
      <w:pPr>
        <w:pStyle w:val="BodyText"/>
      </w:pPr>
      <w:r>
        <w:t xml:space="preserve">HYPOTHESIS TO INVESTIGATE:</w:t>
      </w:r>
      <w:r>
        <w:t xml:space="preserve"> </w:t>
      </w:r>
      <w:r>
        <w:t xml:space="preserve">The battery storage ITC’s preservation through 2033 — while solar ITC expires by 2027 — creates the most underreported regulatory advantage in residential clean energy. Lunar should reposition from</w:t>
      </w:r>
      <w:r>
        <w:t xml:space="preserve"> </w:t>
      </w:r>
      <w:r>
        <w:t xml:space="preserve">“</w:t>
      </w:r>
      <w:r>
        <w:t xml:space="preserve">solar battery system</w:t>
      </w:r>
      <w:r>
        <w:t xml:space="preserve">”</w:t>
      </w:r>
      <w:r>
        <w:t xml:space="preserve"> </w:t>
      </w:r>
      <w:r>
        <w:t xml:space="preserve">to</w:t>
      </w:r>
      <w:r>
        <w:t xml:space="preserve"> </w:t>
      </w:r>
      <w:r>
        <w:t xml:space="preserve">“</w:t>
      </w:r>
      <w:r>
        <w:t xml:space="preserve">battery-first home energy system,</w:t>
      </w:r>
      <w:r>
        <w:t xml:space="preserve">”</w:t>
      </w:r>
      <w:r>
        <w:t xml:space="preserve"> </w:t>
      </w:r>
      <w:r>
        <w:t xml:space="preserve">opening two new customer segments: (a) non-solar homeowners wanting backup power + VPP earnings, and (b) existing solar homeowners (especially NEM 2.0 grandfathered customers) adding battery storage. The addressable market for battery-without-new-solar could be 3–5x larger than the solar+battery segment.</w:t>
      </w:r>
    </w:p>
    <w:p>
      <w:pPr>
        <w:pStyle w:val="BodyText"/>
      </w:pPr>
      <w:r>
        <w:t xml:space="preserve">SPECIFIC RESEARCH QUESTIONS:</w:t>
      </w:r>
    </w:p>
    <w:p>
      <w:pPr>
        <w:numPr>
          <w:ilvl w:val="0"/>
          <w:numId w:val="1001"/>
        </w:numPr>
      </w:pPr>
      <w:r>
        <w:t xml:space="preserve">Confirm the exact legislative text: Does the One Big Beautiful Bill Act preserve Section 48E ITC eligibility for standalone battery energy storage systems through 2033? What are the specific effective dates, phasedown schedule, and any new conditions? Does standalone residential battery (no solar) qualify under 48E when deployed through a TPO/lease structure?</w:t>
      </w:r>
    </w:p>
    <w:p>
      <w:pPr>
        <w:numPr>
          <w:ilvl w:val="0"/>
          <w:numId w:val="1001"/>
        </w:numPr>
      </w:pPr>
      <w:r>
        <w:t xml:space="preserve">What is the total addressable market for standalone residential battery (no new solar) in California? How many homes have existing solar but no battery? Specifically, how large is the NEM 2.0 grandfathered customer base (estimated 1.5M+ homes), and what fraction would benefit economically from adding battery storage while retaining NEM 2.0 rates?</w:t>
      </w:r>
    </w:p>
    <w:p>
      <w:pPr>
        <w:numPr>
          <w:ilvl w:val="0"/>
          <w:numId w:val="1001"/>
        </w:numPr>
      </w:pPr>
      <w:r>
        <w:t xml:space="preserve">Are any competitors currently marketing standalone residential battery products (no solar required) with ITC? Has Tesla, Enphase, FranklinWH, or any other company launched a battery-only product with federal tax credit?</w:t>
      </w:r>
    </w:p>
    <w:p>
      <w:pPr>
        <w:numPr>
          <w:ilvl w:val="0"/>
          <w:numId w:val="1001"/>
        </w:numPr>
      </w:pPr>
      <w:r>
        <w:t xml:space="preserve">What is the economic case for a non-solar homeowner to install a battery system with 30% ITC? Model: a 20 kWh system at $20,000 installed cost, with 30% ITC ($6,000 credit or equivalent TPO benefit), plus VPP earnings of $150–$300/year, plus backup power value. What is the payback period?</w:t>
      </w:r>
    </w:p>
    <w:p>
      <w:pPr>
        <w:numPr>
          <w:ilvl w:val="0"/>
          <w:numId w:val="1001"/>
        </w:numPr>
      </w:pPr>
      <w:r>
        <w:t xml:space="preserve">How does the elimination of Section 25D affect Sunrun’s and other TPOs’ business model? Does eliminating the homeowner credit actually benefit TPO companies (by making the lease/PPA more attractive relative to cash purchase)?</w:t>
      </w:r>
    </w:p>
    <w:p>
      <w:pPr>
        <w:pStyle w:val="FirstParagraph"/>
      </w:pPr>
      <w:r>
        <w:t xml:space="preserve">RESEARCH GUIDANCE:</w:t>
      </w:r>
      <w:r>
        <w:t xml:space="preserve"> </w:t>
      </w:r>
      <w:r>
        <w:t xml:space="preserve">- Full text of the One Big Beautiful Bill Act — search for Sections 48E, 25D, 48, and any battery storage-specific provisions</w:t>
      </w:r>
      <w:r>
        <w:t xml:space="preserve"> </w:t>
      </w:r>
      <w:r>
        <w:t xml:space="preserve">- Congressional Research Service (CRS) summaries of the Act’s energy provisions</w:t>
      </w:r>
      <w:r>
        <w:t xml:space="preserve"> </w:t>
      </w:r>
      <w:r>
        <w:t xml:space="preserve">- IRS guidance on standalone storage eligibility under Section 48E and prior Section 48 (IRS Notice 2023-29, Treasury proposed regulations)</w:t>
      </w:r>
      <w:r>
        <w:t xml:space="preserve"> </w:t>
      </w:r>
      <w:r>
        <w:t xml:space="preserve">- California NEM interconnection database — total NEM 2.0 systems by utility territory</w:t>
      </w:r>
      <w:r>
        <w:t xml:space="preserve"> </w:t>
      </w:r>
      <w:r>
        <w:t xml:space="preserve">- Wood Mackenzie, BNEF, or EIA reports on US residential battery market sizing</w:t>
      </w:r>
      <w:r>
        <w:t xml:space="preserve"> </w:t>
      </w:r>
      <w:r>
        <w:t xml:space="preserve">- Sunrun, Sunnova, and other TPO company 10-K filings — search for discussion of tax credit changes and standalone storage strategy</w:t>
      </w:r>
      <w:r>
        <w:t xml:space="preserve"> </w:t>
      </w:r>
      <w:r>
        <w:t xml:space="preserve">- EnergySage marketplace data on battery-only vs. solar+battery quote volumes</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The legislative confirmation is the critical first step. If the battery ITC is NOT preserved as described, the entire hypothesis collapses — say so clearly.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2026-02-28T04:44:25Z</dcterms:created>
  <dcterms:modified xsi:type="dcterms:W3CDTF">2026-02-28T04:44:25Z</dcterms:modified>
</cp:coreProperties>
</file>

<file path=docProps/custom.xml><?xml version="1.0" encoding="utf-8"?>
<Properties xmlns="http://schemas.openxmlformats.org/officeDocument/2006/custom-properties" xmlns:vt="http://schemas.openxmlformats.org/officeDocument/2006/docPropsVTypes"/>
</file>