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venture capital analyst and corporate finance investigator examining the terms of Lunar Energy’s undisclosed $130M Series C round, which was raised approximately 18–24 months before being publicly acknowledged.</w:t>
      </w:r>
    </w:p>
    <w:p>
      <w:pPr>
        <w:pStyle w:val="BodyText"/>
      </w:pPr>
      <w:r>
        <w:t xml:space="preserve">CONTEXT:</w:t>
      </w:r>
      <w:r>
        <w:t xml:space="preserve"> </w:t>
      </w:r>
      <w:r>
        <w:t xml:space="preserve">Lunar Energy raised a $130M Series C round led by Activate Capital in approximately 2024. This round was not publicly announced at the time and was only disclosed in February 2026 alongside the announcement of a $232M Series D (led by Fifth Wall and Valor Equity Partners). The total capital raised is $532M across all rounds: early rounds, a $300M strategic round from Sunrun and SK Group, the $130M Series C, and the $232M Series D.</w:t>
      </w:r>
    </w:p>
    <w:p>
      <w:pPr>
        <w:pStyle w:val="BodyText"/>
      </w:pPr>
      <w:r>
        <w:t xml:space="preserve">The delayed disclosure is unusual — $130M venture rounds are typically announced promptly for competitive signaling, recruitment, and customer confidence. CEO Kunal Girotra described the company as</w:t>
      </w:r>
      <w:r>
        <w:t xml:space="preserve"> </w:t>
      </w:r>
      <w:r>
        <w:t xml:space="preserve">“</w:t>
      </w:r>
      <w:r>
        <w:t xml:space="preserve">approaching a $1 billion valuation</w:t>
      </w:r>
      <w:r>
        <w:t xml:space="preserve">”</w:t>
      </w:r>
      <w:r>
        <w:t xml:space="preserve"> </w:t>
      </w:r>
      <w:r>
        <w:t xml:space="preserve">at the Series D. For a company that has raised $532M total,</w:t>
      </w:r>
      <w:r>
        <w:t xml:space="preserve"> </w:t>
      </w:r>
      <w:r>
        <w:t xml:space="preserve">“</w:t>
      </w:r>
      <w:r>
        <w:t xml:space="preserve">approaching $1 billion</w:t>
      </w:r>
      <w:r>
        <w:t xml:space="preserve">”</w:t>
      </w:r>
      <w:r>
        <w:t xml:space="preserve"> </w:t>
      </w:r>
      <w:r>
        <w:t xml:space="preserve">implies a post-money valuation only modestly above total capital deployed — suggesting limited valuation premium. If the $300M Sunrun/SK strategic round was at an implied $900M–$1.1B post-money (typical for a strategic round of that size), then a Series C at $550–650M post-money would represent a 40–50% down round — explaining both the non-announcement and the CEO’s careful valuation language.</w:t>
      </w:r>
    </w:p>
    <w:p>
      <w:pPr>
        <w:pStyle w:val="BodyText"/>
      </w:pPr>
      <w:r>
        <w:t xml:space="preserve">Activate Capital is a climate-focused growth equity firm actively raising its third fund, creating pressure to demonstrate returns on existing portfolio investments.</w:t>
      </w:r>
    </w:p>
    <w:p>
      <w:pPr>
        <w:pStyle w:val="BodyText"/>
      </w:pPr>
      <w:r>
        <w:t xml:space="preserve">HYPOTHESIS TO INVESTIGATE:</w:t>
      </w:r>
      <w:r>
        <w:t xml:space="preserve"> </w:t>
      </w:r>
      <w:r>
        <w:t xml:space="preserve">The Series C was likely raised at a flat or down valuation relative to prior rounds, potentially triggering anti-dilution protections for Sunrun/SK and requiring Activate to negotiate protective provisions (ratchets, liquidation preference multiples, board seats) that constrain management flexibility. Understanding these terms is critical for assessing Lunar’s true equity value, minimum viable exit price, and governance dynamics.</w:t>
      </w:r>
    </w:p>
    <w:p>
      <w:pPr>
        <w:pStyle w:val="BodyText"/>
      </w:pPr>
      <w:r>
        <w:t xml:space="preserve">SPECIFIC RESEARCH QUESTIONS:</w:t>
      </w:r>
    </w:p>
    <w:p>
      <w:pPr>
        <w:numPr>
          <w:ilvl w:val="0"/>
          <w:numId w:val="1001"/>
        </w:numPr>
      </w:pPr>
      <w:r>
        <w:t xml:space="preserve">What was the actual pre-money and post-money valuation of the Series C? Check: (a) Delaware Secretary of State Division of Corporations for Lunar Energy Inc. certificate of incorporation amendments — changes in authorized share count or new series designations may reveal pricing; (b) secondary market platforms (Forge Global, EquityZen, Hiive, Carta) for any Lunar Energy shares offered at specific prices per share; (c) PitchBook, Crunchbase, CB Insights for any valuation estimates.</w:t>
      </w:r>
    </w:p>
    <w:p>
      <w:pPr>
        <w:numPr>
          <w:ilvl w:val="0"/>
          <w:numId w:val="1001"/>
        </w:numPr>
      </w:pPr>
      <w:r>
        <w:t xml:space="preserve">What are Activate Capital’s standard investment terms for growth equity deals? Check Activate Capital’s website, portfolio company announcements, and any publicly available term sheet information. Do they typically require participating preferred, liquidation preference multiples &gt;1x, anti-dilution ratchets, or milestone-based tranching?</w:t>
      </w:r>
    </w:p>
    <w:p>
      <w:pPr>
        <w:numPr>
          <w:ilvl w:val="0"/>
          <w:numId w:val="1001"/>
        </w:numPr>
      </w:pPr>
      <w:r>
        <w:t xml:space="preserve">Did the Series C trigger weighted-average or full-ratchet anti-dilution adjustments for prior preferred holders (Sunrun, SK Group)? This can sometimes be inferred from changes in authorized share counts filed with Delaware.</w:t>
      </w:r>
    </w:p>
    <w:p>
      <w:pPr>
        <w:numPr>
          <w:ilvl w:val="0"/>
          <w:numId w:val="1001"/>
        </w:numPr>
      </w:pPr>
      <w:r>
        <w:t xml:space="preserve">What is Lunar Energy’s approximate fully diluted share count and employee option pool size? Check: Delaware incorporation filings, Glassdoor/Levels.fyi for equity compensation data points, LinkedIn headcount to estimate option pool.</w:t>
      </w:r>
    </w:p>
    <w:p>
      <w:pPr>
        <w:numPr>
          <w:ilvl w:val="0"/>
          <w:numId w:val="1001"/>
        </w:numPr>
      </w:pPr>
      <w:r>
        <w:t xml:space="preserve">What does the Series D at</w:t>
      </w:r>
      <w:r>
        <w:t xml:space="preserve"> </w:t>
      </w:r>
      <w:r>
        <w:t xml:space="preserve">“</w:t>
      </w:r>
      <w:r>
        <w:t xml:space="preserve">approaching $1 billion</w:t>
      </w:r>
      <w:r>
        <w:t xml:space="preserve">”</w:t>
      </w:r>
      <w:r>
        <w:t xml:space="preserve"> </w:t>
      </w:r>
      <w:r>
        <w:t xml:space="preserve">imply about the Series C valuation? If the Series D post-money is $900M–$1B, and the Series D raised $232M, then pre-money was $668–768M. How does this constrain the range of possible Series C valuations?</w:t>
      </w:r>
    </w:p>
    <w:p>
      <w:pPr>
        <w:pStyle w:val="FirstParagraph"/>
      </w:pPr>
      <w:r>
        <w:t xml:space="preserve">RESEARCH GUIDANCE:</w:t>
      </w:r>
      <w:r>
        <w:t xml:space="preserve"> </w:t>
      </w:r>
      <w:r>
        <w:t xml:space="preserve">- Delaware Division of Corporations (icis.corp.delaware.gov) — search for Lunar Energy Inc. filings, certificates of amendment, certificates of designation</w:t>
      </w:r>
      <w:r>
        <w:t xml:space="preserve"> </w:t>
      </w:r>
      <w:r>
        <w:t xml:space="preserve">- Forge Global (forgeglobal.com), EquityZen (equityzen.com), Hiive — search for Lunar Energy secondary market activity</w:t>
      </w:r>
      <w:r>
        <w:t xml:space="preserve"> </w:t>
      </w:r>
      <w:r>
        <w:t xml:space="preserve">- PitchBook (if accessible) — Lunar Energy company profile for round-by-round valuations</w:t>
      </w:r>
      <w:r>
        <w:t xml:space="preserve"> </w:t>
      </w:r>
      <w:r>
        <w:t xml:space="preserve">- Crunchbase — funding round details and investor lists</w:t>
      </w:r>
      <w:r>
        <w:t xml:space="preserve"> </w:t>
      </w:r>
      <w:r>
        <w:t xml:space="preserve">- Activate Capital Partners website — portfolio page, team bios, investment philosophy</w:t>
      </w:r>
      <w:r>
        <w:t xml:space="preserve"> </w:t>
      </w:r>
      <w:r>
        <w:t xml:space="preserve">- Fifth Wall and Valor Equity Partners — check their fund documentation or portfolio announcements for any Lunar valuation references</w:t>
      </w:r>
      <w:r>
        <w:t xml:space="preserve"> </w:t>
      </w:r>
      <w:r>
        <w:t xml:space="preserve">- SEC EDGAR — check for any Form D filings by Lunar Energy (required for private placement exemptions), which may disclose amount raised and date</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Be transparent about what can and cannot be determined from public filings. If the data is simply unavailable, say so and explain what it would take to obtain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