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You are a utility procurement analyst and distributed energy resource (DER) market strategist investigating whether Lunar Energy could bypass its installer channel constraint by selling directly to utilities through white-label battery programs.</w:t>
      </w:r>
    </w:p>
    <w:p>
      <w:pPr>
        <w:pStyle w:val="BodyText"/>
      </w:pPr>
      <w:r>
        <w:t xml:space="preserve">CONTEXT:</w:t>
      </w:r>
      <w:r>
        <w:t xml:space="preserve"> </w:t>
      </w:r>
      <w:r>
        <w:t xml:space="preserve">Multiple US utilities are actively building</w:t>
      </w:r>
      <w:r>
        <w:t xml:space="preserve"> </w:t>
      </w:r>
      <w:r>
        <w:t xml:space="preserve">“</w:t>
      </w:r>
      <w:r>
        <w:t xml:space="preserve">utility-owned DER</w:t>
      </w:r>
      <w:r>
        <w:t xml:space="preserve">”</w:t>
      </w:r>
      <w:r>
        <w:t xml:space="preserve"> </w:t>
      </w:r>
      <w:r>
        <w:t xml:space="preserve">programs — procuring thousands of residential battery systems under multi-year contracts for installation in customer homes. These programs are driven by grid reliability needs, capacity deferral economics, and regulatory mandates. Key examples include:</w:t>
      </w:r>
    </w:p>
    <w:p>
      <w:pPr>
        <w:numPr>
          <w:ilvl w:val="0"/>
          <w:numId w:val="1001"/>
        </w:numPr>
        <w:pStyle w:val="Compact"/>
      </w:pPr>
      <w:r>
        <w:t xml:space="preserve">Dominion Energy Virginia: mandated 450 MW VPP pilot as part of Virginia Clean Economy Act compliance</w:t>
      </w:r>
    </w:p>
    <w:p>
      <w:pPr>
        <w:numPr>
          <w:ilvl w:val="0"/>
          <w:numId w:val="1001"/>
        </w:numPr>
        <w:pStyle w:val="Compact"/>
      </w:pPr>
      <w:r>
        <w:t xml:space="preserve">Georgia Power: DER procurement programs as part of its integrated resource plan</w:t>
      </w:r>
    </w:p>
    <w:p>
      <w:pPr>
        <w:numPr>
          <w:ilvl w:val="0"/>
          <w:numId w:val="1001"/>
        </w:numPr>
        <w:pStyle w:val="Compact"/>
      </w:pPr>
      <w:r>
        <w:t xml:space="preserve">PG&amp;E: SAVE (Savings and Value for Everyone) program expansion in California</w:t>
      </w:r>
    </w:p>
    <w:p>
      <w:pPr>
        <w:numPr>
          <w:ilvl w:val="0"/>
          <w:numId w:val="1001"/>
        </w:numPr>
        <w:pStyle w:val="Compact"/>
      </w:pPr>
      <w:r>
        <w:t xml:space="preserve">NRG Energy: Texas VPP initiative leveraging its retail electricity customer base</w:t>
      </w:r>
    </w:p>
    <w:p>
      <w:pPr>
        <w:numPr>
          <w:ilvl w:val="0"/>
          <w:numId w:val="1001"/>
        </w:numPr>
        <w:pStyle w:val="Compact"/>
      </w:pPr>
      <w:r>
        <w:t xml:space="preserve">Green Mountain Power (Vermont): pioneering utility-owned residential battery program (Tesla Powerwalls)</w:t>
      </w:r>
    </w:p>
    <w:p>
      <w:pPr>
        <w:pStyle w:val="FirstParagraph"/>
      </w:pPr>
      <w:r>
        <w:t xml:space="preserve">Lunar Energy’s competitive advantages for utility procurement are significant: (a) domestic content compliance and FEOC-free status are essential for regulated utility tax credit qualification, (b) the Gridshare VPP platform is already purpose-built for utility dispatch, (c) Lunar already manages utility VPP programs through Gridshare for California CCAs, and (d) the Lunar System’s 15–30 kWh modular design and smart panel integration appeal to utility planners seeking whole-home backup capability.</w:t>
      </w:r>
    </w:p>
    <w:p>
      <w:pPr>
        <w:pStyle w:val="BodyText"/>
      </w:pPr>
      <w:r>
        <w:t xml:space="preserve">No evidence exists of a Lunar white-label utility program. The company appears entirely focused on the installer channel (via Sunrun and ~40 independent partners).</w:t>
      </w:r>
    </w:p>
    <w:p>
      <w:pPr>
        <w:pStyle w:val="BodyText"/>
      </w:pPr>
      <w:r>
        <w:t xml:space="preserve">HYPOTHESIS TO INVESTIGATE:</w:t>
      </w:r>
      <w:r>
        <w:t xml:space="preserve"> </w:t>
      </w:r>
      <w:r>
        <w:t xml:space="preserve">A</w:t>
      </w:r>
      <w:r>
        <w:t xml:space="preserve"> </w:t>
      </w:r>
      <w:r>
        <w:t xml:space="preserve">“</w:t>
      </w:r>
      <w:r>
        <w:t xml:space="preserve">Lunar for Utilities</w:t>
      </w:r>
      <w:r>
        <w:t xml:space="preserve">”</w:t>
      </w:r>
      <w:r>
        <w:t xml:space="preserve"> </w:t>
      </w:r>
      <w:r>
        <w:t xml:space="preserve">white-label program — standard Lunar hardware under the utility’s brand, pre-integrated with Gridshare — could deliver 10,000–30,000 units/year from a single channel. This would provide contracted multi-year volumes, utility-grade credit quality, guaranteed Gridshare deployment, and independence from the installer channel bottleneck. The Virginia 450 MW mandate alone, if fulfilled with 20 kWh Lunar Systems, represents 22,500 units.</w:t>
      </w:r>
    </w:p>
    <w:p>
      <w:pPr>
        <w:pStyle w:val="BodyText"/>
      </w:pPr>
      <w:r>
        <w:t xml:space="preserve">SPECIFIC RESEARCH QUESTIONS:</w:t>
      </w:r>
    </w:p>
    <w:p>
      <w:pPr>
        <w:numPr>
          <w:ilvl w:val="0"/>
          <w:numId w:val="1002"/>
        </w:numPr>
      </w:pPr>
      <w:r>
        <w:t xml:space="preserve">What is the timeline and procurement process for Dominion Energy Virginia’s 450 MW VPP pilot? Has an RFP been issued? What are the technical, financial, and domestic content requirements? What hardware/software vendors are likely bidding?</w:t>
      </w:r>
    </w:p>
    <w:p>
      <w:pPr>
        <w:numPr>
          <w:ilvl w:val="0"/>
          <w:numId w:val="1002"/>
        </w:numPr>
      </w:pPr>
      <w:r>
        <w:t xml:space="preserve">Which other US utilities have issued or plan to issue RFPs for residential battery systems for utility-owned or utility-managed DER programs in 2025–2027? Search regulatory filings (IRP dockets, rate cases, grid modernization dockets) in Virginia, California, Texas, Vermont, Illinois, Maryland, and New York.</w:t>
      </w:r>
    </w:p>
    <w:p>
      <w:pPr>
        <w:numPr>
          <w:ilvl w:val="0"/>
          <w:numId w:val="1002"/>
        </w:numPr>
      </w:pPr>
      <w:r>
        <w:t xml:space="preserve">What are the typical commercial terms for residential battery procurement by utilities? Do utilities purchase hardware outright, or is it structured as a managed service/lease? What margins do hardware suppliers achieve on utility bulk contracts (compared to retail installer channel ASP)?</w:t>
      </w:r>
    </w:p>
    <w:p>
      <w:pPr>
        <w:numPr>
          <w:ilvl w:val="0"/>
          <w:numId w:val="1002"/>
        </w:numPr>
      </w:pPr>
      <w:r>
        <w:t xml:space="preserve">Which competitors have existing utility white-label programs, and at what scale? Focus on: Green Mountain Power’s Tesla Powerwall program (how many units, what terms?), sonnen’s utility partnerships, Generac’s utility programs. What lessons can be drawn from their experience?</w:t>
      </w:r>
    </w:p>
    <w:p>
      <w:pPr>
        <w:numPr>
          <w:ilvl w:val="0"/>
          <w:numId w:val="1002"/>
        </w:numPr>
      </w:pPr>
      <w:r>
        <w:t xml:space="preserve">What are the minimum scale, manufacturing capability, and financial strength requirements for a utility to consider a battery supplier? Would Lunar’s current production volume (~2,000 units cumulative) disqualify it from large utility RFPs? Is there a minimum track record threshold?</w:t>
      </w:r>
    </w:p>
    <w:p>
      <w:pPr>
        <w:pStyle w:val="FirstParagraph"/>
      </w:pPr>
      <w:r>
        <w:t xml:space="preserve">RESEARCH GUIDANCE:</w:t>
      </w:r>
      <w:r>
        <w:t xml:space="preserve"> </w:t>
      </w:r>
      <w:r>
        <w:t xml:space="preserve">- Virginia State Corporation Commission (SCC) dockets — search for Dominion Energy Virginia DER/VPP proceedings</w:t>
      </w:r>
      <w:r>
        <w:t xml:space="preserve"> </w:t>
      </w:r>
      <w:r>
        <w:t xml:space="preserve">- CPUC dockets — PG&amp;E SAVE program details and battery procurement specifications</w:t>
      </w:r>
      <w:r>
        <w:t xml:space="preserve"> </w:t>
      </w:r>
      <w:r>
        <w:t xml:space="preserve">- PUCT dockets — Texas utility DER program filings</w:t>
      </w:r>
      <w:r>
        <w:t xml:space="preserve"> </w:t>
      </w:r>
      <w:r>
        <w:t xml:space="preserve">- Green Mountain Power press releases and regulatory filings (Vermont PUC) — their Tesla Powerwall program is the most mature utility-owned residential battery program in the US</w:t>
      </w:r>
      <w:r>
        <w:t xml:space="preserve"> </w:t>
      </w:r>
      <w:r>
        <w:t xml:space="preserve">- Utility IRP (Integrated Resource Plan) filings — these often contain DER procurement targets</w:t>
      </w:r>
      <w:r>
        <w:t xml:space="preserve"> </w:t>
      </w:r>
      <w:r>
        <w:t xml:space="preserve">- SEPA (Smart Electric Power Alliance) utility DER program database</w:t>
      </w:r>
      <w:r>
        <w:t xml:space="preserve"> </w:t>
      </w:r>
      <w:r>
        <w:t xml:space="preserve">- GTM Research / Wood Mackenzie reports on utility DER procurement</w:t>
      </w:r>
      <w:r>
        <w:t xml:space="preserve"> </w:t>
      </w:r>
      <w:r>
        <w:t xml:space="preserve">- RFP databases (utilityproducts.com, powermag.com) for active battery storage RFPs</w:t>
      </w:r>
      <w:r>
        <w:t xml:space="preserve"> </w:t>
      </w:r>
      <w:r>
        <w:t xml:space="preserve">- Dominion Energy investor presentations — VPP and DER strategy slides</w:t>
      </w:r>
    </w:p>
    <w:p>
      <w:pPr>
        <w:pStyle w:val="BodyText"/>
      </w:pPr>
      <w:r>
        <w:t xml:space="preserve">OUTPUT FORMAT:</w:t>
      </w:r>
      <w:r>
        <w:t xml:space="preserve"> </w:t>
      </w:r>
      <w:r>
        <w:t xml:space="preserve">Structure your response as:</w:t>
      </w:r>
      <w:r>
        <w:t xml:space="preserve"> </w:t>
      </w:r>
      <w:r>
        <w:t xml:space="preserve">1. EVIDENCE FOR THE HYPOTHESIS</w:t>
      </w:r>
      <w:r>
        <w:t xml:space="preserve"> </w:t>
      </w:r>
      <w:r>
        <w:t xml:space="preserve">2. EVIDENCE AGAINST THE HYPOTHESIS</w:t>
      </w:r>
      <w:r>
        <w:t xml:space="preserve"> </w:t>
      </w:r>
      <w:r>
        <w:t xml:space="preserve">3. COMPARABLE EXAMPLES</w:t>
      </w:r>
      <w:r>
        <w:t xml:space="preserve"> </w:t>
      </w:r>
      <w:r>
        <w:t xml:space="preserve">4. FEASIBILITY ASSESSMENT</w:t>
      </w:r>
      <w:r>
        <w:t xml:space="preserve"> </w:t>
      </w:r>
      <w:r>
        <w:t xml:space="preserve">5. MAGNITUDE ESTIMATE</w:t>
      </w:r>
      <w:r>
        <w:t xml:space="preserve"> </w:t>
      </w:r>
      <w:r>
        <w:t xml:space="preserve">6. CONFIDENCE ASSESSMENT</w:t>
      </w:r>
      <w:r>
        <w:t xml:space="preserve"> </w:t>
      </w:r>
      <w:r>
        <w:t xml:space="preserve">7. CITATIONS</w:t>
      </w:r>
    </w:p>
    <w:p>
      <w:pPr>
        <w:pStyle w:val="BodyText"/>
      </w:pPr>
      <w:r>
        <w:t xml:space="preserve">Focus on identifying specific, named RFP opportunities with timelines. A concrete list of</w:t>
      </w:r>
      <w:r>
        <w:t xml:space="preserve"> </w:t>
      </w:r>
      <w:r>
        <w:t xml:space="preserve">“</w:t>
      </w:r>
      <w:r>
        <w:t xml:space="preserve">these 5 utilities are issuing battery RFPs in the next 12 months</w:t>
      </w:r>
      <w:r>
        <w:t xml:space="preserve">”</w:t>
      </w:r>
      <w:r>
        <w:t xml:space="preserve"> </w:t>
      </w:r>
      <w:r>
        <w:t xml:space="preserve">is more valuable than general market sizing.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2026-02-28T04:44:25Z</dcterms:created>
  <dcterms:modified xsi:type="dcterms:W3CDTF">2026-02-28T04:44:25Z</dcterms:modified>
</cp:coreProperties>
</file>

<file path=docProps/custom.xml><?xml version="1.0" encoding="utf-8"?>
<Properties xmlns="http://schemas.openxmlformats.org/officeDocument/2006/custom-properties" xmlns:vt="http://schemas.openxmlformats.org/officeDocument/2006/docPropsVTypes"/>
</file>