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a senior insurtech strategist with deep expertise in parametric insurance products and IoT-driven risk modeling, investigating whether Lunar Energy’s Gridshare platform and installed battery fleet could generate a material new revenue stream—and a powerful customer acquisition tool—through partnerships with homeowner insurance companies.</w:t>
      </w:r>
    </w:p>
    <w:p>
      <w:pPr>
        <w:pStyle w:val="BodyText"/>
      </w:pPr>
      <w:r>
        <w:t xml:space="preserve">CONTEXT:</w:t>
      </w:r>
      <w:r>
        <w:t xml:space="preserve"> </w:t>
      </w:r>
      <w:r>
        <w:t xml:space="preserve">Lunar Energy’s Gridshare platform manages approximately 150,000 devices across three continents, processing 40 billion data points monthly from residential battery systems. Each Gridshare-connected home generates continuous, real-time data on grid voltage quality, power consumption patterns, battery state-of-charge, outage frequency and duration, electrical load behavior, and solar generation. Lunar’s Bridge smart electrical panel sits between the utility meter and every circuit in the home, providing granular visibility into the home’s electrical system health. Separately, Lunar’s battery systems provide backup power during outages—eliminating the need for portable generators (which cause ~900 house fires and ~100 carbon monoxide deaths annually in the US), maintaining heating during cold snaps (preventing frozen pipe claims averaging $11,000), preserving refrigeration (reducing food spoilage claims), and keeping sump pumps running (preventing water damage claims averaging $12,500). None of this risk-reduction data is currently being monetized outside the energy vertical.</w:t>
      </w:r>
    </w:p>
    <w:p>
      <w:pPr>
        <w:pStyle w:val="BodyText"/>
      </w:pPr>
      <w:r>
        <w:t xml:space="preserve">HYPOTHESIS TO INVESTIGATE:</w:t>
      </w:r>
      <w:r>
        <w:t xml:space="preserve"> </w:t>
      </w:r>
      <w:r>
        <w:t xml:space="preserve">Progressive Insurance’s</w:t>
      </w:r>
      <w:r>
        <w:t xml:space="preserve"> </w:t>
      </w:r>
      <w:r>
        <w:t xml:space="preserve">“</w:t>
      </w:r>
      <w:r>
        <w:t xml:space="preserve">Snapshot</w:t>
      </w:r>
      <w:r>
        <w:t xml:space="preserve">”</w:t>
      </w:r>
      <w:r>
        <w:t xml:space="preserve"> </w:t>
      </w:r>
      <w:r>
        <w:t xml:space="preserve">telematics program transformed auto insurance by turning customer vehicles into risk-assessment sensors, generating $5B+ in premium influenced by driving behavior data. Whisker Labs’</w:t>
      </w:r>
      <w:r>
        <w:t xml:space="preserve"> </w:t>
      </w:r>
      <w:r>
        <w:t xml:space="preserve">“</w:t>
      </w:r>
      <w:r>
        <w:t xml:space="preserve">Ting</w:t>
      </w:r>
      <w:r>
        <w:t xml:space="preserve">”</w:t>
      </w:r>
      <w:r>
        <w:t xml:space="preserve"> </w:t>
      </w:r>
      <w:r>
        <w:t xml:space="preserve">electrical fire prevention sensor is distributed FREE to homeowners by insurers like Hartford Steam Boiler (Munich Re) and State Farm because the sensor’s fire prevention value exceeds its cost. Tesla Insurance uses vehicle telemetry to price auto policies. Lunar Energy could replicate this model in homeowner insurance: Gridshare’s existing data stream—requiring NO additional hardware—could be packaged as a risk-scoring product for insurers, enabling premium discounts of $200–$500/year for Gridshare-monitored homes. This discount becomes a customer acquisition tool (reducing the effective cost of Lunar ownership) while generating $50–150/home/year in data licensing fees from insurers. At 150,000 current devices: $7.5–22.5M/year. At 500,000 devices: $25–75M/year. The insurance partnership could also subsidize Gridshare enrollment for non-Lunar battery owners (expanding the software fleet at insurer expense), mirroring how Whisker Labs gets State Farm to pay for sensor distribution.</w:t>
      </w:r>
    </w:p>
    <w:p>
      <w:pPr>
        <w:pStyle w:val="BodyText"/>
      </w:pPr>
      <w:r>
        <w:t xml:space="preserve">SPECIFIC RESEARCH QUESTIONS:</w:t>
      </w:r>
      <w:r>
        <w:t xml:space="preserve"> </w:t>
      </w:r>
      <w:r>
        <w:t xml:space="preserve">1. What specific data does Gridshare currently collect that maps to homeowner insurance loss categories (electrical fire, water damage from pipe burst, generator fire/CO poisoning, food spoilage, HVAC failure)? Can Lunar’s Bridge panel detect electrical fault signatures (arc faults, ground faults, overloaded circuits) that predict fire risk?</w:t>
      </w:r>
      <w:r>
        <w:t xml:space="preserve"> </w:t>
      </w:r>
      <w:r>
        <w:t xml:space="preserve">2. How exactly did Whisker Labs structure its insurance partnerships—who pays whom, what data is shared, what are the unit economics per sensor per year? What premium reductions do State Farm and Hartford Steam Boiler offer for Ting-equipped homes? How did Progressive Snapshot evolve from a data collection tool to a pricing tool to a competitive moat?</w:t>
      </w:r>
      <w:r>
        <w:t xml:space="preserve"> </w:t>
      </w:r>
      <w:r>
        <w:t xml:space="preserve">3. What is the total addressable market for battery-equipped home insurance products? How many of the ~80 million US single-family homeowners pay &gt;$2,000/year in property insurance and would value a $200–500 discount? What is the combined annual homeowner insurance claims total related to power outage consequences (frozen pipes, generator fires, food spoilage, sump pump failure)?</w:t>
      </w:r>
      <w:r>
        <w:t xml:space="preserve"> </w:t>
      </w:r>
      <w:r>
        <w:t xml:space="preserve">4. Does Gridshare’s existing data pipeline and API architecture support real-time data sharing with insurance platforms? What data privacy/regulatory requirements (state insurance commission rules, CCPA/state privacy laws) govern sharing home energy data with insurers? Could Lunar offer this as an opt-in program similar to Progressive Snapshot?</w:t>
      </w:r>
      <w:r>
        <w:t xml:space="preserve"> </w:t>
      </w:r>
      <w:r>
        <w:t xml:space="preserve">5. What would prevent this from working? Would insurers view battery systems as an additional fire/chemical hazard rather than a risk reducer? Do existing UL 9540A testing requirements and local fire codes create a negative insurance signal? Would homeowners resist sharing energy data with insurers?</w:t>
      </w:r>
    </w:p>
    <w:p>
      <w:pPr>
        <w:pStyle w:val="BodyText"/>
      </w:pPr>
      <w:r>
        <w:t xml:space="preserve">RESEARCH GUIDANCE:</w:t>
      </w:r>
      <w:r>
        <w:t xml:space="preserve"> </w:t>
      </w:r>
      <w:r>
        <w:t xml:space="preserve">- Investigate Whisker Labs (Ting): their Hartford Steam Boiler partnership economics, State Farm distribution deal, per-sensor revenue model, and claims reduction data</w:t>
      </w:r>
      <w:r>
        <w:t xml:space="preserve"> </w:t>
      </w:r>
      <w:r>
        <w:t xml:space="preserve">- Research Progressive Snapshot unit economics: cost per device, data monetization value per driver, premium impact</w:t>
      </w:r>
      <w:r>
        <w:t xml:space="preserve"> </w:t>
      </w:r>
      <w:r>
        <w:t xml:space="preserve">- Examine Tesla Insurance: how vehicle telemetry is used for home insurance (Tesla has expanded into homeowner coverage)</w:t>
      </w:r>
      <w:r>
        <w:t xml:space="preserve"> </w:t>
      </w:r>
      <w:r>
        <w:t xml:space="preserve">- Look at Hippo Insurance’s smart home device discount program: which devices qualify, what discount levels</w:t>
      </w:r>
      <w:r>
        <w:t xml:space="preserve"> </w:t>
      </w:r>
      <w:r>
        <w:t xml:space="preserve">- Search for any existing battery storage + insurance partnerships (sonnen, Tesla Powerwall, Generac)</w:t>
      </w:r>
      <w:r>
        <w:t xml:space="preserve"> </w:t>
      </w:r>
      <w:r>
        <w:t xml:space="preserve">- Check NFPA fire statistics on generator-related fires and deaths during outages</w:t>
      </w:r>
      <w:r>
        <w:t xml:space="preserve"> </w:t>
      </w:r>
      <w:r>
        <w:t xml:space="preserve">- Research Insurance Institute for Business &amp; Home Safety (IBHS) standards for resilient homes</w:t>
      </w:r>
      <w:r>
        <w:t xml:space="preserve"> </w:t>
      </w:r>
      <w:r>
        <w:t xml:space="preserve">- Look at Fannie Mae’s energy-efficient mortgage programs (which already factor home energy systems into underwriting)</w:t>
      </w:r>
      <w:r>
        <w:t xml:space="preserve"> </w:t>
      </w:r>
      <w:r>
        <w:t xml:space="preserve">- Investigate California FAIR Plan and wildfire insurance crisis—battery backup during PSPS events as a risk-reduction tool</w:t>
      </w:r>
    </w:p>
    <w:p>
      <w:pPr>
        <w:pStyle w:val="BodyText"/>
      </w:pPr>
      <w:r>
        <w:t xml:space="preserve">OUTPUT FORMAT:</w:t>
      </w:r>
      <w:r>
        <w:t xml:space="preserve"> </w:t>
      </w:r>
      <w:r>
        <w:t xml:space="preserve">1. EVIDENCE FOR THE HYPOTHESIS</w:t>
      </w:r>
      <w:r>
        <w:t xml:space="preserve"> </w:t>
      </w:r>
      <w:r>
        <w:t xml:space="preserve">2. EVIDENCE AGAINST THE HYPOTHESIS</w:t>
      </w:r>
      <w:r>
        <w:t xml:space="preserve"> </w:t>
      </w:r>
      <w:r>
        <w:t xml:space="preserve">3. COMPARABLE EXAMPLES (prioritize Whisker Labs/Ting, Progressive Snapshot, Tesla Insurance, Hippo)</w:t>
      </w:r>
      <w:r>
        <w:t xml:space="preserve"> </w:t>
      </w:r>
      <w:r>
        <w:t xml:space="preserve">4. FEASIBILITY ASSESSMENT</w:t>
      </w:r>
      <w:r>
        <w:t xml:space="preserve"> </w:t>
      </w:r>
      <w:r>
        <w:t xml:space="preserve">5. MAGNITUDE ESTIMATE</w:t>
      </w:r>
      <w:r>
        <w:t xml:space="preserve"> </w:t>
      </w:r>
      <w:r>
        <w:t xml:space="preserve">6. CONFIDENCE ASSESSMENT</w:t>
      </w:r>
      <w:r>
        <w:t xml:space="preserve"> </w:t>
      </w:r>
      <w:r>
        <w:t xml:space="preserve">7. CITATIONS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2026-02-28T06:01:29Z</dcterms:created>
  <dcterms:modified xsi:type="dcterms:W3CDTF">2026-02-28T06:01:29Z</dcterms:modified>
</cp:coreProperties>
</file>

<file path=docProps/custom.xml><?xml version="1.0" encoding="utf-8"?>
<Properties xmlns="http://schemas.openxmlformats.org/officeDocument/2006/custom-properties" xmlns:vt="http://schemas.openxmlformats.org/officeDocument/2006/docPropsVTypes"/>
</file>