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75e7711804c6302b2ef6b6d98a58bcd087e052"/>
      <w:r>
        <w:t xml:space="preserve">DELIVERABLE 1: EXECUTIVE STRATEGIC BRIEFING</w:t>
      </w:r>
      <w:bookmarkEnd w:id="20"/>
    </w:p>
    <w:p>
      <w:pPr>
        <w:pStyle w:val="Heading2"/>
      </w:pPr>
      <w:bookmarkStart w:id="21" w:name="X846148f85084abd8e5b91728b391c777e750927"/>
      <w:r>
        <w:t xml:space="preserve">LUNAR ENERGY — CONFIDENTIAL STRATEGY MEMORANDUM</w:t>
      </w:r>
      <w:bookmarkEnd w:id="21"/>
    </w:p>
    <w:p>
      <w:pPr>
        <w:pStyle w:val="Heading3"/>
      </w:pPr>
      <w:bookmarkStart w:id="22" w:name="february-2026"/>
      <w:r>
        <w:t xml:space="preserve">February 2026</w:t>
      </w:r>
      <w:bookmarkEnd w:id="22"/>
    </w:p>
    <w:p>
      <w:r>
        <w:pict>
          <v:rect style="width:0;height:1.5pt" o:hralign="center" o:hrstd="t" o:hr="t"/>
        </w:pict>
      </w:r>
    </w:p>
    <w:p>
      <w:pPr>
        <w:pStyle w:val="Heading2"/>
      </w:pPr>
      <w:bookmarkStart w:id="23" w:name="situation-overview"/>
      <w:r>
        <w:t xml:space="preserve">1. SITUATION OVERVIEW</w:t>
      </w:r>
      <w:bookmarkEnd w:id="23"/>
    </w:p>
    <w:p>
      <w:pPr>
        <w:pStyle w:val="FirstParagraph"/>
      </w:pPr>
      <w:r>
        <w:t xml:space="preserve">Lunar Energy is a company at war with itself. It has built what may be the most valuable residential VPP software platform in North America — Gridshare, managing 650 MW and 150,000 devices across three continents — and then wrapped it inside a battery hardware business that has deployed 2,000 systems through 40 installers in a single state. The investor narrative says</w:t>
      </w:r>
      <w:r>
        <w:t xml:space="preserve"> </w:t>
      </w:r>
      <w:r>
        <w:t xml:space="preserve">“</w:t>
      </w:r>
      <w:r>
        <w:t xml:space="preserve">manufacturing scale-up.</w:t>
      </w:r>
      <w:r>
        <w:t xml:space="preserve">”</w:t>
      </w:r>
      <w:r>
        <w:t xml:space="preserve"> </w:t>
      </w:r>
      <w:r>
        <w:t xml:space="preserve">The operational reality says</w:t>
      </w:r>
      <w:r>
        <w:t xml:space="preserve"> </w:t>
      </w:r>
      <w:r>
        <w:t xml:space="preserve">“</w:t>
      </w:r>
      <w:r>
        <w:t xml:space="preserve">software company with a hardware distribution problem.</w:t>
      </w:r>
      <w:r>
        <w:t xml:space="preserve">”</w:t>
      </w:r>
    </w:p>
    <w:p>
      <w:pPr>
        <w:pStyle w:val="BodyText"/>
      </w:pPr>
      <w:r>
        <w:rPr>
          <w:b/>
        </w:rPr>
        <w:t xml:space="preserve">The central tension is this:</w:t>
      </w:r>
      <w:r>
        <w:t xml:space="preserve"> </w:t>
      </w:r>
      <w:r>
        <w:t xml:space="preserve">Lunar has approximately 11–18 months of cash remaining at current burn ($8–12M/month against ~$100M in estimated reserves post-Series D), and the company’s CEO has publicly stated it will</w:t>
      </w:r>
      <w:r>
        <w:t xml:space="preserve"> </w:t>
      </w:r>
      <w:r>
        <w:t xml:space="preserve">“</w:t>
      </w:r>
      <w:r>
        <w:t xml:space="preserve">never raise again.</w:t>
      </w:r>
      <w:r>
        <w:t xml:space="preserve">”</w:t>
      </w:r>
      <w:r>
        <w:t xml:space="preserve"> </w:t>
      </w:r>
      <w:r>
        <w:t xml:space="preserve">[Source: Latitude Media, February 2026] The math does not work. Scaling from 2,000 cumulative units to 100,000 units/year by 2028 requires $230–450M in manufacturing CapEx and working capital that does not exist in the current capital structure. [L1 Agent: Financial Analysis] The DOE Loan Programs Office — the hypothesis for filling this gap — has been effectively gutted by the One Big Beautiful Bill Act, with ATVM repealed and Title XVII credit subsidies rescinded. [L2 Deep Dive: DOE LPO Analysis] The company’s hidden Series C ($130M, raised late 2023 at what Sunrun’s $58.7M impairment charge confirms was a down round) suggests the valuation trajectory is fragile. [L2 Deep Dive: Series C Valuation Forensics; Source: Sunrun 2023 10-K]</w:t>
      </w:r>
    </w:p>
    <w:p>
      <w:pPr>
        <w:pStyle w:val="BodyText"/>
      </w:pPr>
      <w:r>
        <w:rPr>
          <w:b/>
        </w:rPr>
        <w:t xml:space="preserve">What makes this moment different:</w:t>
      </w:r>
      <w:r>
        <w:t xml:space="preserve"> </w:t>
      </w:r>
      <w:r>
        <w:t xml:space="preserve">Three structural shifts have converged to create a window that did not exist 18 months ago.</w:t>
      </w:r>
    </w:p>
    <w:p>
      <w:pPr>
        <w:pStyle w:val="BodyText"/>
      </w:pPr>
      <w:r>
        <w:rPr>
          <w:i/>
        </w:rPr>
        <w:t xml:space="preserve">First</w:t>
      </w:r>
      <w:r>
        <w:t xml:space="preserve">, the One Big Beautiful Bill Act eliminated the Section 25D homeowner tax credit while preserving the Section 48E commercial ITC for battery storage through 2033 — creating a 7-year regulatory moat around the TPO/lease battery model that is Lunar’s primary channel. [Source: Public Law 119-21, §70513; IRS Newsroom FAQ, 2025] Solar’s 48E expires for new projects after 2027. Battery storage does not. This is the single most underreported regulatory advantage in residential clean energy.</w:t>
      </w:r>
    </w:p>
    <w:p>
      <w:pPr>
        <w:pStyle w:val="BodyText"/>
      </w:pPr>
      <w:r>
        <w:rPr>
          <w:i/>
        </w:rPr>
        <w:t xml:space="preserve">Second</w:t>
      </w:r>
      <w:r>
        <w:t xml:space="preserve">, Tesla’s brand deterioration has opened a once-in-a-decade installer recruitment window. EnergySage reports 68% of homeowners are specifically requesting Powerwall alternatives. [Source: EnergySage 18th Annual Report, 2025] Roth Capital’s installer survey shows active defection from Tesla hardware. [Source: Roth Capital Partners Installer Survey, Q1 2025] Yet Lunar does not appear on any major</w:t>
      </w:r>
      <w:r>
        <w:t xml:space="preserve"> </w:t>
      </w:r>
      <w:r>
        <w:t xml:space="preserve">“</w:t>
      </w:r>
      <w:r>
        <w:t xml:space="preserve">Tesla alternative</w:t>
      </w:r>
      <w:r>
        <w:t xml:space="preserve">”</w:t>
      </w:r>
      <w:r>
        <w:t xml:space="preserve"> </w:t>
      </w:r>
      <w:r>
        <w:t xml:space="preserve">shortlist. FranklinWH — with 3,000+ certified installers versus Lunar’s 40 — is capturing the defectors. Every week of delay is market share permanently lost.</w:t>
      </w:r>
    </w:p>
    <w:p>
      <w:pPr>
        <w:pStyle w:val="BodyText"/>
      </w:pPr>
      <w:r>
        <w:rPr>
          <w:i/>
        </w:rPr>
        <w:t xml:space="preserve">Third</w:t>
      </w:r>
      <w:r>
        <w:t xml:space="preserve">, Lunar’s Mexico-based battery module assembly — quietly disclosed on the company’s website but absent from</w:t>
      </w:r>
      <w:r>
        <w:t xml:space="preserve"> </w:t>
      </w:r>
      <w:r>
        <w:t xml:space="preserve">“</w:t>
      </w:r>
      <w:r>
        <w:t xml:space="preserve">proudly domestic content</w:t>
      </w:r>
      <w:r>
        <w:t xml:space="preserve">”</w:t>
      </w:r>
      <w:r>
        <w:t xml:space="preserve"> </w:t>
      </w:r>
      <w:r>
        <w:t xml:space="preserve">marketing — is about to become an existential liability. The domestic content ITC bonus threshold rises from 40% to 55% after 2026. [Source: Treasury Notice 2025-08; RSM Tax Advisory] Mexico-assembled modules will almost certainly fail this threshold, costing Sunrun’s TPO channel $2,500 per system in lost bonus credit. Simultaneously, this manufacturing configuration forfeits an estimated $20M/year in Section 45X advanced manufacturing credits at target production volumes. [L2 Deep Dive: 45X/Domestic Content Analysis]</w:t>
      </w:r>
    </w:p>
    <w:p>
      <w:pPr>
        <w:pStyle w:val="BodyText"/>
      </w:pPr>
      <w:r>
        <w:t xml:space="preserve">The strategic question is not</w:t>
      </w:r>
      <w:r>
        <w:t xml:space="preserve"> </w:t>
      </w:r>
      <w:r>
        <w:t xml:space="preserve">“</w:t>
      </w:r>
      <w:r>
        <w:t xml:space="preserve">What should Lunar build?</w:t>
      </w:r>
      <w:r>
        <w:t xml:space="preserve">”</w:t>
      </w:r>
      <w:r>
        <w:t xml:space="preserve"> </w:t>
      </w:r>
      <w:r>
        <w:t xml:space="preserve">— the product is genuinely differentiated. The question is:</w:t>
      </w:r>
      <w:r>
        <w:t xml:space="preserve"> </w:t>
      </w:r>
      <w:r>
        <w:rPr>
          <w:b/>
        </w:rPr>
        <w:t xml:space="preserve">Can Lunar convert a 36-month window of regulatory advantage and competitive disruption into durable market position before its capital runs out and the window closes?</w:t>
      </w:r>
    </w:p>
    <w:p>
      <w:r>
        <w:pict>
          <v:rect style="width:0;height:1.5pt" o:hralign="center" o:hrstd="t" o:hr="t"/>
        </w:pict>
      </w:r>
    </w:p>
    <w:p>
      <w:pPr>
        <w:pStyle w:val="Heading2"/>
      </w:pPr>
      <w:bookmarkStart w:id="24" w:name="top-strategic-ideas"/>
      <w:r>
        <w:t xml:space="preserve">2. TOP STRATEGIC IDEAS</w:t>
      </w:r>
      <w:bookmarkEnd w:id="24"/>
    </w:p>
    <w:p>
      <w:pPr>
        <w:pStyle w:val="Heading3"/>
      </w:pPr>
      <w:bookmarkStart w:id="25" w:name="Xb4646913f5078c90f388371299b8bc3832aa5ad"/>
      <w:r>
        <w:t xml:space="preserve">IDEA 1: THE GEORGIA MANUFACTURING MIGRATION — $76M/YEAR IN CREDITS HIDING IN PLAIN SIGHT</w:t>
      </w:r>
      <w:bookmarkEnd w:id="25"/>
    </w:p>
    <w:p>
      <w:pPr>
        <w:pStyle w:val="FirstParagraph"/>
      </w:pPr>
      <w:r>
        <w:rPr>
          <w:b/>
        </w:rPr>
        <w:t xml:space="preserve">THE INSIGHT:</w:t>
      </w:r>
      <w:r>
        <w:t xml:space="preserve"> </w:t>
      </w:r>
      <w:r>
        <w:t xml:space="preserve">Lunar’s Suwanee, Georgia inverter assembly already qualifies for Section 45X advanced manufacturing production credits worth $624 per unit ($0.065/watt × 9,600W) — and there is no public evidence the company is claiming them. [Source: IRC §45X(b)(2)(B); L2 Deep Dive: 45X Analysis] Meanwhile, battery module assembly in Mexico categorically disqualifies from both 45X credits ($200/unit at 20 kWh) and will fail the rising domestic content ITC threshold ($2,500/unit value to TPO channel). Relocating module assembly from Mexico to Georgia unlocks a combined per-unit benefit of $3,324 ($624 inverter + $200 module + $2,500 domestic content preservation). At 100,000 units, this is $332M/year in total credit and channel value — the difference between a viable and unviable business model.</w:t>
      </w:r>
    </w:p>
    <w:p>
      <w:pPr>
        <w:pStyle w:val="BodyText"/>
      </w:pPr>
      <w:r>
        <w:rPr>
          <w:b/>
        </w:rPr>
        <w:t xml:space="preserve">THE EVIDENCE:</w:t>
      </w:r>
      <w:r>
        <w:t xml:space="preserve"> </w:t>
      </w:r>
      <w:r>
        <w:t xml:space="preserve">The 45X statute explicitly requires US production — no USMCA carve-out exists for Mexico. [Source: 26 U.S.C. §45X(d)(2); McGuireWoods Legal Analysis, 2024] Treasury’s October 2024 final regulations confirmed battery module assembly constitutes</w:t>
      </w:r>
      <w:r>
        <w:t xml:space="preserve"> </w:t>
      </w:r>
      <w:r>
        <w:t xml:space="preserve">“</w:t>
      </w:r>
      <w:r>
        <w:t xml:space="preserve">substantial transformation</w:t>
      </w:r>
      <w:r>
        <w:t xml:space="preserve">”</w:t>
      </w:r>
      <w:r>
        <w:t xml:space="preserve"> </w:t>
      </w:r>
      <w:r>
        <w:t xml:space="preserve">eligible for the credit. [Source: Federal Register, Final 45X Regulations, October 2024] Enphase shipped 1.69 million US-assembled microinverters claiming 45X credits in Q4 2024 alone, establishing the operational precedent. [Source: Enphase Q4 2024 Earnings Release] FranklinWH began US battery pack production in Santa Clara in 2025, demonstrating feasibility for a comparable competitor. [Source: FranklinWH Manufacturing Page, 2025] 45X credits traded at 92–95 cents on the dollar in H1 2024, providing immediate cash realization. [Source: Congressional Research Service, 2024]</w:t>
      </w:r>
    </w:p>
    <w:p>
      <w:pPr>
        <w:pStyle w:val="BodyText"/>
      </w:pPr>
      <w:r>
        <w:rPr>
          <w:b/>
        </w:rPr>
        <w:t xml:space="preserve">THE PLAY:</w:t>
      </w:r>
      <w:r>
        <w:t xml:space="preserve"> </w:t>
      </w:r>
      <w:r>
        <w:t xml:space="preserve">(1) Immediately engage tax counsel to confirm whether current Suwanee inverter assembly qualifies for 45X — if yes, file retroactive claims for all units produced to date. Timeline: 30 days. (2) Commission a formal domestic content analysis under Notice 2025-08’s distributed BESS safe harbor table. Timeline: 60 days. (3) Evaluate contract manufacturing options in Georgia for module assembly as a faster alternative to captive facility buildout (Enphase’s model). Timeline: 90 days for partner identification, 6–12 months to first module off the line. (4) Begin supply chain mapping for non-Chinese LFP cell sources (SK On Georgia H2 2026, Samsung SDI, LG) in preparation for FEOC threshold tightening. CapEx estimate for module relocation: $15–29M. [L2 Deep Dive: 45X Analysis]</w:t>
      </w:r>
    </w:p>
    <w:p>
      <w:pPr>
        <w:pStyle w:val="BodyText"/>
      </w:pPr>
      <w:r>
        <w:rPr>
          <w:b/>
        </w:rPr>
        <w:t xml:space="preserve">THE MAGNITUDE:</w:t>
      </w:r>
      <w:r>
        <w:t xml:space="preserve"> </w:t>
      </w:r>
      <w:r>
        <w:t xml:space="preserve">Inverter 45X alone (claimable today): $6.2M/year at 10,000 units, $62.4M/year at 100,000 units. Adding module 45X post-relocation: +$20M/year at 100,000 units. Domestic content bonus preservation: $25M–$250M/year in channel value depending on volume. Cumulative 45X through 2032 phase-out: $400M+. Break-even on relocation investment: 7,400–12,000 units (achievable in first production year).</w:t>
      </w:r>
    </w:p>
    <w:p>
      <w:pPr>
        <w:pStyle w:val="BodyText"/>
      </w:pPr>
      <w:r>
        <w:rPr>
          <w:b/>
        </w:rPr>
        <w:t xml:space="preserve">THE RISK:</w:t>
      </w:r>
      <w:r>
        <w:t xml:space="preserve"> </w:t>
      </w:r>
      <w:r>
        <w:t xml:space="preserve">SK On Georgia LFP production doesn’t begin until H2 2026 and is substantially committed to Flatiron Energy (7.2 GWh). [Source: SK On Newsroom, 2025] Lunar’s 2 GWh/year target demand has no disclosed offtake agreement. Cell supply is the binding constraint on any Georgia module line. Mitigation: dual-source with a second LFP supplier and negotiate SK On allocation terms now, leveraging SK Group’s equity stake.</w:t>
      </w:r>
    </w:p>
    <w:p>
      <w:pPr>
        <w:pStyle w:val="BodyText"/>
      </w:pPr>
      <w:r>
        <w:rPr>
          <w:b/>
        </w:rPr>
        <w:t xml:space="preserve">CONFIDENCE:</w:t>
      </w:r>
      <w:r>
        <w:t xml:space="preserve"> </w:t>
      </w:r>
      <w:r>
        <w:t xml:space="preserve">High on inverter credit (85%+). High on domestic content risk (85%+). Medium-High on module relocation feasibility (70%). Key uncertainty: cell supply availability post-relocation.</w:t>
      </w:r>
    </w:p>
    <w:p>
      <w:pPr>
        <w:pStyle w:val="BodyText"/>
      </w:pPr>
      <w:r>
        <w:rPr>
          <w:b/>
        </w:rPr>
        <w:t xml:space="preserve">KEY CITATIONS:</w:t>
      </w:r>
      <w:r>
        <w:t xml:space="preserve"> </w:t>
      </w:r>
      <w:r>
        <w:t xml:space="preserve">IRC §45X(b)(2)(B); Treasury Final 45X Regulations (Oct 2024); Enphase Q4 2024 Earnings; Notice 2025-08 BESS Safe Harbor Tables.</w:t>
      </w:r>
    </w:p>
    <w:p>
      <w:r>
        <w:pict>
          <v:rect style="width:0;height:1.5pt" o:hralign="center" o:hrstd="t" o:hr="t"/>
        </w:pict>
      </w:r>
    </w:p>
    <w:p>
      <w:pPr>
        <w:pStyle w:val="Heading3"/>
      </w:pPr>
      <w:bookmarkStart w:id="26" w:name="X37c311884be3cbbc20916c26f3db7890f0cbd07"/>
      <w:r>
        <w:t xml:space="preserve">IDEA 2: THE TESLA DEFECTOR BLITZ — A $10M BET TO SOLVE THE BINDING CONSTRAINT</w:t>
      </w:r>
      <w:bookmarkEnd w:id="26"/>
    </w:p>
    <w:p>
      <w:pPr>
        <w:pStyle w:val="FirstParagraph"/>
      </w:pPr>
      <w:r>
        <w:rPr>
          <w:b/>
        </w:rPr>
        <w:t xml:space="preserve">THE INSIGHT:</w:t>
      </w:r>
      <w:r>
        <w:t xml:space="preserve"> </w:t>
      </w:r>
      <w:r>
        <w:t xml:space="preserve">Manufacturing capacity (10,000 units/year) exceeds actual deployments (~2,000 cumulative) by 5x. The installer channel — not the factory — is what’s throttling growth. Lunar has 40 certified partners; FranklinWH has 3,000+, adding ~1,000/year since 2022. [Source: FranklinWH Press Releases, May 2022–May 2025] The Tesla brand crisis has created a once-in-a-decade window: 68% of homebuyers on EnergySage are requesting non-Tesla alternatives, and installers are actively scrubbing Tesla references from their marketing. [Source: EnergySage 18th Annual Report; Roth Capital Installer Survey, Q1 2025] Lunar is not on any major installer survey’s list of Powerwall alternatives — the window is being captured by FranklinWH and Enphase.</w:t>
      </w:r>
    </w:p>
    <w:p>
      <w:pPr>
        <w:pStyle w:val="BodyText"/>
      </w:pPr>
      <w:r>
        <w:rPr>
          <w:b/>
        </w:rPr>
        <w:t xml:space="preserve">THE EVIDENCE:</w:t>
      </w:r>
      <w:r>
        <w:t xml:space="preserve"> </w:t>
      </w:r>
      <w:r>
        <w:t xml:space="preserve">FranklinWH’s specific playbook is documented: fully online asynchronous certification, 15-minute commissioning time, volume-based pricing tiers, 9 distribution partners, and pre-approval on Mosaic and GoodLeap financing platforms. [Source: FranklinWH certification portal, product documentation, installer application form] Lunar already has Greentech Renewables (100+ locations nationwide) as a distributor but has not deployed the activation infrastructure — volume pricing, financing AVL listings, or systematic installer recruitment. [Source: Greentech Renewables Lunar Energy product page] The 3-hour Lunar System installation time versus 4–8 hours for Powerwall doubles installer crew throughput — a $3,000–$5,000/day labor economics advantage that is buried in spec sheets rather than leading the sales narrative. [L1.5 Tension Point 11]</w:t>
      </w:r>
    </w:p>
    <w:p>
      <w:pPr>
        <w:pStyle w:val="BodyText"/>
      </w:pPr>
      <w:r>
        <w:rPr>
          <w:b/>
        </w:rPr>
        <w:t xml:space="preserve">THE PLAY:</w:t>
      </w:r>
      <w:r>
        <w:t xml:space="preserve"> </w:t>
      </w:r>
      <w:r>
        <w:t xml:space="preserve">Phase 1 (Months 1–3): Hire 6 regional Channel Development Managers. Apply for Mosaic and GoodLeap financing AVL. Sign BayWa r.e. and Soligent distribution agreements for Texas/Arizona/Nevada. Launch tiered volume discount program. Phase 2 (Months 3–9): Host Greentech-venue certification events in 10 metro areas. Direct outreach to Roth Capital survey contacts and NABCEP certification holders. Launch</w:t>
      </w:r>
      <w:r>
        <w:t xml:space="preserve"> </w:t>
      </w:r>
      <w:r>
        <w:t xml:space="preserve">“</w:t>
      </w:r>
      <w:r>
        <w:t xml:space="preserve">2-a-Day</w:t>
      </w:r>
      <w:r>
        <w:t xml:space="preserve">”</w:t>
      </w:r>
      <w:r>
        <w:t xml:space="preserve"> </w:t>
      </w:r>
      <w:r>
        <w:t xml:space="preserve">installer marketing campaign quantifying crew economics versus Powerwall. Phase 3 (Months 6–18): Track activation rates, dedicate technical support for new partners’ first 3 installations. Target: 150–250 newly certified partners within 18 months. Investment: $10–15M. [L2 Deep Dive: Installer Channel]</w:t>
      </w:r>
    </w:p>
    <w:p>
      <w:pPr>
        <w:pStyle w:val="BodyText"/>
      </w:pPr>
      <w:r>
        <w:rPr>
          <w:b/>
        </w:rPr>
        <w:t xml:space="preserve">THE MAGNITUDE:</w:t>
      </w:r>
      <w:r>
        <w:t xml:space="preserve"> </w:t>
      </w:r>
      <w:r>
        <w:t xml:space="preserve">At 200 new partners deploying 50 units each in Year 1: 10,000 incremental units × $15,000 ASP = $150M in additional revenue. ROI on $10–15M channel investment: 10–15x. Strategic value: channel scale determines whether Lunar achieves 5% or 0.5% national market share.</w:t>
      </w:r>
    </w:p>
    <w:p>
      <w:pPr>
        <w:pStyle w:val="BodyText"/>
      </w:pPr>
      <w:r>
        <w:rPr>
          <w:b/>
        </w:rPr>
        <w:t xml:space="preserve">THE RISK:</w:t>
      </w:r>
      <w:r>
        <w:t xml:space="preserve"> </w:t>
      </w:r>
      <w:r>
        <w:t xml:space="preserve">Lunar’s integrated system (battery + inverter + Bridge + Maximizers) requires more complex installer training than FranklinWH’s AC-coupled battery. Per-partner onboarding cost and time are higher, potentially limiting the addressable installer pool. Mitigation: offer a simplified</w:t>
      </w:r>
      <w:r>
        <w:t xml:space="preserve"> </w:t>
      </w:r>
      <w:r>
        <w:t xml:space="preserve">“</w:t>
      </w:r>
      <w:r>
        <w:t xml:space="preserve">battery-only</w:t>
      </w:r>
      <w:r>
        <w:t xml:space="preserve">”</w:t>
      </w:r>
      <w:r>
        <w:t xml:space="preserve"> </w:t>
      </w:r>
      <w:r>
        <w:t xml:space="preserve">installation mode for first-time partners.</w:t>
      </w:r>
    </w:p>
    <w:p>
      <w:pPr>
        <w:pStyle w:val="BodyText"/>
      </w:pPr>
      <w:r>
        <w:rPr>
          <w:b/>
        </w:rPr>
        <w:t xml:space="preserve">CONFIDENCE:</w:t>
      </w:r>
      <w:r>
        <w:t xml:space="preserve"> </w:t>
      </w:r>
      <w:r>
        <w:t xml:space="preserve">High (85%). The 40 vs. 3,000+ gap is factual. The Tesla backlash window is confirmed by multiple independent sources. FranklinWH’s playbook is publicly documented and replicable.</w:t>
      </w:r>
    </w:p>
    <w:p>
      <w:pPr>
        <w:pStyle w:val="BodyText"/>
      </w:pPr>
      <w:r>
        <w:rPr>
          <w:b/>
        </w:rPr>
        <w:t xml:space="preserve">KEY CITATIONS:</w:t>
      </w:r>
      <w:r>
        <w:t xml:space="preserve"> </w:t>
      </w:r>
      <w:r>
        <w:t xml:space="preserve">FranklinWH milestone press releases (2022–2025); Roth Capital Partners Installer Survey (Q1 2025); EnergySage 18th Annual Report; Greentech Renewables product listing.</w:t>
      </w:r>
    </w:p>
    <w:p>
      <w:r>
        <w:pict>
          <v:rect style="width:0;height:1.5pt" o:hralign="center" o:hrstd="t" o:hr="t"/>
        </w:pict>
      </w:r>
    </w:p>
    <w:p>
      <w:pPr>
        <w:pStyle w:val="Heading3"/>
      </w:pPr>
      <w:bookmarkStart w:id="27" w:name="X0c12bfd34b5f7f54910021fed3f8ca1b600f1a5"/>
      <w:r>
        <w:t xml:space="preserve">IDEA 3: THE BATTERY-FIRST REPOSITIONING — A ZERO-COST MESSAGING PIVOT WORTH BILLIONS IN TAM</w:t>
      </w:r>
      <w:bookmarkEnd w:id="27"/>
    </w:p>
    <w:p>
      <w:pPr>
        <w:pStyle w:val="FirstParagraph"/>
      </w:pPr>
      <w:r>
        <w:rPr>
          <w:b/>
        </w:rPr>
        <w:t xml:space="preserve">THE INSIGHT:</w:t>
      </w:r>
      <w:r>
        <w:t xml:space="preserve"> </w:t>
      </w:r>
      <w:r>
        <w:t xml:space="preserve">The OBBBA eliminated the homeowner solar credit (25D) effective January 1, 2026, and accelerates the expiration of the commercial solar ITC (48E) to end-of-2027 for new projects. But battery storage 48E extends through 2033 with phase-down beginning 2034. [Source: Public Law 119-21, §70513(a)(2)(C); Sidley Austin LLP Analysis, November 2025] For the next 7 years, the primary federal subsidy for residential clean energy is the battery storage ITC — not solar. Lunar’s battery-first, solar-agnostic architecture is uniquely positioned. Yet its marketing still leads with</w:t>
      </w:r>
      <w:r>
        <w:t xml:space="preserve"> </w:t>
      </w:r>
      <w:r>
        <w:t xml:space="preserve">“</w:t>
      </w:r>
      <w:r>
        <w:t xml:space="preserve">solar battery system.</w:t>
      </w:r>
      <w:r>
        <w:t xml:space="preserve">”</w:t>
      </w:r>
      <w:r>
        <w:t xml:space="preserve"> </w:t>
      </w:r>
      <w:r>
        <w:t xml:space="preserve">The repositioning to</w:t>
      </w:r>
      <w:r>
        <w:t xml:space="preserve"> </w:t>
      </w:r>
      <w:r>
        <w:t xml:space="preserve">“</w:t>
      </w:r>
      <w:r>
        <w:t xml:space="preserve">battery-first home energy system</w:t>
      </w:r>
      <w:r>
        <w:t xml:space="preserve">”</w:t>
      </w:r>
      <w:r>
        <w:t xml:space="preserve"> </w:t>
      </w:r>
      <w:r>
        <w:t xml:space="preserve">opens two massive segments: (a) 600,000–900,000 NEM 2.0 solar homeowners in California who can add battery storage while retaining grandfathered rates, and (b) non-solar homeowners wanting backup power and VPP participation.</w:t>
      </w:r>
    </w:p>
    <w:p>
      <w:pPr>
        <w:pStyle w:val="BodyText"/>
      </w:pPr>
      <w:r>
        <w:rPr>
          <w:b/>
        </w:rPr>
        <w:t xml:space="preserve">THE EVIDENCE:</w:t>
      </w:r>
      <w:r>
        <w:t xml:space="preserve"> </w:t>
      </w:r>
      <w:r>
        <w:t xml:space="preserve">The IRS confirmed standalone BESS qualifies for 48E ITC without co-located solar. [Source: IRS FAQ on Clean Energy Credits, 2025; EticaAG analysis] CPUC policy confirms battery can be added to existing NEM 2.0 systems without losing grandfathered status. [Source: CPUC NEM Tariff Decision D.16-01-044, as modified] California has 1.5 million NEM customers. [Source: CPUC, NEM 3.0 Decision, 2022] NEM 2.0 battery attachment rate at original solar install was ~10–15%; the residual retrofit opportunity is 500,000–800,000 homes. Sunrun’s storage attachment rate has already risen to 71% for new installs, validating the market pivot. [Source: Sunrun Q4 2025 Earnings Release]</w:t>
      </w:r>
    </w:p>
    <w:p>
      <w:pPr>
        <w:pStyle w:val="BodyText"/>
      </w:pPr>
      <w:r>
        <w:rPr>
          <w:b/>
        </w:rPr>
        <w:t xml:space="preserve">THE PLAY:</w:t>
      </w:r>
      <w:r>
        <w:t xml:space="preserve"> </w:t>
      </w:r>
      <w:r>
        <w:t xml:space="preserve">(1) Immediately update all marketing materials to lead with</w:t>
      </w:r>
      <w:r>
        <w:t xml:space="preserve"> </w:t>
      </w:r>
      <w:r>
        <w:t xml:space="preserve">“</w:t>
      </w:r>
      <w:r>
        <w:t xml:space="preserve">battery-first home energy system</w:t>
      </w:r>
      <w:r>
        <w:t xml:space="preserve">”</w:t>
      </w:r>
      <w:r>
        <w:t xml:space="preserve"> </w:t>
      </w:r>
      <w:r>
        <w:t xml:space="preserve">messaging. (2) Create a</w:t>
      </w:r>
      <w:r>
        <w:t xml:space="preserve"> </w:t>
      </w:r>
      <w:r>
        <w:t xml:space="preserve">“</w:t>
      </w:r>
      <w:r>
        <w:t xml:space="preserve">Solar Retrofit</w:t>
      </w:r>
      <w:r>
        <w:t xml:space="preserve">”</w:t>
      </w:r>
      <w:r>
        <w:t xml:space="preserve"> </w:t>
      </w:r>
      <w:r>
        <w:t xml:space="preserve">landing page targeting NEM 2.0 homeowners. (3) Negotiate expanded battery-only TPO terms with Sunrun leveraging the 48E differential through 2033. (4) Target the non-solar backup power segment in wildfire/PSPS-affected areas through utility partnerships. Timeline: messaging pivot in 30 days; product/channel adjustments in 90 days.</w:t>
      </w:r>
    </w:p>
    <w:p>
      <w:pPr>
        <w:pStyle w:val="BodyText"/>
      </w:pPr>
      <w:r>
        <w:rPr>
          <w:b/>
        </w:rPr>
        <w:t xml:space="preserve">THE MAGNITUDE:</w:t>
      </w:r>
      <w:r>
        <w:t xml:space="preserve"> </w:t>
      </w:r>
      <w:r>
        <w:t xml:space="preserve">NEM 2.0 retrofit TAM (California alone, 5 years): $300M–$2.2B at 5–15% capture rate. National battery-without-new-solar TAM: $1B–$7.5B. The addressable market potentially expands 3–5x from</w:t>
      </w:r>
      <w:r>
        <w:t xml:space="preserve"> </w:t>
      </w:r>
      <w:r>
        <w:t xml:space="preserve">“</w:t>
      </w:r>
      <w:r>
        <w:t xml:space="preserve">solar buyers adding battery</w:t>
      </w:r>
      <w:r>
        <w:t xml:space="preserve">”</w:t>
      </w:r>
      <w:r>
        <w:t xml:space="preserve"> </w:t>
      </w:r>
      <w:r>
        <w:t xml:space="preserve">to</w:t>
      </w:r>
      <w:r>
        <w:t xml:space="preserve"> </w:t>
      </w:r>
      <w:r>
        <w:t xml:space="preserve">“</w:t>
      </w:r>
      <w:r>
        <w:t xml:space="preserve">all homeowners wanting resilience + savings.</w:t>
      </w:r>
      <w:r>
        <w:t xml:space="preserve">”</w:t>
      </w:r>
    </w:p>
    <w:p>
      <w:pPr>
        <w:pStyle w:val="BodyText"/>
      </w:pPr>
      <w:r>
        <w:rPr>
          <w:b/>
        </w:rPr>
        <w:t xml:space="preserve">THE RISK:</w:t>
      </w:r>
      <w:r>
        <w:t xml:space="preserve"> </w:t>
      </w:r>
      <w:r>
        <w:t xml:space="preserve">FEOC compliance is the make-or-break variable. If Lunar’s cells are FEOC-contaminated, the 48E ITC advantage disappears entirely. [Source: Baker Botts, Notice 2026-15 Analysis, February 2026] Mitigation: conduct immediate FEOC supply chain audit (see Idea 1).</w:t>
      </w:r>
    </w:p>
    <w:p>
      <w:pPr>
        <w:pStyle w:val="BodyText"/>
      </w:pPr>
      <w:r>
        <w:rPr>
          <w:b/>
        </w:rPr>
        <w:t xml:space="preserve">CONFIDENCE:</w:t>
      </w:r>
      <w:r>
        <w:t xml:space="preserve"> </w:t>
      </w:r>
      <w:r>
        <w:t xml:space="preserve">High on regulatory facts (95%+). Medium on market response (55%) — consumer awareness of standalone battery benefits remains low.</w:t>
      </w:r>
    </w:p>
    <w:p>
      <w:pPr>
        <w:pStyle w:val="BodyText"/>
      </w:pPr>
      <w:r>
        <w:rPr>
          <w:b/>
        </w:rPr>
        <w:t xml:space="preserve">KEY CITATIONS:</w:t>
      </w:r>
      <w:r>
        <w:t xml:space="preserve"> </w:t>
      </w:r>
      <w:r>
        <w:t xml:space="preserve">Public Law 119-21, §70513(a)(2)(C); IRS FAQ on Clean Energy Credits; CPUC NEM 2.0 Grandfathering Rules; Sunrun Q4 2025 Earnings.</w:t>
      </w:r>
    </w:p>
    <w:p>
      <w:r>
        <w:pict>
          <v:rect style="width:0;height:1.5pt" o:hralign="center" o:hrstd="t" o:hr="t"/>
        </w:pict>
      </w:r>
    </w:p>
    <w:p>
      <w:pPr>
        <w:pStyle w:val="Heading3"/>
      </w:pPr>
      <w:bookmarkStart w:id="28" w:name="Xede064f640e2071a52e42d425cd8442364d458c"/>
      <w:r>
        <w:t xml:space="preserve">IDEA 4: THE $464 TIME BOMB — DEFUSE THE VPP EARNINGS CLAIM BEFORE IT DETONATES</w:t>
      </w:r>
      <w:bookmarkEnd w:id="28"/>
    </w:p>
    <w:p>
      <w:pPr>
        <w:pStyle w:val="FirstParagraph"/>
      </w:pPr>
      <w:r>
        <w:rPr>
          <w:b/>
        </w:rPr>
        <w:t xml:space="preserve">THE INSIGHT:</w:t>
      </w:r>
      <w:r>
        <w:t xml:space="preserve"> </w:t>
      </w:r>
      <w:r>
        <w:t xml:space="preserve">Lunar’s most-cited customer value proposition —</w:t>
      </w:r>
      <w:r>
        <w:t xml:space="preserve"> </w:t>
      </w:r>
      <w:r>
        <w:t xml:space="preserve">“</w:t>
      </w:r>
      <w:r>
        <w:t xml:space="preserve">$464/year in VPP earnings</w:t>
      </w:r>
      <w:r>
        <w:t xml:space="preserve">”</w:t>
      </w:r>
      <w:r>
        <w:t xml:space="preserve"> </w:t>
      </w:r>
      <w:r>
        <w:t xml:space="preserve">— was derived primarily from California’s DSGS program, which Governor Newsom defunded in 2025. [Source: CALSSA Press Release, September 2025; Canary Media, September 2025] Replacement programs (PG&amp;E ELRP, CCA programs) pay materially less: $100–$250/year per Enphase’s own published guidance. [Source: Enphase PG&amp;E ELRP Program Page] Lunar’s February 2026 Series D announcement cites this figure without disclosing DSGS termination — a potential FTC Section 5 and California CLRA/UCL violation that compounds with every new installation sold.</w:t>
      </w:r>
    </w:p>
    <w:p>
      <w:pPr>
        <w:pStyle w:val="BodyText"/>
      </w:pPr>
      <w:r>
        <w:rPr>
          <w:b/>
        </w:rPr>
        <w:t xml:space="preserve">THE EVIDENCE:</w:t>
      </w:r>
      <w:r>
        <w:t xml:space="preserve"> </w:t>
      </w:r>
      <w:r>
        <w:t xml:space="preserve">DSGS accounted for 88%+ of MW in California’s July 2025 VPP test. [Source: Latitude Media, September 2025] Remaining DSGS funding is ~$64M, insufficient for 2026 continuation at full scale. [Source: Canary Media, September 2025; CEC DSGS FAQ, October 2025] Sunrun’s own customer-facing offer was $150/battery under DSGS. [Source: Utility Dive, November 2025] Tesla’s DSGS claim was $350/Powerwall. [Source: Tesla VPP Support Page] Enphase estimates $100–$250 for ELRP. [Source: Enphase ELRP Program Page] The FTC has taken enforcement action against energy companies for misrepresenting savings (Ygrene, $2.9M in consumer payments). [Source: FTC Enforcement Action, July 2025]</w:t>
      </w:r>
    </w:p>
    <w:p>
      <w:pPr>
        <w:pStyle w:val="BodyText"/>
      </w:pPr>
      <w:r>
        <w:rPr>
          <w:b/>
        </w:rPr>
        <w:t xml:space="preserve">THE PLAY:</w:t>
      </w:r>
      <w:r>
        <w:t xml:space="preserve"> </w:t>
      </w:r>
      <w:r>
        <w:t xml:space="preserve">(1) Immediately add temporal and programmatic qualification to all $464 references:</w:t>
      </w:r>
      <w:r>
        <w:t xml:space="preserve"> </w:t>
      </w:r>
      <w:r>
        <w:t xml:space="preserve">“</w:t>
      </w:r>
      <w:r>
        <w:t xml:space="preserve">2025 historical average under DSGS, which has since been defunded.</w:t>
      </w:r>
      <w:r>
        <w:t xml:space="preserve">”</w:t>
      </w:r>
      <w:r>
        <w:t xml:space="preserve"> </w:t>
      </w:r>
      <w:r>
        <w:t xml:space="preserve">(2) Publish realistic 2026 California VPP earnings projections ($150–$350 range depending on programs). (3) Shift marketing emphasis to the $338 AI-optimized bill savings figure, which is independently defensible. (4) Brief all 40 installer partners on post-DSGS economics within 30 days. Total cost: near zero. Risk of inaction: class-action exposure scaling with every installation.</w:t>
      </w:r>
    </w:p>
    <w:p>
      <w:pPr>
        <w:pStyle w:val="BodyText"/>
      </w:pPr>
      <w:r>
        <w:rPr>
          <w:b/>
        </w:rPr>
        <w:t xml:space="preserve">THE MAGNITUDE:</w:t>
      </w:r>
      <w:r>
        <w:t xml:space="preserve"> </w:t>
      </w:r>
      <w:r>
        <w:t xml:space="preserve">Direct financial impact of disclosure: modest. Risk avoided: potential FTC/CLRA action, installer trust collapse during critical scaling phase, and investor claims from Series D participants who committed capital based on forward VPP economics. Strategic value: preserving the installer channel’s willingness to sell Lunar during the Tesla backlash window.</w:t>
      </w:r>
    </w:p>
    <w:p>
      <w:pPr>
        <w:pStyle w:val="BodyText"/>
      </w:pPr>
      <w:r>
        <w:rPr>
          <w:b/>
        </w:rPr>
        <w:t xml:space="preserve">THE RISK:</w:t>
      </w:r>
      <w:r>
        <w:t xml:space="preserve"> </w:t>
      </w:r>
      <w:r>
        <w:t xml:space="preserve">Proactive disclosure may temporarily slow sales if installers interpret it as a value reduction. Mitigation: pair the disclosure with the battery-first ITC messaging (Idea 3) to reframe the value proposition.</w:t>
      </w:r>
    </w:p>
    <w:p>
      <w:pPr>
        <w:pStyle w:val="BodyText"/>
      </w:pPr>
      <w:r>
        <w:rPr>
          <w:b/>
        </w:rPr>
        <w:t xml:space="preserve">CONFIDENCE:</w:t>
      </w:r>
      <w:r>
        <w:t xml:space="preserve"> </w:t>
      </w:r>
      <w:r>
        <w:t xml:space="preserve">Very High (95%) on DSGS defunding and earnings gap. High (80%) on legal exposure from continued marketing.</w:t>
      </w:r>
    </w:p>
    <w:p>
      <w:pPr>
        <w:pStyle w:val="BodyText"/>
      </w:pPr>
      <w:r>
        <w:rPr>
          <w:b/>
        </w:rPr>
        <w:t xml:space="preserve">KEY CITATIONS:</w:t>
      </w:r>
      <w:r>
        <w:t xml:space="preserve"> </w:t>
      </w:r>
      <w:r>
        <w:t xml:space="preserve">CALSSA Press Release (September 2025); CEC DSGS FAQ; Enphase ELRP Guidance; FTC Ygrene Enforcement (July 2025).</w:t>
      </w:r>
    </w:p>
    <w:p>
      <w:r>
        <w:pict>
          <v:rect style="width:0;height:1.5pt" o:hralign="center" o:hrstd="t" o:hr="t"/>
        </w:pict>
      </w:r>
    </w:p>
    <w:p>
      <w:pPr>
        <w:pStyle w:val="Heading3"/>
      </w:pPr>
      <w:bookmarkStart w:id="29" w:name="X01f4738c34c15546a1acd4a190be4ba1b6aa33b"/>
      <w:r>
        <w:t xml:space="preserve">IDEA 5: THE TEXAS FAST-TRACK — LUNAR’S LARGEST MARKET BY 2028</w:t>
      </w:r>
      <w:bookmarkEnd w:id="29"/>
    </w:p>
    <w:p>
      <w:pPr>
        <w:pStyle w:val="FirstParagraph"/>
      </w:pPr>
      <w:r>
        <w:rPr>
          <w:b/>
        </w:rPr>
        <w:t xml:space="preserve">THE INSIGHT:</w:t>
      </w:r>
      <w:r>
        <w:t xml:space="preserve"> </w:t>
      </w:r>
      <w:r>
        <w:t xml:space="preserve">ERCOT is the most commercially attractive VPP market in the US: deregulated retail, no FERC Order 2222 delays, Real-Time Co-Optimization with Batteries (RTC+B) went live December 2025, and the Independent Market Monitor projects $2.5–$6.4 billion/year in wholesale savings from the new market design. [Source: ERCOT RTC+B Go-Live, December 2025; ERCOT IMM projection] Every major Texas REP (NRG/Reliant, TXU, Octopus) is building VPP infrastructure but none has a preferred hardware partner aligned with Lunar’s domestic content and Gridshare capabilities. Meanwhile, Gridshare already manages Sunrun’s Texas-bound VPP fleet — the software is adjacent to ERCOT even though Lunar hardware is not yet there. [Source: Sunrun/NRG VPP Partnership, December 2025]</w:t>
      </w:r>
    </w:p>
    <w:p>
      <w:pPr>
        <w:pStyle w:val="BodyText"/>
      </w:pPr>
      <w:r>
        <w:rPr>
          <w:b/>
        </w:rPr>
        <w:t xml:space="preserve">THE EVIDENCE:</w:t>
      </w:r>
      <w:r>
        <w:t xml:space="preserve"> </w:t>
      </w:r>
      <w:r>
        <w:t xml:space="preserve">NRG/Reliant announced a 1 GW VPP target by 2035 and has partnered with both Sunrun and GoodLeap — actively diversifying hardware. [Source: NRG/Reliant/GoodLeap Press Release, November 2025; NRG/Sunrun Press Release, December 2025] Base Power ($1.3B raised) is installing 40 MWh/month but charges customers sub-$1,000 upfront with partially Chinese supply chains vulnerable to tariffs. [Source: Corporate Knights, October 2025; Canary Media, April 2025] Lunar’s Georgia assembly provides a logistics advantage (800 miles to Houston vs. 2,000+ from California competitors). The ADER pilot expanded to 200 MW capacity with a 100 kW minimum aggregation threshold — achievable with 5 Lunar Systems. [Source: ERCOT ADER Governing Document Phase 3, June 2025]</w:t>
      </w:r>
    </w:p>
    <w:p>
      <w:pPr>
        <w:pStyle w:val="BodyText"/>
      </w:pPr>
      <w:r>
        <w:rPr>
          <w:b/>
        </w:rPr>
        <w:t xml:space="preserve">THE PLAY:</w:t>
      </w:r>
      <w:r>
        <w:t xml:space="preserve"> </w:t>
      </w:r>
      <w:r>
        <w:t xml:space="preserve">A detailed 6-month roadmap to first ERCOT dispatch: Month 1: Hire Texas Energy Market Director, initiate QSE partnership. Month 2: Sign NATiVE Solar and Longhorn Solar as installer partners, begin NRG/Reliant discussions. Month 3: First 50 Texas installations, Gridshare ERCOT telemetry integration sprint. Month 4: Submit ADER registration. Month 5: Telemetry validation and qualification testing. Month 6: First ERCOT dispatch during August peak. Investment: ~$5–8M for first 500 systems and market infrastructure. [L2 Deep Dive: Texas ERCOT Analysis]</w:t>
      </w:r>
    </w:p>
    <w:p>
      <w:pPr>
        <w:pStyle w:val="BodyText"/>
      </w:pPr>
      <w:r>
        <w:rPr>
          <w:b/>
        </w:rPr>
        <w:t xml:space="preserve">THE MAGNITUDE:</w:t>
      </w:r>
      <w:r>
        <w:t xml:space="preserve"> </w:t>
      </w:r>
      <w:r>
        <w:t xml:space="preserve">Conservative: 3,000–6,000 units/year by 2028 at ~$15,000 ASP = $45–90M revenue. Bull case: 9,000–18,000 units/year = $135–270M. VPP revenue overlay at scale: $3–5M/year.</w:t>
      </w:r>
    </w:p>
    <w:p>
      <w:pPr>
        <w:pStyle w:val="BodyText"/>
      </w:pPr>
      <w:r>
        <w:rPr>
          <w:b/>
        </w:rPr>
        <w:t xml:space="preserve">THE RISK:</w:t>
      </w:r>
      <w:r>
        <w:t xml:space="preserve"> </w:t>
      </w:r>
      <w:r>
        <w:t xml:space="preserve">Base Power is scaling fast and has a structurally different model (own-and-operate, sub-$1,000 customer cost). Lunar competes in a different segment (premium backup + solar integration) but must clearly articulate why a $15,000 system beats a $695 system. Mitigation: lead with the TPO/lease model ($0 upfront) and domestic content ITC advantage.</w:t>
      </w:r>
    </w:p>
    <w:p>
      <w:pPr>
        <w:pStyle w:val="BodyText"/>
      </w:pPr>
      <w:r>
        <w:rPr>
          <w:b/>
        </w:rPr>
        <w:t xml:space="preserve">CONFIDENCE:</w:t>
      </w:r>
      <w:r>
        <w:t xml:space="preserve"> </w:t>
      </w:r>
      <w:r>
        <w:t xml:space="preserve">Medium-High (65%). The market opportunity is well-documented. Execution risk is high (five parallel workstreams). Competitive window is narrowing.</w:t>
      </w:r>
    </w:p>
    <w:p>
      <w:pPr>
        <w:pStyle w:val="BodyText"/>
      </w:pPr>
      <w:r>
        <w:rPr>
          <w:b/>
        </w:rPr>
        <w:t xml:space="preserve">KEY CITATIONS:</w:t>
      </w:r>
      <w:r>
        <w:t xml:space="preserve"> </w:t>
      </w:r>
      <w:r>
        <w:t xml:space="preserve">ERCOT RTC+B (December 2025); NRG/Reliant VPP partnerships (November–December 2025); ERCOT ADER Phase 3 Governing Document.</w:t>
      </w:r>
    </w:p>
    <w:p>
      <w:r>
        <w:pict>
          <v:rect style="width:0;height:1.5pt" o:hralign="center" o:hrstd="t" o:hr="t"/>
        </w:pict>
      </w:r>
    </w:p>
    <w:p>
      <w:pPr>
        <w:pStyle w:val="Heading3"/>
      </w:pPr>
      <w:bookmarkStart w:id="30" w:name="X4012c6a848280325bc3fcb6d66cc980210d7e2c"/>
      <w:r>
        <w:t xml:space="preserve">IDEA 6: THE GRIDSHARE TRANSPARENCY PLAY — UNLOCKING $200M+ IN HIDDEN ENTERPRISE VALUE</w:t>
      </w:r>
      <w:bookmarkEnd w:id="30"/>
    </w:p>
    <w:p>
      <w:pPr>
        <w:pStyle w:val="FirstParagraph"/>
      </w:pPr>
      <w:r>
        <w:rPr>
          <w:b/>
        </w:rPr>
        <w:t xml:space="preserve">THE INSIGHT:</w:t>
      </w:r>
      <w:r>
        <w:t xml:space="preserve"> </w:t>
      </w:r>
      <w:r>
        <w:t xml:space="preserve">Gridshare manages ~650 MW / 150,000 devices — 97% of which are non-Lunar hardware. [Source: Heatmap News, February 2026; Lunar Energy Series D Press Release] Sunrun’s head of product calls it a</w:t>
      </w:r>
      <w:r>
        <w:t xml:space="preserve"> </w:t>
      </w:r>
      <w:r>
        <w:t xml:space="preserve">“</w:t>
      </w:r>
      <w:r>
        <w:t xml:space="preserve">VPP SaaS service.</w:t>
      </w:r>
      <w:r>
        <w:t xml:space="preserve">”</w:t>
      </w:r>
      <w:r>
        <w:t xml:space="preserve"> </w:t>
      </w:r>
      <w:r>
        <w:t xml:space="preserve">[Source: Latitude Media,</w:t>
      </w:r>
      <w:r>
        <w:t xml:space="preserve"> </w:t>
      </w:r>
      <w:r>
        <w:t xml:space="preserve">“</w:t>
      </w:r>
      <w:r>
        <w:t xml:space="preserve">Unpacking the Software Layer</w:t>
      </w:r>
      <w:r>
        <w:t xml:space="preserve">”</w:t>
      </w:r>
      <w:r>
        <w:t xml:space="preserve">] It delivered 60% more energy than previous dispatch methods for SCE’s Sunrun fleet. [Source: Gridshare Case Study] Yet the Series D was positioned entirely around manufacturing scale-up. No Gridshare ARR, margin, or retention metrics have been disclosed. At comparable VPP SaaS multiples, Gridshare alone could be worth $75–$177M today based on estimated mid-range ARR of $9.4M. [L2 Deep Dive: Gridshare Valuation]</w:t>
      </w:r>
    </w:p>
    <w:p>
      <w:pPr>
        <w:pStyle w:val="BodyText"/>
      </w:pPr>
      <w:r>
        <w:rPr>
          <w:b/>
        </w:rPr>
        <w:t xml:space="preserve">THE EVIDENCE:</w:t>
      </w:r>
      <w:r>
        <w:t xml:space="preserve"> </w:t>
      </w:r>
      <w:r>
        <w:t xml:space="preserve">Voltus’s planned SPAC valued it at $1.3B managing 8.1 GW — at a proportional per-MW basis, Gridshare’s 650 MW implies ~$104M. [Source: Voltus SPAC Investor Materials, 2021] Virtual Peaker (directly comparable DERMS SaaS) reported $6.6M revenue in 2024 serving 60+ utilities. [Source: Latka Data, 2024] EnergyHub (Alarm.com subsidiary) manages 2.5M DERs and contributes ~$170M in SaaS revenue. [Source: Alarm.com 2025 10-K] The single most high-value investigative action: file a California Public Records Act request to Ava Community Energy for the Gridshare contract value — as a public agency, Ava must disclose procurement contracts.</w:t>
      </w:r>
    </w:p>
    <w:p>
      <w:pPr>
        <w:pStyle w:val="BodyText"/>
      </w:pPr>
      <w:r>
        <w:rPr>
          <w:b/>
        </w:rPr>
        <w:t xml:space="preserve">THE PLAY:</w:t>
      </w:r>
      <w:r>
        <w:t xml:space="preserve"> </w:t>
      </w:r>
      <w:r>
        <w:t xml:space="preserve">(1) Begin reporting Gridshare metrics separately in board materials and investor communications: ARR, device count by geography, net retention rate, gross margin per device. (2) File CPRA request to Ava Community Energy. (3) Commission an independent third-party software valuation (Houlihan Lokey or similar). (4) Position Gridshare as the</w:t>
      </w:r>
      <w:r>
        <w:t xml:space="preserve"> </w:t>
      </w:r>
      <w:r>
        <w:t xml:space="preserve">“</w:t>
      </w:r>
      <w:r>
        <w:t xml:space="preserve">Android of the grid</w:t>
      </w:r>
      <w:r>
        <w:t xml:space="preserve">”</w:t>
      </w:r>
      <w:r>
        <w:t xml:space="preserve"> </w:t>
      </w:r>
      <w:r>
        <w:t xml:space="preserve">in investor presentations with dedicated software section. Timeline: 90 days for metric surfacing; 6–12 months for full valuation impact.</w:t>
      </w:r>
    </w:p>
    <w:p>
      <w:pPr>
        <w:pStyle w:val="BodyText"/>
      </w:pPr>
      <w:r>
        <w:rPr>
          <w:b/>
        </w:rPr>
        <w:t xml:space="preserve">THE MAGNITUDE:</w:t>
      </w:r>
      <w:r>
        <w:t xml:space="preserve"> </w:t>
      </w:r>
      <w:r>
        <w:t xml:space="preserve">At mid-range ARR ($9.4M) and 8–10x growth SaaS multiple: $75–$94M standalone valuation today. At 300,000 devices with $30/device/year: $128–$250M. The transparency play could create $200–$400M in incremental enterprise value by making the software component visible to acquirers and IPO investors.</w:t>
      </w:r>
    </w:p>
    <w:p>
      <w:pPr>
        <w:pStyle w:val="BodyText"/>
      </w:pPr>
      <w:r>
        <w:rPr>
          <w:b/>
        </w:rPr>
        <w:t xml:space="preserve">THE RISK:</w:t>
      </w:r>
      <w:r>
        <w:t xml:space="preserve"> </w:t>
      </w:r>
      <w:r>
        <w:t xml:space="preserve">Surfacing Gridshare economics might reveal the software is less valuable than hypothesized (low-end ARR scenario: $3.1M → $15–31M standalone value). Mitigation: secure the Ava contract data first to calibrate before public disclosure.</w:t>
      </w:r>
    </w:p>
    <w:p>
      <w:pPr>
        <w:pStyle w:val="BodyText"/>
      </w:pPr>
      <w:r>
        <w:rPr>
          <w:b/>
        </w:rPr>
        <w:t xml:space="preserve">CONFIDENCE:</w:t>
      </w:r>
      <w:r>
        <w:t xml:space="preserve"> </w:t>
      </w:r>
      <w:r>
        <w:t xml:space="preserve">High on structural argument (90%); Medium on magnitude (55%) — the ARR range is wide and unverified.</w:t>
      </w:r>
    </w:p>
    <w:p>
      <w:pPr>
        <w:pStyle w:val="BodyText"/>
      </w:pPr>
      <w:r>
        <w:rPr>
          <w:b/>
        </w:rPr>
        <w:t xml:space="preserve">KEY CITATIONS:</w:t>
      </w:r>
      <w:r>
        <w:t xml:space="preserve"> </w:t>
      </w:r>
      <w:r>
        <w:t xml:space="preserve">Heatmap News (February 2026); Latitude Media</w:t>
      </w:r>
      <w:r>
        <w:t xml:space="preserve"> </w:t>
      </w:r>
      <w:r>
        <w:t xml:space="preserve">“</w:t>
      </w:r>
      <w:r>
        <w:t xml:space="preserve">VPP SaaS service</w:t>
      </w:r>
      <w:r>
        <w:t xml:space="preserve">”</w:t>
      </w:r>
      <w:r>
        <w:t xml:space="preserve"> </w:t>
      </w:r>
      <w:r>
        <w:t xml:space="preserve">quote; Voltus SPAC Materials; Virtual Peaker revenue data (Latka).</w:t>
      </w:r>
    </w:p>
    <w:p>
      <w:r>
        <w:pict>
          <v:rect style="width:0;height:1.5pt" o:hralign="center" o:hrstd="t" o:hr="t"/>
        </w:pict>
      </w:r>
    </w:p>
    <w:p>
      <w:pPr>
        <w:pStyle w:val="Heading3"/>
      </w:pPr>
      <w:bookmarkStart w:id="31" w:name="Xb7abff326e8cce331a494a14413f79648de3467"/>
      <w:r>
        <w:t xml:space="preserve">IDEA 7: THE SUNRUN HEDGE PORTFOLIO — EXISTENTIAL RISK MITIGATION AT 30% CONCENTRATION THRESHOLD</w:t>
      </w:r>
      <w:bookmarkEnd w:id="31"/>
    </w:p>
    <w:p>
      <w:pPr>
        <w:pStyle w:val="FirstParagraph"/>
      </w:pPr>
      <w:r>
        <w:rPr>
          <w:b/>
        </w:rPr>
        <w:t xml:space="preserve">THE INSIGHT:</w:t>
      </w:r>
      <w:r>
        <w:t xml:space="preserve"> </w:t>
      </w:r>
      <w:r>
        <w:t xml:space="preserve">Sunrun simultaneously owns 37% of Lunar, chairs its board (Lynn Jurich), provides the primary hardware distribution channel, and is the dominant Gridshare software customer (~87% of managed fleet is Sunrun non-Tesla batteries). [Source: Bloomberg/EnergyNow; Sunrun DEF 14A, 2024; Heatmap News] Sunrun’s Altman Z-Score is -0.47 (distress zone), though its non-recourse debt structure and $377M 2025 cash generation make near-term bankruptcy unlikely. [Source: GuruFocus Z-Score; Sunrun FY2025 Earnings] The greater threat: as Sunrun’s fleet becomes increasingly Tesla Powerwall-dominated (CalReady: 75,000 Tesla systems), Gridshare’s addressable market shrinks mechanically. No governance recusal protocol for Jurich’s dual role has been publicly disclosed. [L2 Deep Dive: Sunrun Dependency]</w:t>
      </w:r>
    </w:p>
    <w:p>
      <w:pPr>
        <w:pStyle w:val="BodyText"/>
      </w:pPr>
      <w:r>
        <w:rPr>
          <w:b/>
        </w:rPr>
        <w:t xml:space="preserve">THE EVIDENCE:</w:t>
      </w:r>
      <w:r>
        <w:t xml:space="preserve"> </w:t>
      </w:r>
      <w:r>
        <w:t xml:space="preserve">Sunrun promotes Tesla Powerwall 3 as</w:t>
      </w:r>
      <w:r>
        <w:t xml:space="preserve"> </w:t>
      </w:r>
      <w:r>
        <w:t xml:space="preserve">“</w:t>
      </w:r>
      <w:r>
        <w:t xml:space="preserve">one of the most trusted energy storage solutions</w:t>
      </w:r>
      <w:r>
        <w:t xml:space="preserve">”</w:t>
      </w:r>
      <w:r>
        <w:t xml:space="preserve"> </w:t>
      </w:r>
      <w:r>
        <w:t xml:space="preserve">on its customer-facing website. [Source: Sunrun.com/powerwall] CalReady runs on Tesla hardware, not Gridshare. [Source: Energy-Storage.News, 2025] SunPower’s 2024 bankruptcy resulted in third-party technology vendor contracts being renegotiated at reduced terms. [Source: SolarReviews; GreenLancer SunPower Analysis] Sunrun’s next recourse debt maturity is March 2028 — creating a 24-month refinancing window of uncertainty. [Source: Sunrun Q4 2025 Earnings]</w:t>
      </w:r>
    </w:p>
    <w:p>
      <w:pPr>
        <w:pStyle w:val="BodyText"/>
      </w:pPr>
      <w:r>
        <w:rPr>
          <w:b/>
        </w:rPr>
        <w:t xml:space="preserve">THE PLAY:</w:t>
      </w:r>
      <w:r>
        <w:t xml:space="preserve"> </w:t>
      </w:r>
      <w:r>
        <w:t xml:space="preserve">(1) Accelerate CCA Gridshare contracts (Ava, PCE, SVCE already started) to represent &gt;30% of software revenue within 18 months. (2) Diversify hardware distribution to 3–5 non-Sunrun national partners (Greentech Renewables expansion, BayWa r.e., Soligent) before Sunrun’s March 2028 maturity creates pressure. (3) Negotiate prepayment or letter-of-credit terms on Sunrun hardware orders. (4) Ensure Gridshare licensing contracts contain termination payments surviving a bankruptcy filing. (5) Demand board-level disclosure of Jurich recusal protocol for Sunrun-related decisions.</w:t>
      </w:r>
    </w:p>
    <w:p>
      <w:pPr>
        <w:pStyle w:val="BodyText"/>
      </w:pPr>
      <w:r>
        <w:rPr>
          <w:b/>
        </w:rPr>
        <w:t xml:space="preserve">THE MAGNITUDE:</w:t>
      </w:r>
      <w:r>
        <w:t xml:space="preserve"> </w:t>
      </w:r>
      <w:r>
        <w:t xml:space="preserve">If Sunrun represents 50–70% of total Lunar revenue, a Sunrun disruption without hedging is existential. Achieving sub-30% concentration reduces the expected loss in a Sunrun stress scenario from ~$20–35M to ~$6–10M annually. Strategic insurance value: incalculable.</w:t>
      </w:r>
    </w:p>
    <w:p>
      <w:pPr>
        <w:pStyle w:val="BodyText"/>
      </w:pPr>
      <w:r>
        <w:rPr>
          <w:b/>
        </w:rPr>
        <w:t xml:space="preserve">THE RISK:</w:t>
      </w:r>
      <w:r>
        <w:t xml:space="preserve"> </w:t>
      </w:r>
      <w:r>
        <w:t xml:space="preserve">Aggressively diversifying away from Sunrun while Sunrun chairs the board creates governance tension. Mitigation: frame diversification as</w:t>
      </w:r>
      <w:r>
        <w:t xml:space="preserve"> </w:t>
      </w:r>
      <w:r>
        <w:t xml:space="preserve">“</w:t>
      </w:r>
      <w:r>
        <w:t xml:space="preserve">expanding the market</w:t>
      </w:r>
      <w:r>
        <w:t xml:space="preserve">”</w:t>
      </w:r>
      <w:r>
        <w:t xml:space="preserve"> </w:t>
      </w:r>
      <w:r>
        <w:t xml:space="preserve">rather than</w:t>
      </w:r>
      <w:r>
        <w:t xml:space="preserve"> </w:t>
      </w:r>
      <w:r>
        <w:t xml:space="preserve">“</w:t>
      </w:r>
      <w:r>
        <w:t xml:space="preserve">hedging against Sunrun.</w:t>
      </w:r>
      <w:r>
        <w:t xml:space="preserve">”</w:t>
      </w:r>
    </w:p>
    <w:p>
      <w:pPr>
        <w:pStyle w:val="BodyText"/>
      </w:pPr>
      <w:r>
        <w:rPr>
          <w:b/>
        </w:rPr>
        <w:t xml:space="preserve">CONFIDENCE:</w:t>
      </w:r>
      <w:r>
        <w:t xml:space="preserve"> </w:t>
      </w:r>
      <w:r>
        <w:t xml:space="preserve">High on the structural risk (85%); Medium on execution timeline (55%) — distribution diversification takes 12–18 months.</w:t>
      </w:r>
    </w:p>
    <w:p>
      <w:pPr>
        <w:pStyle w:val="BodyText"/>
      </w:pPr>
      <w:r>
        <w:rPr>
          <w:b/>
        </w:rPr>
        <w:t xml:space="preserve">KEY CITATIONS:</w:t>
      </w:r>
      <w:r>
        <w:t xml:space="preserve"> </w:t>
      </w:r>
      <w:r>
        <w:t xml:space="preserve">Sunrun 2024 10-K; Sunrun Q4 2025 Earnings; Bloomberg/EnergyNow on 37% stake; SunPower bankruptcy proceedings.</w:t>
      </w:r>
    </w:p>
    <w:p>
      <w:r>
        <w:pict>
          <v:rect style="width:0;height:1.5pt" o:hralign="center" o:hrstd="t" o:hr="t"/>
        </w:pict>
      </w:r>
    </w:p>
    <w:p>
      <w:pPr>
        <w:pStyle w:val="Heading3"/>
      </w:pPr>
      <w:bookmarkStart w:id="32" w:name="X83f282f64c1ae910c220f03bcdb83565979b963"/>
      <w:r>
        <w:t xml:space="preserve">IDEA 8: THE SOLAR ORPHAN RESCUE — 1M STRANDED CUSTOMERS AT THE LOWEST CAC IN THE MARKET</w:t>
      </w:r>
      <w:bookmarkEnd w:id="32"/>
    </w:p>
    <w:p>
      <w:pPr>
        <w:pStyle w:val="FirstParagraph"/>
      </w:pPr>
      <w:r>
        <w:rPr>
          <w:b/>
        </w:rPr>
        <w:t xml:space="preserve">THE INSIGHT:</w:t>
      </w:r>
      <w:r>
        <w:t xml:space="preserve"> </w:t>
      </w:r>
      <w:r>
        <w:t xml:space="preserve">SunPower, Titan Solar, and ADT Solar bankruptcies in 2024 stranded an estimated 1M+ residential solar customers with no service provider, no warranty, and no battery. [Source: SunPower Chapter 11 Filing, August 2024; Industry estimates] These customers have existing solar arrays, existing electrical infrastructure, existing clean energy commitment, and are actively seeking service providers — the lowest customer acquisition cost (CAC) segment in the residential battery market. Independent installers picking up orphaned maintenance contracts are actively seeking battery brands to recommend.</w:t>
      </w:r>
    </w:p>
    <w:p>
      <w:pPr>
        <w:pStyle w:val="BodyText"/>
      </w:pPr>
      <w:r>
        <w:rPr>
          <w:b/>
        </w:rPr>
        <w:t xml:space="preserve">THE EVIDENCE:</w:t>
      </w:r>
      <w:r>
        <w:t xml:space="preserve"> </w:t>
      </w:r>
      <w:r>
        <w:t xml:space="preserve">SunPower alone had hundreds of thousands of active customers at bankruptcy filing. [Source: SunPower 10-K, 2023] NEM 2.0 customers (post-July 2017 solar installations) have the strongest battery retrofit economics. Lunar’s DC-coupled architecture with Maximizer optimizers can integrate with diverse panel configurations. [Source: Lunar Energy Product Specifications] FranklinWH has not launched a targeted solar orphan program (per search of marketing channels). [L2 Deep Dive: Solar Orphan Market]</w:t>
      </w:r>
    </w:p>
    <w:p>
      <w:pPr>
        <w:pStyle w:val="BodyText"/>
      </w:pPr>
      <w:r>
        <w:rPr>
          <w:b/>
        </w:rPr>
        <w:t xml:space="preserve">THE PLAY:</w:t>
      </w:r>
      <w:r>
        <w:t xml:space="preserve"> </w:t>
      </w:r>
      <w:r>
        <w:t xml:space="preserve">(1) Launch a</w:t>
      </w:r>
      <w:r>
        <w:t xml:space="preserve"> </w:t>
      </w:r>
      <w:r>
        <w:t xml:space="preserve">“</w:t>
      </w:r>
      <w:r>
        <w:t xml:space="preserve">Solar Rescue</w:t>
      </w:r>
      <w:r>
        <w:t xml:space="preserve">”</w:t>
      </w:r>
      <w:r>
        <w:t xml:space="preserve"> </w:t>
      </w:r>
      <w:r>
        <w:t xml:space="preserve">branded program offering Lunar battery retrofits at a modest discount with Gridshare VPP enrollment. (2) Partner with independent installers already servicing orphaned solar accounts (identifiable through California CSLB license database and SunPower service transfer records). (3) Target NEM 2.0 orphans specifically — they retain favorable grandfathered rates that make battery economics compelling. (4) Offer simplified</w:t>
      </w:r>
      <w:r>
        <w:t xml:space="preserve"> </w:t>
      </w:r>
      <w:r>
        <w:t xml:space="preserve">“</w:t>
      </w:r>
      <w:r>
        <w:t xml:space="preserve">AC-coupled retrofit</w:t>
      </w:r>
      <w:r>
        <w:t xml:space="preserve">”</w:t>
      </w:r>
      <w:r>
        <w:t xml:space="preserve"> </w:t>
      </w:r>
      <w:r>
        <w:t xml:space="preserve">installation mode for homes with incompatible existing inverters. Marketing investment: $2–3M. Timeline: launch in 60 days.</w:t>
      </w:r>
    </w:p>
    <w:p>
      <w:pPr>
        <w:pStyle w:val="BodyText"/>
      </w:pPr>
      <w:r>
        <w:rPr>
          <w:b/>
        </w:rPr>
        <w:t xml:space="preserve">THE MAGNITUDE:</w:t>
      </w:r>
      <w:r>
        <w:t xml:space="preserve"> </w:t>
      </w:r>
      <w:r>
        <w:t xml:space="preserve">5,000–10,000 units/year from this single segment at $15,000 ASP = $75–$150M/year. Simultaneous Gridshare fleet expansion. Installer network growth (converting orphan service providers to Lunar partners). First-mover advantage is time-limited — these customers are choosing solutions now.</w:t>
      </w:r>
    </w:p>
    <w:p>
      <w:pPr>
        <w:pStyle w:val="BodyText"/>
      </w:pPr>
      <w:r>
        <w:rPr>
          <w:b/>
        </w:rPr>
        <w:t xml:space="preserve">THE RISK:</w:t>
      </w:r>
      <w:r>
        <w:t xml:space="preserve"> </w:t>
      </w:r>
      <w:r>
        <w:t xml:space="preserve">Technical complexity of integrating with legacy SunPower Equinox or Titan Solar panel configurations. Not all orphan homes will be electrically suitable for DC coupling. Mitigation: offer both DC-coupled and AC-coupled installation paths.</w:t>
      </w:r>
    </w:p>
    <w:p>
      <w:pPr>
        <w:pStyle w:val="BodyText"/>
      </w:pPr>
      <w:r>
        <w:rPr>
          <w:b/>
        </w:rPr>
        <w:t xml:space="preserve">CONFIDENCE:</w:t>
      </w:r>
      <w:r>
        <w:t xml:space="preserve"> </w:t>
      </w:r>
      <w:r>
        <w:t xml:space="preserve">Medium-High (70%). Orphan customer base is documented. Retrofit economics are compelling. Uncertainty is around technical integration and installer conversion rates.</w:t>
      </w:r>
    </w:p>
    <w:p>
      <w:pPr>
        <w:pStyle w:val="BodyText"/>
      </w:pPr>
      <w:r>
        <w:rPr>
          <w:b/>
        </w:rPr>
        <w:t xml:space="preserve">KEY CITATIONS:</w:t>
      </w:r>
      <w:r>
        <w:t xml:space="preserve"> </w:t>
      </w:r>
      <w:r>
        <w:t xml:space="preserve">SunPower Chapter 11 Filing (August 2024); California NEM Interconnection Database; Lunar Energy Product Specifications.</w:t>
      </w:r>
    </w:p>
    <w:p>
      <w:r>
        <w:pict>
          <v:rect style="width:0;height:1.5pt" o:hralign="center" o:hrstd="t" o:hr="t"/>
        </w:pict>
      </w:r>
    </w:p>
    <w:p>
      <w:pPr>
        <w:pStyle w:val="Heading3"/>
      </w:pPr>
      <w:bookmarkStart w:id="33" w:name="X942a6c07babe3b480b3a8b1659c017227677b71"/>
      <w:r>
        <w:t xml:space="preserve">IDEA 9: THE INSURANCE PREMIUM PLAY — GRIDSHARE AS A LOSS PREVENTION DATA ASSET</w:t>
      </w:r>
      <w:bookmarkEnd w:id="33"/>
    </w:p>
    <w:p>
      <w:pPr>
        <w:pStyle w:val="FirstParagraph"/>
      </w:pPr>
      <w:r>
        <w:rPr>
          <w:b/>
        </w:rPr>
        <w:t xml:space="preserve">THE INSIGHT:</w:t>
      </w:r>
      <w:r>
        <w:t xml:space="preserve"> </w:t>
      </w:r>
      <w:r>
        <w:t xml:space="preserve">Homeowner insurance premiums rose 24% over three years; the industry’s 2023 underwriting ratio was 110.5% (paying $1.11 per $1.00 earned). [Source: Consumer Federation of America, April 2025; Insurance Information Institute] Whisker Labs’ Ting electrical fire sensor has been deployed at no cost to 1M+ homes by State Farm and Nationwide because the prevention ROI is positive — electrical fires cause $100,000 average damage, Ting prevents 1 in 60 annually. [Source: Whisker Labs Press Releases; Nationwide/Ting Partnership, April 2024] Gridshare’s Bridge panel sits at a categorically deeper monitoring point than Ting’s plug-in sensor and additionally eliminates the generator use that causes 100+ CO deaths/year and thousands of fire claims. [Source: CPSC Portable Generator Fatality Statistics, 2024]</w:t>
      </w:r>
    </w:p>
    <w:p>
      <w:pPr>
        <w:pStyle w:val="BodyText"/>
      </w:pPr>
      <w:r>
        <w:rPr>
          <w:b/>
        </w:rPr>
        <w:t xml:space="preserve">THE EVIDENCE:</w:t>
      </w:r>
      <w:r>
        <w:t xml:space="preserve"> </w:t>
      </w:r>
      <w:r>
        <w:t xml:space="preserve">Ting achieves 85% activation rates when offered free by insurers. [Source: Whisker Labs documentation] Progressive Snapshot has paid $2.2B in telematics-driven discounts since 2009, demonstrating the auto insurance analog. [Source: Progressive Insurance, Carrier Management] Hippo Insurance already offers 10–13% discounts for smart home devices (Ring, SimpliSafe). [Source: Hippo FAQ] Gridshare’s data infrastructure (40B data points/month, 178 TB/year) already generates the raw signals — heating continuity during freeze events, outage duration, generator-free response — that map to the highest-frequency claim categories.</w:t>
      </w:r>
    </w:p>
    <w:p>
      <w:pPr>
        <w:pStyle w:val="BodyText"/>
      </w:pPr>
      <w:r>
        <w:rPr>
          <w:b/>
        </w:rPr>
        <w:t xml:space="preserve">THE PLAY:</w:t>
      </w:r>
      <w:r>
        <w:t xml:space="preserve"> </w:t>
      </w:r>
      <w:r>
        <w:t xml:space="preserve">Phase 1 (0–12 months): Conduct retrospective claims analysis with a partner insurer under NDA. Develop</w:t>
      </w:r>
      <w:r>
        <w:t xml:space="preserve"> </w:t>
      </w:r>
      <w:r>
        <w:t xml:space="preserve">“</w:t>
      </w:r>
      <w:r>
        <w:t xml:space="preserve">Gridshare Risk Intelligence Score</w:t>
      </w:r>
      <w:r>
        <w:t xml:space="preserve">”</w:t>
      </w:r>
      <w:r>
        <w:t xml:space="preserve"> </w:t>
      </w:r>
      <w:r>
        <w:t xml:space="preserve">prototype — derived signals, not raw data. Engage Hartford Steam Boiler (Munich Re subsidiary, Ting’s institutional distributor). Phase 2 (12–24 months): Pilot discount-only opt-in program with 2–3 California-domiciled insurers. Phase 3 (24–48 months): Scale to HSB’s full carrier network.</w:t>
      </w:r>
    </w:p>
    <w:p>
      <w:pPr>
        <w:pStyle w:val="BodyText"/>
      </w:pPr>
      <w:r>
        <w:rPr>
          <w:b/>
        </w:rPr>
        <w:t xml:space="preserve">THE MAGNITUDE:</w:t>
      </w:r>
      <w:r>
        <w:t xml:space="preserve"> </w:t>
      </w:r>
      <w:r>
        <w:t xml:space="preserve">At $50–120/home/year data licensing fee: $7.5–18M/year on current 150,000-device fleet; $25–60M/year at 500,000 devices. Customer acquisition flywheel: insurers subsidize Gridshare enrollment for non-Lunar-battery homes, expanding the software fleet at insurer expense.</w:t>
      </w:r>
    </w:p>
    <w:p>
      <w:pPr>
        <w:pStyle w:val="BodyText"/>
      </w:pPr>
      <w:r>
        <w:rPr>
          <w:b/>
        </w:rPr>
        <w:t xml:space="preserve">THE RISK:</w:t>
      </w:r>
      <w:r>
        <w:t xml:space="preserve"> </w:t>
      </w:r>
      <w:r>
        <w:t xml:space="preserve">No battery storage company has executed this model yet. Battery fire risk perception may initially deter underwriters. Mitigation: Lunar’s LFP chemistry has superior thermal stability; Gridshare monitoring of battery health turns the objection into an asset.</w:t>
      </w:r>
    </w:p>
    <w:p>
      <w:pPr>
        <w:pStyle w:val="BodyText"/>
      </w:pPr>
      <w:r>
        <w:rPr>
          <w:b/>
        </w:rPr>
        <w:t xml:space="preserve">CONFIDENCE:</w:t>
      </w:r>
      <w:r>
        <w:t xml:space="preserve"> </w:t>
      </w:r>
      <w:r>
        <w:t xml:space="preserve">Medium (55%). The market demand is confirmed. The Whisker Labs precedent is strong. Execution requires new organizational capabilities.</w:t>
      </w:r>
    </w:p>
    <w:p>
      <w:pPr>
        <w:pStyle w:val="BodyText"/>
      </w:pPr>
      <w:r>
        <w:rPr>
          <w:b/>
        </w:rPr>
        <w:t xml:space="preserve">KEY CITATIONS:</w:t>
      </w:r>
      <w:r>
        <w:t xml:space="preserve"> </w:t>
      </w:r>
      <w:r>
        <w:t xml:space="preserve">Whisker Labs/Nationwide partnership (April 2024); Progressive Snapshot history; Consumer Federation of America premium data; CPSC generator statistics.</w:t>
      </w:r>
    </w:p>
    <w:p>
      <w:r>
        <w:pict>
          <v:rect style="width:0;height:1.5pt" o:hralign="center" o:hrstd="t" o:hr="t"/>
        </w:pict>
      </w:r>
    </w:p>
    <w:p>
      <w:pPr>
        <w:pStyle w:val="Heading3"/>
      </w:pPr>
      <w:bookmarkStart w:id="34" w:name="Xfa25f4efaee597a2c50c51a7a7d3eacedd59b23"/>
      <w:r>
        <w:t xml:space="preserve">IDEA 10: THE EATON STRATEGIC DEEPENING — FROM COMPONENT VENDOR TO DISTRIBUTION PARTNER</w:t>
      </w:r>
      <w:bookmarkEnd w:id="34"/>
    </w:p>
    <w:p>
      <w:pPr>
        <w:pStyle w:val="FirstParagraph"/>
      </w:pPr>
      <w:r>
        <w:rPr>
          <w:b/>
        </w:rPr>
        <w:t xml:space="preserve">THE INSIGHT:</w:t>
      </w:r>
      <w:r>
        <w:t xml:space="preserve"> </w:t>
      </w:r>
      <w:r>
        <w:t xml:space="preserve">Eaton ($23.2B revenue, 120+ years, 50,000+ electrical contractor relationships) announced a Lunar collaboration in October 2024, but the relationship appears limited to AbleEdge smart breaker integration with the Lunar Bridge. [Source: Eaton/Lunar Partnership, October 2024] Eaton’s AbleEdge system is explicitly designed as an open-API, hardware-agnostic smart panel — and Eaton has no competitive residential VPP software platform. Eaton’s European xStorage residential battery had lukewarm market reception, suggesting an appetite for a US residential storage partner. [L1.5 Tension Point 13]</w:t>
      </w:r>
    </w:p>
    <w:p>
      <w:pPr>
        <w:pStyle w:val="BodyText"/>
      </w:pPr>
      <w:r>
        <w:rPr>
          <w:b/>
        </w:rPr>
        <w:t xml:space="preserve">THE EVIDENCE:</w:t>
      </w:r>
      <w:r>
        <w:t xml:space="preserve"> </w:t>
      </w:r>
      <w:r>
        <w:t xml:space="preserve">Eaton has completed 8+ acquisitions in the $100M–$5B range over the last decade. [Source: Eaton Investor Relations, M&amp;A History] Eaton’s Brightlayer Home platform provides cloud connectivity but lacks VPP optimization — precisely Gridshare’s strength. [Source: Eaton AbleEdge Documentation] AbleEdge’s open API allows Gridshare to instrument every Eaton BR panel breaker with revenue-grade metering without hardware redesign of Bridge. [Source: Eaton TD003020en Spec Sheet]</w:t>
      </w:r>
    </w:p>
    <w:p>
      <w:pPr>
        <w:pStyle w:val="BodyText"/>
      </w:pPr>
      <w:r>
        <w:rPr>
          <w:b/>
        </w:rPr>
        <w:t xml:space="preserve">THE PLAY:</w:t>
      </w:r>
      <w:r>
        <w:t xml:space="preserve"> </w:t>
      </w:r>
      <w:r>
        <w:t xml:space="preserve">(1) Propose a strategic alliance upgrade: Eaton provides AbleEdge sensing hardware + contractor network access; Lunar provides Gridshare optimization + VPP revenue generation. (2) Co-develop</w:t>
      </w:r>
      <w:r>
        <w:t xml:space="preserve"> </w:t>
      </w:r>
      <w:r>
        <w:t xml:space="preserve">“</w:t>
      </w:r>
      <w:r>
        <w:t xml:space="preserve">Eaton + Lunar Whole-Home Electrification Package</w:t>
      </w:r>
      <w:r>
        <w:t xml:space="preserve">”</w:t>
      </w:r>
      <w:r>
        <w:t xml:space="preserve"> </w:t>
      </w:r>
      <w:r>
        <w:t xml:space="preserve">for Eaton’s contractor channel. (3) Explore Eaton procurement scale for power electronics components (inverter BOM cost reduction). (4) Position Lunar as a potential Eaton acquisition target — Eaton’s xStorage gap + Gridshare’s proven platform = strategic rationale.</w:t>
      </w:r>
    </w:p>
    <w:p>
      <w:pPr>
        <w:pStyle w:val="BodyText"/>
      </w:pPr>
      <w:r>
        <w:rPr>
          <w:b/>
        </w:rPr>
        <w:t xml:space="preserve">THE MAGNITUDE:</w:t>
      </w:r>
      <w:r>
        <w:t xml:space="preserve"> </w:t>
      </w:r>
      <w:r>
        <w:t xml:space="preserve">Access to Eaton’s 50,000+ electrical contractor relationships could transform the installer constraint overnight. Even capturing 1% of Eaton’s contractor base (500 certified Lunar partners) would exceed FranklinWH’s current network. Co-procurement of power electronics could reduce inverter BOM by 5–10%.</w:t>
      </w:r>
    </w:p>
    <w:p>
      <w:pPr>
        <w:pStyle w:val="BodyText"/>
      </w:pPr>
      <w:r>
        <w:rPr>
          <w:b/>
        </w:rPr>
        <w:t xml:space="preserve">THE RISK:</w:t>
      </w:r>
      <w:r>
        <w:t xml:space="preserve"> </w:t>
      </w:r>
      <w:r>
        <w:t xml:space="preserve">Eaton could build or acquire VPP capability independently (AbleEdge + Brightlayer Home + partner/acquire a VPP platform). Mitigation: move fast; make Gridshare the de facto optimization layer for AbleEdge before Eaton invests in alternatives.</w:t>
      </w:r>
    </w:p>
    <w:p>
      <w:pPr>
        <w:pStyle w:val="BodyText"/>
      </w:pPr>
      <w:r>
        <w:rPr>
          <w:b/>
        </w:rPr>
        <w:t xml:space="preserve">CONFIDENCE:</w:t>
      </w:r>
      <w:r>
        <w:t xml:space="preserve"> </w:t>
      </w:r>
      <w:r>
        <w:t xml:space="preserve">Medium (50%). Partnership exists. Depth of commercial opportunity is logical but unverified. Eaton’s residential storage ambitions are unclear.</w:t>
      </w:r>
    </w:p>
    <w:p>
      <w:pPr>
        <w:pStyle w:val="BodyText"/>
      </w:pPr>
      <w:r>
        <w:rPr>
          <w:b/>
        </w:rPr>
        <w:t xml:space="preserve">KEY CITATIONS:</w:t>
      </w:r>
      <w:r>
        <w:t xml:space="preserve"> </w:t>
      </w:r>
      <w:r>
        <w:t xml:space="preserve">Eaton/Lunar Partnership (October 2024); Eaton AbleEdge Documentation; Eaton Investor Relations.</w:t>
      </w:r>
    </w:p>
    <w:p>
      <w:r>
        <w:pict>
          <v:rect style="width:0;height:1.5pt" o:hralign="center" o:hrstd="t" o:hr="t"/>
        </w:pict>
      </w:r>
    </w:p>
    <w:p>
      <w:pPr>
        <w:pStyle w:val="Heading3"/>
      </w:pPr>
      <w:bookmarkStart w:id="35" w:name="Xc1af31820c2db8badc078649368c143339ba682"/>
      <w:r>
        <w:t xml:space="preserve">IDEA 11: JAPAN VPP MARKET CAPTURE — THE FASTEST PATH TO SOFTWARE REVENUE GROWTH</w:t>
      </w:r>
      <w:bookmarkEnd w:id="35"/>
    </w:p>
    <w:p>
      <w:pPr>
        <w:pStyle w:val="FirstParagraph"/>
      </w:pPr>
      <w:r>
        <w:rPr>
          <w:b/>
        </w:rPr>
        <w:t xml:space="preserve">THE INSIGHT:</w:t>
      </w:r>
      <w:r>
        <w:t xml:space="preserve"> </w:t>
      </w:r>
      <w:r>
        <w:t xml:space="preserve">Starting April 2026, Japanese residential DERs become eligible for transmission-level capacity and balancing markets for the first time. [Source: METI Policy; Volue Regulatory Analysis, December 2025] Gridshare already manages 35,000+ ITOCHU Smart Star batteries — the largest residential battery aggregation in Japan. [Source: Lunar Energy ITOCHU Case Study] GSJ completed VPP trials with four of Japan’s five largest utilities. However, Lunar holds only a minority stake in GSJ post the December 2025 restructuring, and the licensing terms between Lunar UK and GSJ are unknown. [Source: ITOCHU Press Release, December 2025]</w:t>
      </w:r>
    </w:p>
    <w:p>
      <w:pPr>
        <w:pStyle w:val="BodyText"/>
      </w:pPr>
      <w:r>
        <w:rPr>
          <w:b/>
        </w:rPr>
        <w:t xml:space="preserve">THE EVIDENCE:</w:t>
      </w:r>
      <w:r>
        <w:t xml:space="preserve"> </w:t>
      </w:r>
      <w:r>
        <w:t xml:space="preserve">Japan’s capacity market cleared at ¥14,137/kW/year for FY2024–25 delivery. [Source: Argus Media; Shulman Advisory] Balancing market BESS assets settled at ¥10.84–15.70/ΔkW/30min. [Source: Greenberg Traurig, January 2026] However, METI proposes a 63% balancing market price cap reduction effective April 2026 — a major headwind. [Source: Greenberg Traurig, METI System Review Working Group] Combined gross market revenue to GSJ fleet: ~¥725M–3B/year ($4.6–19M), of which Lunar UK captures a fraction as licensing revenue.</w:t>
      </w:r>
    </w:p>
    <w:p>
      <w:pPr>
        <w:pStyle w:val="BodyText"/>
      </w:pPr>
      <w:r>
        <w:rPr>
          <w:b/>
        </w:rPr>
        <w:t xml:space="preserve">THE PLAY:</w:t>
      </w:r>
      <w:r>
        <w:t xml:space="preserve"> </w:t>
      </w:r>
      <w:r>
        <w:t xml:space="preserve">(1) Download Moixa Energy Holdings FY2024 accounts from UK Companies House to determine actual GSJ licensing terms. (2) If licensing structure is fixed-fee (legacy): renegotiate immediately for performance-based or per-MWh revenue sharing before market revenues materialize. (3) If revenue-share already exists: optimize Gridshare dispatch algorithms for Japanese balancing market specifications. (4) Push GSJ to expand fleet from 35,000 to 50,000+ through ITOCHU’s Smart Star distribution.</w:t>
      </w:r>
    </w:p>
    <w:p>
      <w:pPr>
        <w:pStyle w:val="BodyText"/>
      </w:pPr>
      <w:r>
        <w:rPr>
          <w:b/>
        </w:rPr>
        <w:t xml:space="preserve">THE MAGNITUDE:</w:t>
      </w:r>
      <w:r>
        <w:t xml:space="preserve"> </w:t>
      </w:r>
      <w:r>
        <w:t xml:space="preserve">Central estimate for Lunar UK incremental licensing: $1–5M/year near-term; $5–15M/year by FY2028–2030 if fleet scales and market conditions normalize. The Japan revenue stream would be the highest-margin, fastest-growing line in Lunar’s portfolio.</w:t>
      </w:r>
    </w:p>
    <w:p>
      <w:pPr>
        <w:pStyle w:val="BodyText"/>
      </w:pPr>
      <w:r>
        <w:rPr>
          <w:b/>
        </w:rPr>
        <w:t xml:space="preserve">THE RISK:</w:t>
      </w:r>
      <w:r>
        <w:t xml:space="preserve"> </w:t>
      </w:r>
      <w:r>
        <w:t xml:space="preserve">Minority stake means Lunar does not control commercial decisions. METI’s balancing market price cap cut could reduce revenue 50–60%. Mitigation: the capacity market (unaffected by the balancing market cap) provides a stable base layer.</w:t>
      </w:r>
    </w:p>
    <w:p>
      <w:pPr>
        <w:pStyle w:val="BodyText"/>
      </w:pPr>
      <w:r>
        <w:rPr>
          <w:b/>
        </w:rPr>
        <w:t xml:space="preserve">CONFIDENCE:</w:t>
      </w:r>
      <w:r>
        <w:t xml:space="preserve"> </w:t>
      </w:r>
      <w:r>
        <w:t xml:space="preserve">Medium (40%). Market opening is confirmed. Gridshare’s position is strong. Licensing terms are the critical unknown.</w:t>
      </w:r>
    </w:p>
    <w:p>
      <w:pPr>
        <w:pStyle w:val="BodyText"/>
      </w:pPr>
      <w:r>
        <w:rPr>
          <w:b/>
        </w:rPr>
        <w:t xml:space="preserve">KEY CITATIONS:</w:t>
      </w:r>
      <w:r>
        <w:t xml:space="preserve"> </w:t>
      </w:r>
      <w:r>
        <w:t xml:space="preserve">ITOCHU Press Release (December 2025); METI Balancing Market Proposals; Argus Media Capacity Market Data; Greenberg Traurig LLP Analysis.</w:t>
      </w:r>
    </w:p>
    <w:p>
      <w:r>
        <w:pict>
          <v:rect style="width:0;height:1.5pt" o:hralign="center" o:hrstd="t" o:hr="t"/>
        </w:pict>
      </w:r>
    </w:p>
    <w:p>
      <w:pPr>
        <w:pStyle w:val="Heading3"/>
      </w:pPr>
      <w:bookmarkStart w:id="36" w:name="Xcbdeb4a1957aaee305a57ad0fc75e3fbae6237e"/>
      <w:r>
        <w:t xml:space="preserve">IDEA 12 (CONTRARIAN): THE</w:t>
      </w:r>
      <w:r>
        <w:t xml:space="preserve"> </w:t>
      </w:r>
      <w:r>
        <w:t xml:space="preserve">“</w:t>
      </w:r>
      <w:r>
        <w:t xml:space="preserve">PROUDLY DOMESTIC</w:t>
      </w:r>
      <w:r>
        <w:t xml:space="preserve">”</w:t>
      </w:r>
      <w:r>
        <w:t xml:space="preserve"> </w:t>
      </w:r>
      <w:r>
        <w:t xml:space="preserve">CLAIM IS A LIABILITY, NOT AN ASSET — AND FIXING IT IS WORTH MORE THAN THE MARKETING VALUE</w:t>
      </w:r>
      <w:bookmarkEnd w:id="36"/>
    </w:p>
    <w:p>
      <w:pPr>
        <w:pStyle w:val="FirstParagraph"/>
      </w:pPr>
      <w:r>
        <w:rPr>
          <w:b/>
        </w:rPr>
        <w:t xml:space="preserve">THE INSIGHT:</w:t>
      </w:r>
      <w:r>
        <w:t xml:space="preserve"> </w:t>
      </w:r>
      <w:r>
        <w:t xml:space="preserve">Conventional wisdom says Lunar’s</w:t>
      </w:r>
      <w:r>
        <w:t xml:space="preserve"> </w:t>
      </w:r>
      <w:r>
        <w:t xml:space="preserve">“</w:t>
      </w:r>
      <w:r>
        <w:t xml:space="preserve">proudly domestic content</w:t>
      </w:r>
      <w:r>
        <w:t xml:space="preserve">”</w:t>
      </w:r>
      <w:r>
        <w:t xml:space="preserve"> </w:t>
      </w:r>
      <w:r>
        <w:t xml:space="preserve">positioning is a competitive advantage. The research reveals it is actually a ticking regulatory and legal liability. Battery modules assembled in Mexico do not qualify as</w:t>
      </w:r>
      <w:r>
        <w:t xml:space="preserve"> </w:t>
      </w:r>
      <w:r>
        <w:t xml:space="preserve">“</w:t>
      </w:r>
      <w:r>
        <w:t xml:space="preserve">domestic</w:t>
      </w:r>
      <w:r>
        <w:t xml:space="preserve">”</w:t>
      </w:r>
      <w:r>
        <w:t xml:space="preserve"> </w:t>
      </w:r>
      <w:r>
        <w:t xml:space="preserve">under any IRS guidance. [Source: IRC §45X; Treasury Domestic Content FAQ] CEO Girotra’s statement that Lunar</w:t>
      </w:r>
      <w:r>
        <w:t xml:space="preserve"> </w:t>
      </w:r>
      <w:r>
        <w:t xml:space="preserve">“</w:t>
      </w:r>
      <w:r>
        <w:t xml:space="preserve">only contracts with battery manufacturers in the U.S.</w:t>
      </w:r>
      <w:r>
        <w:t xml:space="preserve">”</w:t>
      </w:r>
      <w:r>
        <w:t xml:space="preserve"> </w:t>
      </w:r>
      <w:r>
        <w:t xml:space="preserve">directly contradicts the company website’s disclosure that cells come</w:t>
      </w:r>
      <w:r>
        <w:t xml:space="preserve"> </w:t>
      </w:r>
      <w:r>
        <w:t xml:space="preserve">“</w:t>
      </w:r>
      <w:r>
        <w:t xml:space="preserve">from the United States and Europe.</w:t>
      </w:r>
      <w:r>
        <w:t xml:space="preserve">”</w:t>
      </w:r>
      <w:r>
        <w:t xml:space="preserve"> </w:t>
      </w:r>
      <w:r>
        <w:t xml:space="preserve">[Source: Latitude Media interview; Lunar Energy website] SK On Georgia does not produce LFP cells and won’t until H2 2026. [Source: SK On Newsroom] Continuing to market</w:t>
      </w:r>
      <w:r>
        <w:t xml:space="preserve"> </w:t>
      </w:r>
      <w:r>
        <w:t xml:space="preserve">“</w:t>
      </w:r>
      <w:r>
        <w:t xml:space="preserve">domestic content</w:t>
      </w:r>
      <w:r>
        <w:t xml:space="preserve">”</w:t>
      </w:r>
      <w:r>
        <w:t xml:space="preserve"> </w:t>
      </w:r>
      <w:r>
        <w:t xml:space="preserve">compliance while assembling the most expensive component (battery modules) in Mexico and sourcing cells from unverified origins exposes Lunar to IRS penalties, customer ITC recapture risk (10-year lookback under OBBBA), and installer channel credibility damage.</w:t>
      </w:r>
    </w:p>
    <w:p>
      <w:pPr>
        <w:pStyle w:val="BodyText"/>
      </w:pPr>
      <w:r>
        <w:rPr>
          <w:b/>
        </w:rPr>
        <w:t xml:space="preserve">THE EVIDENCE:</w:t>
      </w:r>
      <w:r>
        <w:t xml:space="preserve"> </w:t>
      </w:r>
      <w:r>
        <w:t xml:space="preserve">The OBBBA’s FEOC</w:t>
      </w:r>
      <w:r>
        <w:t xml:space="preserve"> </w:t>
      </w:r>
      <w:r>
        <w:t xml:space="preserve">“</w:t>
      </w:r>
      <w:r>
        <w:t xml:space="preserve">material assistance</w:t>
      </w:r>
      <w:r>
        <w:t xml:space="preserve">”</w:t>
      </w:r>
      <w:r>
        <w:t xml:space="preserve"> </w:t>
      </w:r>
      <w:r>
        <w:t xml:space="preserve">rules carry penalties of up to 10% of the underpayment or $100,000, whichever is larger, with a 6-year assessment window. [Source: Notice 2026-15; Baker Botts Analysis] Under 48E, if FEOC payments are discovered within 10 years of placed-in-service, the taxpayer must repay the</w:t>
      </w:r>
      <w:r>
        <w:t xml:space="preserve"> </w:t>
      </w:r>
      <w:r>
        <w:rPr>
          <w:i/>
        </w:rPr>
        <w:t xml:space="preserve">entire</w:t>
      </w:r>
      <w:r>
        <w:t xml:space="preserve"> </w:t>
      </w:r>
      <w:r>
        <w:t xml:space="preserve">previously claimed credit. [Source: Public Law 119-21, FEOC provisions] Sunrun and other TPOs who claimed domestic content bonus based on Lunar’s representations would bear the financial impact — and would have recourse against Lunar.</w:t>
      </w:r>
    </w:p>
    <w:p>
      <w:pPr>
        <w:pStyle w:val="BodyText"/>
      </w:pPr>
      <w:r>
        <w:rPr>
          <w:b/>
        </w:rPr>
        <w:t xml:space="preserve">THE PLAY:</w:t>
      </w:r>
      <w:r>
        <w:t xml:space="preserve"> </w:t>
      </w:r>
      <w:r>
        <w:t xml:space="preserve">(1) Retain IRA compliance counsel immediately. (2) Commission an independent domestic content analysis. (3) Stop marketing</w:t>
      </w:r>
      <w:r>
        <w:t xml:space="preserve"> </w:t>
      </w:r>
      <w:r>
        <w:t xml:space="preserve">“</w:t>
      </w:r>
      <w:r>
        <w:t xml:space="preserve">domestic content</w:t>
      </w:r>
      <w:r>
        <w:t xml:space="preserve">”</w:t>
      </w:r>
      <w:r>
        <w:t xml:space="preserve"> </w:t>
      </w:r>
      <w:r>
        <w:t xml:space="preserve">until the analysis is complete. (4) Use the results to drive the Georgia module relocation decision (Idea 1) — solving the problem rather than papering over it. The cost of temporary marketing restraint is trivial; the cost of a compliance failure is existential.</w:t>
      </w:r>
    </w:p>
    <w:p>
      <w:pPr>
        <w:pStyle w:val="BodyText"/>
      </w:pPr>
      <w:r>
        <w:rPr>
          <w:b/>
        </w:rPr>
        <w:t xml:space="preserve">THE MAGNITUDE:</w:t>
      </w:r>
      <w:r>
        <w:t xml:space="preserve"> </w:t>
      </w:r>
      <w:r>
        <w:t xml:space="preserve">Risk avoided: potential IRS penalties ($100K+ per non-compliant system); customer ITC recapture liability across 2,000+ installed systems; Sunrun channel relationship damage. Strategic upside: genuine domestic content compliance (post-relocation) becomes an unassailable competitive moat, not a marketing claim requiring asterisks.</w:t>
      </w:r>
    </w:p>
    <w:p>
      <w:pPr>
        <w:pStyle w:val="BodyText"/>
      </w:pPr>
      <w:r>
        <w:rPr>
          <w:b/>
        </w:rPr>
        <w:t xml:space="preserve">THE RISK:</w:t>
      </w:r>
      <w:r>
        <w:t xml:space="preserve"> </w:t>
      </w:r>
      <w:r>
        <w:t xml:space="preserve">Pausing</w:t>
      </w:r>
      <w:r>
        <w:t xml:space="preserve"> </w:t>
      </w:r>
      <w:r>
        <w:t xml:space="preserve">“</w:t>
      </w:r>
      <w:r>
        <w:t xml:space="preserve">domestic content</w:t>
      </w:r>
      <w:r>
        <w:t xml:space="preserve">”</w:t>
      </w:r>
      <w:r>
        <w:t xml:space="preserve"> </w:t>
      </w:r>
      <w:r>
        <w:t xml:space="preserve">marketing temporarily weakens competitive positioning versus Tesla and FranklinWH. Mitigation: replace with</w:t>
      </w:r>
      <w:r>
        <w:t xml:space="preserve"> </w:t>
      </w:r>
      <w:r>
        <w:t xml:space="preserve">“</w:t>
      </w:r>
      <w:r>
        <w:t xml:space="preserve">FEOC-free</w:t>
      </w:r>
      <w:r>
        <w:t xml:space="preserve">”</w:t>
      </w:r>
      <w:r>
        <w:t xml:space="preserve"> </w:t>
      </w:r>
      <w:r>
        <w:t xml:space="preserve">messaging (verifiable) while domestic content analysis is underway.</w:t>
      </w:r>
    </w:p>
    <w:p>
      <w:pPr>
        <w:pStyle w:val="BodyText"/>
      </w:pPr>
      <w:r>
        <w:rPr>
          <w:b/>
        </w:rPr>
        <w:t xml:space="preserve">CONFIDENCE:</w:t>
      </w:r>
      <w:r>
        <w:t xml:space="preserve"> </w:t>
      </w:r>
      <w:r>
        <w:t xml:space="preserve">High (80%) on the compliance risk. Medium on severity (depends on actual cell sourcing, which remains opaque).</w:t>
      </w:r>
    </w:p>
    <w:p>
      <w:pPr>
        <w:pStyle w:val="BodyText"/>
      </w:pPr>
      <w:r>
        <w:rPr>
          <w:b/>
        </w:rPr>
        <w:t xml:space="preserve">KEY CITATIONS:</w:t>
      </w:r>
      <w:r>
        <w:t xml:space="preserve"> </w:t>
      </w:r>
      <w:r>
        <w:t xml:space="preserve">IRC §45X; Notice 2025-08; Notice 2026-15; Baker Botts FEOC Analysis; Lunar Energy website/CEO interview contradictions.</w:t>
      </w:r>
    </w:p>
    <w:p>
      <w:r>
        <w:pict>
          <v:rect style="width:0;height:1.5pt" o:hralign="center" o:hrstd="t" o:hr="t"/>
        </w:pict>
      </w:r>
    </w:p>
    <w:p>
      <w:pPr>
        <w:pStyle w:val="Heading2"/>
      </w:pPr>
      <w:bookmarkStart w:id="37" w:name="risk-landscape"/>
      <w:r>
        <w:t xml:space="preserve">3. RISK LANDSCAPE</w:t>
      </w:r>
      <w:bookmarkEnd w:id="37"/>
    </w:p>
    <w:p>
      <w:pPr>
        <w:pStyle w:val="FirstParagraph"/>
      </w:pPr>
      <w:r>
        <w:t xml:space="preserve">The risks facing Lunar Energy do not exist in isolation — they form an interconnected system in which the most dangerous scenarios involve multiple risks materializing simultaneously.</w:t>
      </w:r>
    </w:p>
    <w:p>
      <w:pPr>
        <w:pStyle w:val="BodyText"/>
      </w:pPr>
      <w:r>
        <w:rPr>
          <w:b/>
        </w:rPr>
        <w:t xml:space="preserve">The capital runway cliff is the master risk.</w:t>
      </w:r>
      <w:r>
        <w:t xml:space="preserve"> </w:t>
      </w:r>
      <w:r>
        <w:t xml:space="preserve">At $8–12M/month burn with an estimated $85–115M in post-Series D cash, Lunar reaches zero around January 2027 — barely 11 months. [L1.5 Situation Map] The CEO’s</w:t>
      </w:r>
      <w:r>
        <w:t xml:space="preserve"> </w:t>
      </w:r>
      <w:r>
        <w:t xml:space="preserve">“</w:t>
      </w:r>
      <w:r>
        <w:t xml:space="preserve">never raise again</w:t>
      </w:r>
      <w:r>
        <w:t xml:space="preserve">”</w:t>
      </w:r>
      <w:r>
        <w:t xml:space="preserve"> </w:t>
      </w:r>
      <w:r>
        <w:t xml:space="preserve">statement constrains management’s ability to seek bridge financing without reputational damage. The DOE LPO pathway is closed. [L2 Deep Dive: DOE LPO] If hardware revenue does not accelerate dramatically by Q3 2026, the company faces a forced sale, distressed financing, or shut down. Management is most likely underestimating this risk because the $232M raise creates a psychological illusion of abundance that a $100M+ annual burn rate quickly dispels.</w:t>
      </w:r>
    </w:p>
    <w:p>
      <w:pPr>
        <w:pStyle w:val="BodyText"/>
      </w:pPr>
      <w:r>
        <w:rPr>
          <w:b/>
        </w:rPr>
        <w:t xml:space="preserve">The cell supply chain is the hidden single point of failure.</w:t>
      </w:r>
      <w:r>
        <w:t xml:space="preserve"> </w:t>
      </w:r>
      <w:r>
        <w:t xml:space="preserve">Lunar’s current LFP cell source is genuinely unknown. SK On Georgia does not produce LFP commercially. SK On Hungary produces NMC pouch cells. The Flatiron deal is described as SK On’s</w:t>
      </w:r>
      <w:r>
        <w:t xml:space="preserve"> </w:t>
      </w:r>
      <w:r>
        <w:t xml:space="preserve">“</w:t>
      </w:r>
      <w:r>
        <w:t xml:space="preserve">first</w:t>
      </w:r>
      <w:r>
        <w:t xml:space="preserve">”</w:t>
      </w:r>
      <w:r>
        <w:t xml:space="preserve"> </w:t>
      </w:r>
      <w:r>
        <w:t xml:space="preserve">LFP ESS contract, meaning no prior Lunar supply agreement exists at scale. [L2 Deep Dive: Cell Supply Chain] If Lunar’s cells come from CATL (the dominant European LFP producer, based in Hungary), every installed system is FEOC-contaminated — retroactively invalidating ITC credits with a 10-year recapture provision. This is not a theoretical risk; it is a compliance question with auditable answers that Lunar’s own team should already know. The fact that CEO statements contradict website disclosures suggests either careless messaging or deliberate opacity. Neither is acceptable.</w:t>
      </w:r>
    </w:p>
    <w:p>
      <w:pPr>
        <w:pStyle w:val="BodyText"/>
      </w:pPr>
      <w:r>
        <w:rPr>
          <w:b/>
        </w:rPr>
        <w:t xml:space="preserve">The Sunrun-Tesla convergence creates a slow-motion squeeze.</w:t>
      </w:r>
      <w:r>
        <w:t xml:space="preserve"> </w:t>
      </w:r>
      <w:r>
        <w:t xml:space="preserve">Sunrun’s CalReady program (75,000 Tesla Powerwalls) and growing Tesla partnership in Texas mean that Gridshare’s addressable fleet within Sunrun is</w:t>
      </w:r>
      <w:r>
        <w:t xml:space="preserve"> </w:t>
      </w:r>
      <w:r>
        <w:rPr>
          <w:i/>
        </w:rPr>
        <w:t xml:space="preserve">shrinking as a percentage of total installations</w:t>
      </w:r>
      <w:r>
        <w:t xml:space="preserve">, even as absolute numbers grow. [L2 Deep Dive: Sunrun Dependency] A Sunrun that installs 80% Powerwalls is functionally as dangerous to Gridshare as a bankrupt Sunrun — but with much higher probability. Meanwhile, Jurich’s dual board chair role creates information asymmetry that favors Sunrun in every commercial negotiation.</w:t>
      </w:r>
    </w:p>
    <w:p>
      <w:pPr>
        <w:pStyle w:val="BodyText"/>
      </w:pPr>
      <w:r>
        <w:rPr>
          <w:b/>
        </w:rPr>
        <w:t xml:space="preserve">The competitive window is finite and closing.</w:t>
      </w:r>
      <w:r>
        <w:t xml:space="preserve"> </w:t>
      </w:r>
      <w:r>
        <w:t xml:space="preserve">FranklinWH has 3,000 installers. Base Power has $1.3B and is installing 40 MWh/month in Texas. Sonnen has 4,000+ batteries in Rocky Mountain Power’s system. [Various L2 sources] These companies are not waiting for Lunar. Every month of delay in channel expansion, Texas entry, and utility partnership development permanently transfers market share. The Tesla backlash window — the most favorable installer recruitment environment in a decade — is a wasting asset.</w:t>
      </w:r>
    </w:p>
    <w:p>
      <w:pPr>
        <w:pStyle w:val="BodyText"/>
      </w:pPr>
      <w:r>
        <w:t xml:space="preserve">The management team is most likely underestimating the</w:t>
      </w:r>
      <w:r>
        <w:t xml:space="preserve"> </w:t>
      </w:r>
      <w:r>
        <w:rPr>
          <w:i/>
        </w:rPr>
        <w:t xml:space="preserve">interaction</w:t>
      </w:r>
      <w:r>
        <w:t xml:space="preserve"> </w:t>
      </w:r>
      <w:r>
        <w:t xml:space="preserve">among these risks: a cell supply compliance failure triggers ITC recapture → Sunrun stops ordering → Gridshare revenue collapses → cash runway shortens → no ability to raise → forced sale at distressed terms. The entire chain depends on the integrity of a cell supply disclosure that the company has not clearly made.</w:t>
      </w:r>
    </w:p>
    <w:p>
      <w:r>
        <w:pict>
          <v:rect style="width:0;height:1.5pt" o:hralign="center" o:hrstd="t" o:hr="t"/>
        </w:pict>
      </w:r>
    </w:p>
    <w:p>
      <w:pPr>
        <w:pStyle w:val="Heading2"/>
      </w:pPr>
      <w:bookmarkStart w:id="38" w:name="what-to-do-next"/>
      <w:r>
        <w:t xml:space="preserve">4. WHAT TO DO NEXT</w:t>
      </w:r>
      <w:bookmarkEnd w:id="38"/>
    </w:p>
    <w:p>
      <w:pPr>
        <w:pStyle w:val="Heading3"/>
      </w:pPr>
      <w:bookmarkStart w:id="39" w:name="day-action-sequence"/>
      <w:r>
        <w:t xml:space="preserve">90-Day Action Sequence</w:t>
      </w:r>
      <w:bookmarkEnd w:id="39"/>
    </w:p>
    <w:p>
      <w:pPr>
        <w:pStyle w:val="FirstParagraph"/>
      </w:pPr>
      <w:r>
        <w:rPr>
          <w:b/>
        </w:rPr>
        <w:t xml:space="preserve">Week 1–2: FIRE DRILL — Compliance and Disclosure</w:t>
      </w:r>
      <w:r>
        <w:t xml:space="preserve"> </w:t>
      </w:r>
      <w:r>
        <w:t xml:space="preserve">- Engage IRA compliance counsel (Wilson Sonsini, who advised on the financing, is already retained — expand scope)</w:t>
      </w:r>
      <w:r>
        <w:t xml:space="preserve"> </w:t>
      </w:r>
      <w:r>
        <w:t xml:space="preserve">- Commission independent domestic content analysis under Notice 2025-08</w:t>
      </w:r>
      <w:r>
        <w:t xml:space="preserve"> </w:t>
      </w:r>
      <w:r>
        <w:t xml:space="preserve">- Determine the actual origin and chemistry of current battery cells — this is a board-level urgent matter</w:t>
      </w:r>
      <w:r>
        <w:t xml:space="preserve"> </w:t>
      </w:r>
      <w:r>
        <w:t xml:space="preserve">- Add temporal qualification to all $464 VPP earnings claims (legal review: 48 hours; website/materials update: 72 hours)</w:t>
      </w:r>
    </w:p>
    <w:p>
      <w:pPr>
        <w:pStyle w:val="BodyText"/>
      </w:pPr>
      <w:r>
        <w:rPr>
          <w:b/>
        </w:rPr>
        <w:t xml:space="preserve">Week 3–4: FINANCIAL FOUNDATION — Tax Credits</w:t>
      </w:r>
      <w:r>
        <w:t xml:space="preserve"> </w:t>
      </w:r>
      <w:r>
        <w:t xml:space="preserve">- File 45X claim for Suwanee inverter assembly (retroactive if applicable)</w:t>
      </w:r>
      <w:r>
        <w:t xml:space="preserve"> </w:t>
      </w:r>
      <w:r>
        <w:t xml:space="preserve">- Model the combined 45X + domestic content value of Georgia module relocation vs. status quo</w:t>
      </w:r>
      <w:r>
        <w:t xml:space="preserve"> </w:t>
      </w:r>
      <w:r>
        <w:t xml:space="preserve">- Identify 2–3 contract manufacturing candidates for Georgia module assembly (Enphase model)</w:t>
      </w:r>
      <w:r>
        <w:t xml:space="preserve"> </w:t>
      </w:r>
      <w:r>
        <w:t xml:space="preserve">- Request DOE EDF pre-application consultation (free, non-binding) for surviving programs</w:t>
      </w:r>
    </w:p>
    <w:p>
      <w:pPr>
        <w:pStyle w:val="BodyText"/>
      </w:pPr>
      <w:r>
        <w:rPr>
          <w:b/>
        </w:rPr>
        <w:t xml:space="preserve">Month 2: CHANNEL ACCELERATION</w:t>
      </w:r>
      <w:r>
        <w:t xml:space="preserve"> </w:t>
      </w:r>
      <w:r>
        <w:t xml:space="preserve">- Hire 6 regional Channel Development Managers (job postings: Week 3)</w:t>
      </w:r>
      <w:r>
        <w:t xml:space="preserve"> </w:t>
      </w:r>
      <w:r>
        <w:t xml:space="preserve">- Apply for Mosaic and GoodLeap financing AVL listings</w:t>
      </w:r>
      <w:r>
        <w:t xml:space="preserve"> </w:t>
      </w:r>
      <w:r>
        <w:t xml:space="preserve">- Sign BayWa r.e. distribution agreement for Texas/Arizona</w:t>
      </w:r>
      <w:r>
        <w:t xml:space="preserve"> </w:t>
      </w:r>
      <w:r>
        <w:t xml:space="preserve">- Launch</w:t>
      </w:r>
      <w:r>
        <w:t xml:space="preserve"> </w:t>
      </w:r>
      <w:r>
        <w:t xml:space="preserve">“</w:t>
      </w:r>
      <w:r>
        <w:t xml:space="preserve">2-a-Day</w:t>
      </w:r>
      <w:r>
        <w:t xml:space="preserve">”</w:t>
      </w:r>
      <w:r>
        <w:t xml:space="preserve"> </w:t>
      </w:r>
      <w:r>
        <w:t xml:space="preserve">installer economics campaign materials</w:t>
      </w:r>
      <w:r>
        <w:t xml:space="preserve"> </w:t>
      </w:r>
      <w:r>
        <w:t xml:space="preserve">- Begin</w:t>
      </w:r>
      <w:r>
        <w:t xml:space="preserve"> </w:t>
      </w:r>
      <w:r>
        <w:t xml:space="preserve">“</w:t>
      </w:r>
      <w:r>
        <w:t xml:space="preserve">Solar Rescue</w:t>
      </w:r>
      <w:r>
        <w:t xml:space="preserve">”</w:t>
      </w:r>
      <w:r>
        <w:t xml:space="preserve"> </w:t>
      </w:r>
      <w:r>
        <w:t xml:space="preserve">program design for orphan customers</w:t>
      </w:r>
    </w:p>
    <w:p>
      <w:pPr>
        <w:pStyle w:val="BodyText"/>
      </w:pPr>
      <w:r>
        <w:rPr>
          <w:b/>
        </w:rPr>
        <w:t xml:space="preserve">Month 3: MARKET ENTRY</w:t>
      </w:r>
      <w:r>
        <w:t xml:space="preserve"> </w:t>
      </w:r>
      <w:r>
        <w:t xml:space="preserve">- Texas: Sign NATiVE Solar and Longhorn Solar partnerships; initiate QSE discussions</w:t>
      </w:r>
      <w:r>
        <w:t xml:space="preserve"> </w:t>
      </w:r>
      <w:r>
        <w:t xml:space="preserve">- Download Moixa/Lunar UK FY2024 accounts from UK Companies House (GSJ licensing terms)</w:t>
      </w:r>
      <w:r>
        <w:t xml:space="preserve"> </w:t>
      </w:r>
      <w:r>
        <w:t xml:space="preserve">- Commission Gridshare standalone valuation (Houlihan Lokey or similar)</w:t>
      </w:r>
      <w:r>
        <w:t xml:space="preserve"> </w:t>
      </w:r>
      <w:r>
        <w:t xml:space="preserve">- Initiate Eaton strategic alliance upgrade discussions</w:t>
      </w:r>
      <w:r>
        <w:t xml:space="preserve"> </w:t>
      </w:r>
      <w:r>
        <w:t xml:space="preserve">- Brief board on Sunrun concentration risk and request governance protocol disclosure</w:t>
      </w:r>
    </w:p>
    <w:p>
      <w:pPr>
        <w:pStyle w:val="BodyText"/>
      </w:pPr>
      <w:r>
        <w:rPr>
          <w:b/>
        </w:rPr>
        <w:t xml:space="preserve">Internal Data to Gather Immediately:</w:t>
      </w:r>
      <w:r>
        <w:t xml:space="preserve"> </w:t>
      </w:r>
      <w:r>
        <w:t xml:space="preserve">- Exact cell chemistry, manufacturer, and country of origin for every shipped unit</w:t>
      </w:r>
      <w:r>
        <w:t xml:space="preserve"> </w:t>
      </w:r>
      <w:r>
        <w:t xml:space="preserve">- Current 45X claim status (claimed? not claimed? partial?)</w:t>
      </w:r>
      <w:r>
        <w:t xml:space="preserve"> </w:t>
      </w:r>
      <w:r>
        <w:t xml:space="preserve">- Gridshare contract terms with Sunrun (per-device fee? revenue share? fixed annual?)</w:t>
      </w:r>
      <w:r>
        <w:t xml:space="preserve"> </w:t>
      </w:r>
      <w:r>
        <w:t xml:space="preserve">- Gridshare ARR by customer segment</w:t>
      </w:r>
      <w:r>
        <w:t xml:space="preserve"> </w:t>
      </w:r>
      <w:r>
        <w:t xml:space="preserve">- Sunrun accounts receivable balance and payment terms</w:t>
      </w:r>
      <w:r>
        <w:t xml:space="preserve"> </w:t>
      </w:r>
      <w:r>
        <w:t xml:space="preserve">- Mountain View facility lease terms (subleasing permitted?)</w:t>
      </w:r>
    </w:p>
    <w:p>
      <w:pPr>
        <w:pStyle w:val="BodyText"/>
      </w:pPr>
      <w:r>
        <w:rPr>
          <w:b/>
        </w:rPr>
        <w:t xml:space="preserve">Conversations to Have This Week:</w:t>
      </w:r>
      <w:r>
        <w:t xml:space="preserve"> </w:t>
      </w:r>
      <w:r>
        <w:t xml:space="preserve">1. Tax counsel on 45X eligibility and domestic content status</w:t>
      </w:r>
      <w:r>
        <w:t xml:space="preserve"> </w:t>
      </w:r>
      <w:r>
        <w:t xml:space="preserve">2. SK Group investor liaison on LFP cell supply timeline and allocation</w:t>
      </w:r>
      <w:r>
        <w:t xml:space="preserve"> </w:t>
      </w:r>
      <w:r>
        <w:t xml:space="preserve">3. Lynn Jurich on Sunrun governance protocol and Tesla fleet composition data</w:t>
      </w:r>
      <w:r>
        <w:t xml:space="preserve"> </w:t>
      </w:r>
      <w:r>
        <w:t xml:space="preserve">4. Eaton partnership lead on strategic alliance upgrade</w:t>
      </w:r>
      <w:r>
        <w:t xml:space="preserve"> </w:t>
      </w:r>
      <w:r>
        <w:t xml:space="preserve">5. Activate Capital on operational flexibility under Series C protective provisions</w:t>
      </w:r>
    </w:p>
    <w:p>
      <w:pPr>
        <w:pStyle w:val="BodyText"/>
      </w:pPr>
      <w:r>
        <w:t xml:space="preserve">The next 90 days will determine whether Lunar Energy converts its regulatory advantages and competitive window into durable market position — or watches both expire.</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2026-02-28T06:01:29Z</dcterms:created>
  <dcterms:modified xsi:type="dcterms:W3CDTF">2026-02-28T06:01:29Z</dcterms:modified>
</cp:coreProperties>
</file>

<file path=docProps/custom.xml><?xml version="1.0" encoding="utf-8"?>
<Properties xmlns="http://schemas.openxmlformats.org/officeDocument/2006/custom-properties" xmlns:vt="http://schemas.openxmlformats.org/officeDocument/2006/docPropsVTypes"/>
</file>