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CSE 274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Homework #5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Hash Set With Separate Chaining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 where noted, do not use any standard Java collection classes (e.g., TreeSet, TreeMap, HashSet, etc.) for this work.</w:t>
        <w:br w:type="textWrapping"/>
        <w:br w:type="textWrapping"/>
        <w:t xml:space="preserve">Submit a zipped up version of your Eclipse project. Insert your report (PDF file) in the top level directory of your source code.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(5 pts)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class to represent a car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that year (int), make (String), model (String), and color (String).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implement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Comparable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also override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equals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(80 pts)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two class that implement a set using a hash table. Assume that the type of information being stored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Comparable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has proper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equals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hashCode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methods defined.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class will be similar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HashedDictionary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 presented in the textbook but will use separate chaining to resolve collisions. Another difference is that your class will not be a dictionary (i.e., key-value pairs), instead it will be used to represent a set.  The individual buckets will be implemented in the following ways (only one approach will be active at any particular time):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(65 pts)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HashedSetSCJLL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Separate chaining with Java’s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LinkedList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SCJLL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represents “Separate Chaining using Java’s Linked List”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(15 pts)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HashedSetSCSLL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your own (i.e., or an adaptation of the textbook’s) sorted linked list to represent the buckets.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SCSLL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represents “Separate Chaining with Sorted Linked List”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(15 pts)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two different implementations. In your report, identify at least one situation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you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 each implementation will have the best performance, if this is possible. For example, you may think that class implementation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XYZ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perform best when the load factor is high, the insertions occur at the beginning, followed by numerous calls to contains. The factors you might consider include: e.g., different table sizes/load factors, many insertions of a small range of numbers, many insertions of a wide range of numbers, many insertions followed by many calls to contains, etc. You are encouraged to run experiments to confirm/refute your conjectures.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hashed set implementations must implement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SetInterface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in the HW2 starter code. Remove the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getCapacity()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software should be highly polished. It should employ inheritance, interfaces, generics, helper methods, helper classes, etc. when appropriate. Be careful to reuse code when possible.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Allocating and 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 will differ from the textbook’s examples. This is because of Java’s peculiar behavior with arrays of generic structures. The rough outline of the class will be: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HashedSetSCJLL ... {</w:t>
        <w:br w:type="textWrapping"/>
        <w:tab/>
        <w:t xml:space="preserve">private LinkedList&lt;T&gt; [] hashTable;</w:t>
        <w:br w:type="textWrapping"/>
        <w:tab/>
        <w:t xml:space="preserve">public HashedSet() {</w:t>
        <w:br w:type="textWrapping"/>
        <w:tab/>
        <w:tab/>
        <w:t xml:space="preserve">hashTable = (LinkedList&lt;T&gt;[])new LinkedList&lt;?&gt;[100];</w:t>
        <w:br w:type="textWrapping"/>
        <w:tab/>
        <w:t xml:space="preserve">}</w:t>
        <w:br w:type="textWrapping"/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