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footer+xml" PartName="/word/footer16.xml"/>
  <Override ContentType="application/vnd.openxmlformats-officedocument.wordprocessingml.header+xml" PartName="/word/header17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footer+xml" PartName="/word/footer18.xml"/>
  <Override ContentType="application/vnd.openxmlformats-officedocument.wordprocessingml.header+xml" PartName="/word/header19.xml"/>
  <Override ContentType="application/vnd.openxmlformats-officedocument.wordprocessingml.footer+xml" PartName="/word/footer1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b/>
          <w:bCs/>
          <w:color w:val="2E5496"/>
          <w:sz w:val="64"/>
          <w:szCs w:val="64"/>
        </w:rPr>
        <w:t xml:space="preserve">SITRAFO</w:t>
      </w:r>
    </w:p>
    <w:p>
      <w:pPr>
        <w:jc w:val="center"/>
      </w:pPr>
      <w:r>
        <w:rPr>
          <w:color w:val="44546A"/>
          <w:sz w:val="26"/>
          <w:szCs w:val="26"/>
        </w:rPr>
        <w:t xml:space="preserve">Sistema Integral de Gestión Comercial y Productiva</w:t>
      </w:r>
    </w:p>
    <w:p>
      <w:pPr>
        <w:spacing w:after="400"/>
        <w:jc w:val="center"/>
      </w:pPr>
      <w:r>
        <w:rPr>
          <w:color w:val="44546A"/>
          <w:sz w:val="26"/>
          <w:szCs w:val="26"/>
        </w:rPr>
        <w:t xml:space="preserve">para Fabricación de Transformadores Eléctricos</w:t>
      </w:r>
    </w:p>
    <w:p>
      <w:pPr>
        <w:jc w:val="center"/>
      </w:pPr>
      <w:r>
        <w:rPr>
          <w:b/>
          <w:bCs/>
          <w:sz w:val="32"/>
          <w:szCs w:val="32"/>
        </w:rPr>
        <w:t xml:space="preserve">DIAGRAMAS DE SECUENCIA</w:t>
      </w:r>
    </w:p>
    <w:p>
      <w:pPr>
        <w:spacing w:after="500"/>
        <w:jc w:val="center"/>
      </w:pPr>
      <w:r>
        <w:rPr>
          <w:color w:val="2E5496"/>
          <w:sz w:val="26"/>
          <w:szCs w:val="26"/>
        </w:rPr>
        <w:t xml:space="preserve">SEC-01  ·  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SITRAFO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SEC-01 — Diagramas de secuencia de los flujos principales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Documentos antecedentes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ERS-01; CU-01 Modelo de casos de uso; MER-01 v2.0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Diagramas incluidos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Fuente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del repositorio SITRAFO (Fase 2)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Asignatura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Capstone — Proyecto APT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Duoc UC, Sede Puente Alto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Líder de Proyecto / Product Owner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Scrum Master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Camila Olivares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Desarrollador / Calidad de Producto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Milko Soto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59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de octubre de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Propósito y alcance</w:t>
      </w:r>
    </w:p>
    <w:p>
      <w:pPr>
        <w:spacing w:after="120"/>
        <w:jc w:val="both"/>
      </w:pPr>
      <w:r>
        <w:t xml:space="preserve">El presente documento describe, mediante diagramas de secuencia UML, la interacción entre los actores, las interfaces y los componentes internos de SITRAFO en los flujos principales del sistema. Complementa el modelo de casos de uso (CU-01), que describe qué hace el sistema, mostrando cómo lo hace: qué componente recibe cada petición, qué servicio aplica cada regla de negocio, qué se persiste en la base de datos y cuándo se consulta un servicio externo.</w:t>
      </w:r>
    </w:p>
    <w:p>
      <w:pPr>
        <w:spacing w:after="120"/>
        <w:jc w:val="both"/>
      </w:pPr>
      <w:r>
        <w:t xml:space="preserve">Los diagramas se elaboraron a partir del código del repositorio, por lo que cada mensaje corresponde a una ruta, vista, servicio o método existente. Los nombres de funciones y rutas se conservan tal como aparecen en el código para facilitar su trazabilidad.</w:t>
      </w:r>
    </w:p>
    <w:p>
      <w:pPr>
        <w:pStyle w:val="Heading1"/>
        <w:pageBreakBefore/>
      </w:pPr>
      <w:r>
        <w:t xml:space="preserve">2. Notación y componentes</w:t>
      </w:r>
    </w:p>
    <w:p>
      <w:pPr>
        <w:spacing w:after="120"/>
        <w:jc w:val="both"/>
      </w:pPr>
      <w:r>
        <w:t xml:space="preserve">Se emplean los estereotipos de Jacobson para los participantes: las fronteras (boundary) representan interfaces —pantallas de la aplicación de escritorio, vistas web y endpoints de la API—; los controles (control) representan servicios con lógica de negocio; las entidades (entity) representan modelos de dominio; y el cilindro representa la base de datos PostgreSQL. Los recuadros agrupan los componentes que se ejecutan en un mismo nodo y los participantes fuera de ellos son servicios externos.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Flecha continua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Mensaje o llamada síncrona.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Flecha punteada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Respuesta.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 / else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Caminos alternativos según una condición.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Fragmento que ocurre sólo si se cumple la condición.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loop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Fragmento que se repite por cada elemento indicado.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transacción atómica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que se confirman o revierten juntas (transaction.atomic de Django).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on_commit</w:t>
            </w:r>
          </w:p>
        </w:tc>
        <w:tc>
          <w:tcPr>
            <w:tcW w:type="dxa" w:w="6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Acción que se ejecuta sólo después de confirmada la transacción, como el envío de correos.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Componentes que participan en los flujos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Tecnología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Aplicación de escritorio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PySide6, ClienteAPI (requests)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Interfaz de los usuarios internos. Nunca accede a la base de datos: toda operación pasa por la API REST.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REST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Django REST Framework, JWT (simplejwt)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Punto único de acceso a los datos para el escritorio. Autoriza cada operación con PermisoPorRol.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Aplicación web del cliente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Django (plantillas), Bootstrap 5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 del cliente. Usa los mismos servicios de negocio que la API, con filtrado por cliente (RN-16).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Servicios de negocio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Módulos services de cada aplicación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Concentran las reglas, de modo que el resultado no depende de la interfaz que origina la operación.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PostgreSQL 16 en Render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Persistencia de las 54 tablas del modelo.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mindicador.cl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REST pública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Valores de UF, UTM y dólar observado.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de feriados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Nager.Date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Feriados legales de Chile para el cálculo de días hábiles.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PayPal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REST v2 (sandbox)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Pasarela de pago en línea.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Brevo</w:t>
            </w:r>
          </w:p>
        </w:tc>
        <w:tc>
          <w:tcPr>
            <w:tcW w:type="dxa" w:w="2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 transaccional v3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Envío de correos al cliente.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3. Índice de diagramas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200"/>
        <w:gridCol w:w="2560"/>
      </w:tblGrid>
      <w:tr>
        <w:trPr>
          <w:tblHeader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Flujo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Trazabilidad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Ingreso a la aplicación de escritorio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 interno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RF-SEG-04, RNF-04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Solicitud de presupuesto desde la web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CU-COM-01, RN-16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Elaboración y emisión de la cotización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CU-COM-03 a 07, RN-03, RN-05, RN-08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Aceptación y generación automática de la orden de compra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CU-COM-08, RN-06, RN-15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Pago del anticipo y confirmación automática de la orden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CU-PAG-02, RN-07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Generación y ejecución de la orden de trabajo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producción, operario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CU-OT-01, CU-OT-04 a 06, RN-09, RN-10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calidad y cierre de la orden de trabajo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calidad, jefe de producción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CU-OT-07, CU-OT-08, RN-11, RN-12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Tareas automáticas diarias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Planificador (Cron Job)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RF-PAG-05, RF-COM-12, RF-INT-01 a 03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SEC-09</w:t>
            </w:r>
          </w:p>
        </w:tc>
        <w:tc>
          <w:tcPr>
            <w:tcW w:type="dxa" w:w="36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Administración del canal web desde el escritorio</w:t>
            </w:r>
          </w:p>
        </w:tc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2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RF-ADM-01, RF-ADM-02, RF-ADM-07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Diagramas de secuencia</w:t>
      </w:r>
    </w:p>
    <w:p>
      <w:pPr>
        <w:pStyle w:val="Heading2"/>
      </w:pPr>
      <w:r>
        <w:t xml:space="preserve">4.1 SEC-01 — Ingreso a la aplicación de escritorio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Autenticar a un usuario interno en la aplicación de escritorio y cargar sus permisos efectivos.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 interno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usuario existe, es interno y tiene al menos un rol asignado.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Sesión abierta con identidad y permisos cargados, último acceso registrado e intentos reiniciados.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RF-SEG-04, RNF-04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escritorio envía las credenciales a IngresoConControl, que antes de validar levanta un bloqueo temporal vencido.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cuenta suspendida o bloqueada no recibe token. Cada contraseña incorrecta suma un intento y, al llegar al máximo configurado, la cuenta se bloquea temporalmente.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el token emitido, el escritorio consulta /auth/yo/ para mostrar sólo los paneles que el rol autoriza; la API vuelve a verificar cada operación.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token de acceso vence, el cliente lo renueva una vez y reintenta; al cerrar sesión el token de renovación queda revocado.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943600" cy="6657975"/>
            <wp:effectExtent t="0" r="0" b="0" l="0"/>
            <wp:docPr id="1" name="Figura 1. Diagrama de secuencia SEC-01: ingreso a la aplicación de escritorio." descr="Figura 1. Diagrama de secuencia SEC-01: ingreso a la aplicación de escritorio." title="Figura 1. Diagrama de secuencia SEC-01: ingreso a la aplicación de escri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1. Diagrama de secuencia SEC-01: ingreso a la aplicación de escritorio.</w:t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4.2 SEC-02 — Solicitud de presupuesto desde la web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Registrar una solicitud de presupuesto con la especificación técnica requerida por el cliente.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cliente tiene una cuenta web activa y el sitio no está en mantención.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Solicitud en estado recibida, visible para el área comercial en el escritorio.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CU-COM-01, RN-16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middleware verifica el modo mantención antes de atender la petición.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cliente de la solicitud se toma de la sesión y no del formulario (RN-16).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solicitud, su especificación y su historial se registran en una sola transacción.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Confirmada la transacción, se envía el acuse de recibo por correo mediante Brevo.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7134225" cy="5391150"/>
            <wp:effectExtent t="0" r="0" b="0" l="0"/>
            <wp:docPr id="1" name="Figura 2. Diagrama de secuencia SEC-02: solicitud de presupuesto desde la web." descr="Figura 2. Diagrama de secuencia SEC-02: solicitud de presupuesto desde la web." title="Figura 2. Diagrama de secuencia SEC-02: solicitud de presupuesto desde la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422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2. Diagrama de secuencia SEC-02: solicitud de presupuesto desde la web.</w:t>
      </w:r>
    </w:p>
    <w:p>
      <w:pPr>
        <w:sectPr>
          <w:headerReference w:type="default" r:id="rId13"/>
          <w:footerReference w:type="default" r:id="rId14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4.3 SEC-03 — Elaboración y emisión de la cotización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Elaborar la cotización desde una solicitud, con costeo automático, y emitirla al cliente.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Ejecutivo comercial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 solicitud está recibida o asignada e indica un modelo del catálogo.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Cotización emitida, visible para el cliente en el portal y enviada por correo.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CU-COM-03 a 07, RN-03, RN-05, RN-08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costeo combina la lista de materiales valorizada con el costo vigente, las horas estándar por la tarifa de referencia y el recargo indirecto, y sugiere un precio con el margen.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cotización nace en borrador con la UF del día congelada (RN-03) y la fecha de entrega calculada en días hábiles con los feriados almacenados (RN-08).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descuento supera el umbral, la cotización pasa por aprobación y la emite otro usuario con permiso de aprobación (RN-05).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emitir se actualiza la UF y la vigencia desde la fecha de emisión, y se envía el PDF por correo; si el correo falla, la emisión queda registrada y el panel advierte reenviarlo.</w:t>
      </w:r>
    </w:p>
    <w:p>
      <w:pPr>
        <w:sectPr>
          <w:headerReference w:type="default" r:id="rId15"/>
          <w:footerReference w:type="default" r:id="rId1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286375" cy="5391150"/>
            <wp:effectExtent t="0" r="0" b="0" l="0"/>
            <wp:docPr id="1" name="Figura 3. Diagrama de secuencia SEC-03: elaboración y emisión de la cotización." descr="Figura 3. Diagrama de secuencia SEC-03: elaboración y emisión de la cotización." title="Figura 3. Diagrama de secuencia SEC-03: elaboración y emisión de la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3. Diagrama de secuencia SEC-03: elaboración y emisión de la cotización.</w:t>
      </w:r>
    </w:p>
    <w:p>
      <w:pPr>
        <w:sectPr>
          <w:headerReference w:type="default" r:id="rId17"/>
          <w:footerReference w:type="default" r:id="rId18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4.4 SEC-04 — Aceptación y generación automática de la orden de compra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Registrar la aceptación del cliente y generar automáticamente la orden de compra con su anticipo.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 cotización está emitida y pertenece al cliente autenticado.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Cotización aceptada, orden de compra pendiente y anticipo por pagar.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CU-COM-08, RN-06, RN-15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vigencia se verifica al confirmar y no sólo al desplegar la página: si venció entre ambos momentos, pasa a vencida.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aceptación, la orden de compra con sus líneas y el documento de cobro del anticipo se crean en una misma transacción (RN-06, RN-15).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no hay valor de UF disponible, la orden se crea igual y el anticipo se emite después con el comando emitir_cobros (RF-INT-03).</w:t>
      </w:r>
    </w:p>
    <w:p>
      <w:pPr>
        <w:sectPr>
          <w:headerReference w:type="default" r:id="rId19"/>
          <w:footerReference w:type="default" r:id="rId2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7105650" cy="5391150"/>
            <wp:effectExtent t="0" r="0" b="0" l="0"/>
            <wp:docPr id="1" name="Figura 4. Diagrama de secuencia SEC-04: aceptación y generación automática de la orden de compra." descr="Figura 4. Diagrama de secuencia SEC-04: aceptación y generación automática de la orden de compra." title="Figura 4. Diagrama de secuencia SEC-04: aceptación y generación automática de la orden de comp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65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4. Diagrama de secuencia SEC-04: aceptación y generación automática de la orden de compra.</w:t>
      </w:r>
    </w:p>
    <w:p>
      <w:pPr>
        <w:sectPr>
          <w:headerReference w:type="default" r:id="rId21"/>
          <w:footerReference w:type="default" r:id="rId22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4.5 SEC-05 — Pago del anticipo y confirmación automática de la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Cobrar el anticipo en línea y confirmar la orden de compra sin intervención manual.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Existe un documento de cobro pendiente y no vencido, y el pago en línea está habilitado.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 pagado, transacción aprobada y conciliada, orden de compra confirmada.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CU-PAG-02, RN-07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monto en pesos se convierte a dólares con el dólar observado almacenado, porque la pasarela opera en USD.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orden de pago se crea en PayPal con clave de idempotencia; si la pasarela no responde, no se modifica el documento.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volver el cliente, se captura el pago bajo bloqueo de fila. Sólo si PayPal confirma y el monto coincide, el documento queda pagado; en otro caso queda pendiente de conciliación o rechazado.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Pagado el anticipo, la orden de compra se confirma automáticamente (RN-07) y se envían el comprobante y el aviso al cliente.</w:t>
      </w:r>
    </w:p>
    <w:p>
      <w:pPr>
        <w:sectPr>
          <w:headerReference w:type="default" r:id="rId23"/>
          <w:footerReference w:type="default" r:id="rId24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943600" cy="6267450"/>
            <wp:effectExtent t="0" r="0" b="0" l="0"/>
            <wp:docPr id="1" name="Figura 5. Diagrama de secuencia SEC-05: pago del anticipo y confirmación automática de la orden." descr="Figura 5. Diagrama de secuencia SEC-05: pago del anticipo y confirmación automática de la orden." title="Figura 5. Diagrama de secuencia SEC-05: pago del anticipo y confirmación automática de la or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5. Diagrama de secuencia SEC-05: pago del anticipo y confirmación automática de la orden.</w:t>
      </w:r>
    </w:p>
    <w:p>
      <w:pPr>
        <w:sectPr>
          <w:headerReference w:type="default" r:id="rId25"/>
          <w:footerReference w:type="default" r:id="rId2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4.6 SEC-06 — Generación y ejecución de la orden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Planificar la fabricación y registrar el trabajo del taller con su costo real.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Jefe de producción, operario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 orden de compra está confirmada y los modelos tienen tareas estándar.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Órdenes de trabajo en ejecución con costo real y avance actualizados; inventario descontado.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CU-OT-01, CU-OT-04 a 06, RN-09, RN-10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genera una orden de trabajo por línea de la orden de compra, con las tareas copiadas del modelo y el costo estimado heredado de la cotización.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registro de horas valoriza con la tarifa vigente a la fecha y controla el máximo diario por empleado (RN-10).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consumo de material verifica el stock calculado y genera en el mismo hecho el consumo y su movimiento de inventario (RN-09).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registro recalcula el costo real y el avance de la orden de trabajo.</w:t>
      </w:r>
    </w:p>
    <w:p>
      <w:pPr>
        <w:sectPr>
          <w:headerReference w:type="default" r:id="rId27"/>
          <w:footerReference w:type="default" r:id="rId2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905500" cy="7315200"/>
            <wp:effectExtent t="0" r="0" b="0" l="0"/>
            <wp:docPr id="1" name="Figura 6. Diagrama de secuencia SEC-06: generación y ejecución de la orden de trabajo." descr="Figura 6. Diagrama de secuencia SEC-06: generación y ejecución de la orden de trabajo." title="Figura 6. Diagrama de secuencia SEC-06: generación y ejecución de la orden de trabaj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6. Diagrama de secuencia SEC-06: generación y ejecución de la orden de trabajo.</w:t>
      </w:r>
    </w:p>
    <w:p>
      <w:pPr>
        <w:sectPr>
          <w:headerReference w:type="default" r:id="rId29"/>
          <w:footerReference w:type="default" r:id="rId3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4.7 SEC-07 — Control de calidad y cierre de la orden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Verificar la calidad del producto y cerrar la orden de trabajo.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Inspector de calidad, jefe de producción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Todas las tareas de la orden están terminadas.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Orden de trabajo cerrada y, si corresponde, saldo emitido al cliente.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CU-OT-07, CU-OT-08, RN-11, RN-12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inspector ejecuta el protocolo del modelo; cada medición fuera de tolerancia abre una no conformidad.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 conformidad sólo se cierra con la acción correctiva registrada, y el ensayo repetido genera un nuevo resultado.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cierre exige control ejecutado, puntos obligatorios con resultado y ninguna no conformidad abierta (RN-12), y justificación si la desviación de costo supera el umbral (RN-11).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cerrarse la última orden de trabajo de la compra se emite el cobro del saldo con la UF del día.</w:t>
      </w:r>
    </w:p>
    <w:p>
      <w:pPr>
        <w:sectPr>
          <w:headerReference w:type="default" r:id="rId31"/>
          <w:footerReference w:type="default" r:id="rId3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724525" cy="5391150"/>
            <wp:effectExtent t="0" r="0" b="0" l="0"/>
            <wp:docPr id="1" name="Figura 7. Diagrama de secuencia SEC-07: control de calidad y cierre de la orden de trabajo." descr="Figura 7. Diagrama de secuencia SEC-07: control de calidad y cierre de la orden de trabajo." title="Figura 7. Diagrama de secuencia SEC-07: control de calidad y cierre de la orden de trabaj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7. Diagrama de secuencia SEC-07: control de calidad y cierre de la orden de trabajo.</w:t>
      </w:r>
    </w:p>
    <w:p>
      <w:pPr>
        <w:sectPr>
          <w:headerReference w:type="default" r:id="rId33"/>
          <w:footerReference w:type="default" r:id="rId34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4.8 SEC-08 — Tareas automáticas diarias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Mantener actualizados los datos externos y vencer las cotizaciones expiradas sin intervención manual.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Planificador (Cron Job)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Cron Job de Render está programado con el comando tareas_diarias.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Indicadores y feriados al día, cotizaciones expiradas marcadas y registro de integraciones actualizado.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RF-PAG-05, RF-COM-12, RF-INT-01 a 03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sincronizan los indicadores económicos del día y los feriados del año actual y del siguiente.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llamada externa usa reintentos con espera incremental y queda registrada en log_integracion.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cotizaciones emitidas con vigencia vencida pasan a vencida con su historial.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tarea es independiente: la falla de un servicio externo no impide las demás.</w:t>
      </w:r>
    </w:p>
    <w:p>
      <w:pPr>
        <w:sectPr>
          <w:headerReference w:type="default" r:id="rId35"/>
          <w:footerReference w:type="default" r:id="rId3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5619750" cy="5391150"/>
            <wp:effectExtent t="0" r="0" b="0" l="0"/>
            <wp:docPr id="1" name="Figura 8. Diagrama de secuencia SEC-08: tareas automáticas diarias." descr="Figura 8. Diagrama de secuencia SEC-08: tareas automáticas diarias." title="Figura 8. Diagrama de secuencia SEC-08: tareas automáticas diari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8. Diagrama de secuencia SEC-08: tareas automáticas diarias.</w:t>
      </w:r>
    </w:p>
    <w:p>
      <w:pPr>
        <w:sectPr>
          <w:headerReference w:type="default" r:id="rId37"/>
          <w:footerReference w:type="default" r:id="rId38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4.9 SEC-09 — Administración del canal web desde el escritorio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Modificar en caliente el comportamiento del portal web desde la aplicación de escritorio.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Actor principal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usuario tiene el permiso canal_web.actualizar o parametro.actualizar según el ámbito del parámetro.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Parámetro actualizado y auditado; el portal refleja el cambio en la siguiente petición.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dxa" w:w="71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RF-ADM-01, RF-ADM-02, RF-ADM-07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t xml:space="preserve">Aspectos relevantes del flujo: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API verifica el permiso general y, además, el ámbito del parámetro; un rechazo queda en auditoría como acceso denegado.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cambio registra al responsable y deja el valor anterior y el nuevo en la bitácora (RF-ADM-07).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middleware de la web lee el parámetro en cada petición, por lo que el efecto es inmediato y no requiere redesplegar.</w:t>
      </w:r>
    </w:p>
    <w:p>
      <w:pPr>
        <w:sectPr>
          <w:headerReference w:type="default" r:id="rId39"/>
          <w:footerReference w:type="default" r:id="rId4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before="120"/>
        <w:jc w:val="center"/>
      </w:pPr>
      <w:r>
        <w:drawing>
          <wp:inline distT="0" distB="0" distL="0" distR="0">
            <wp:extent cx="8229600" cy="4943475"/>
            <wp:effectExtent t="0" r="0" b="0" l="0"/>
            <wp:docPr id="1" name="Figura 9. Diagrama de secuencia SEC-09: administración del canal web desde el escritorio." descr="Figura 9. Diagrama de secuencia SEC-09: administración del canal web desde el escritorio." title="Figura 9. Diagrama de secuencia SEC-09: administración del canal web desde el escri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9. Diagrama de secuencia SEC-09: administración del canal web desde el escritorio.</w:t>
      </w:r>
    </w:p>
    <w:p>
      <w:pPr>
        <w:sectPr>
          <w:headerReference w:type="default" r:id="rId41"/>
          <w:footerReference w:type="default" r:id="rId42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Control de versiones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300"/>
        <w:gridCol w:w="4560"/>
      </w:tblGrid>
      <w:tr>
        <w:trPr>
          <w:tblHeader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shd w:fill="DCE4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08-10-2026</w:t>
            </w:r>
          </w:p>
        </w:tc>
        <w:tc>
          <w:tcPr>
            <w:tcW w:type="dxa" w:w="230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Benjamín Delgado Bravo</w:t>
            </w:r>
          </w:p>
        </w:tc>
        <w:tc>
          <w:tcPr>
            <w:tcW w:type="dxa" w:w="4560"/>
            <w:tcBorders>
              <w:top w:val="single" w:color="8496B0" w:sz="4"/>
              <w:left w:val="single" w:color="8496B0" w:sz="4"/>
              <w:bottom w:val="single" w:color="8496B0" w:sz="4"/>
              <w:right w:val="single" w:color="8496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inicial, elaborada a partir del código implementado en la Fase 2.</w:t>
            </w:r>
          </w:p>
        </w:tc>
      </w:tr>
    </w:tbl>
    <w:p>
      <w:pPr>
        <w:spacing w:after="60"/>
      </w:pPr>
    </w:p>
    <w:sectPr>
      <w:headerReference w:type="default" r:id="rId43"/>
      <w:footerReference w:type="default" r:id="rId4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496" w:sz="6" w:space="2"/>
      </w:pBdr>
    </w:pPr>
    <w:r>
      <w:rPr>
        <w:color w:val="44546A"/>
        <w:sz w:val="16"/>
        <w:szCs w:val="16"/>
      </w:rPr>
      <w:t xml:space="preserve">SITRAFO · SEC-01 Diagramas de Secuencia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2E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onsolas" w:cs="Consolas" w:eastAsia="Consolas" w:hAnsi="Consolas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7" Type="http://schemas.openxmlformats.org/officeDocument/2006/relationships/header" Target="header16.xml"/><Relationship Id="rId38" Type="http://schemas.openxmlformats.org/officeDocument/2006/relationships/footer" Target="footer16.xml"/><Relationship Id="rId39" Type="http://schemas.openxmlformats.org/officeDocument/2006/relationships/header" Target="header17.xml"/><Relationship Id="rId40" Type="http://schemas.openxmlformats.org/officeDocument/2006/relationships/footer" Target="footer17.xml"/><Relationship Id="rId41" Type="http://schemas.openxmlformats.org/officeDocument/2006/relationships/header" Target="header18.xml"/><Relationship Id="rId42" Type="http://schemas.openxmlformats.org/officeDocument/2006/relationships/footer" Target="footer18.xml"/><Relationship Id="rId43" Type="http://schemas.openxmlformats.org/officeDocument/2006/relationships/header" Target="header19.xml"/><Relationship Id="rId44" Type="http://schemas.openxmlformats.org/officeDocument/2006/relationships/footer" Target="footer19.xml"/><Relationship Id="rId45" Type="http://schemas.openxmlformats.org/officeDocument/2006/relationships/image" Target="media/1f8c1e81ed083cdddd23973f6daa96c0fa0490d0.png"/><Relationship Id="rId46" Type="http://schemas.openxmlformats.org/officeDocument/2006/relationships/image" Target="media/f34464be4a221454b33e12b4e0c0d8c8b6a6ef0c.png"/><Relationship Id="rId47" Type="http://schemas.openxmlformats.org/officeDocument/2006/relationships/image" Target="media/55e693dfb8387bb78f63f4fccd8decb5b88b8e22.png"/><Relationship Id="rId48" Type="http://schemas.openxmlformats.org/officeDocument/2006/relationships/image" Target="media/b98e6cce5db6e4d3a3f9fc5952869eb8bddde20e.png"/><Relationship Id="rId49" Type="http://schemas.openxmlformats.org/officeDocument/2006/relationships/image" Target="media/9a5cab3c33a4c52f67910dab2969f980e7984687.png"/><Relationship Id="rId50" Type="http://schemas.openxmlformats.org/officeDocument/2006/relationships/image" Target="media/feeae69e947a78e9bc941e559c99af57987884d1.png"/><Relationship Id="rId51" Type="http://schemas.openxmlformats.org/officeDocument/2006/relationships/image" Target="media/d1b99afd3f4a9747a1818b75f21d6cd6282fc38d.png"/><Relationship Id="rId52" Type="http://schemas.openxmlformats.org/officeDocument/2006/relationships/image" Target="media/7c111cb6d46c7cbd65ae0d96c5574d0b6cad954a.png"/><Relationship Id="rId53" Type="http://schemas.openxmlformats.org/officeDocument/2006/relationships/image" Target="media/76609cf3203c527ea7fe8ea7fc2c6cfb587c8861.png"/><Relationship Id="rId5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SEC-01  ·  Versión 1.0</dc:title>
  <dc:creator>Benjamín Delgado Bravo</dc:creator>
  <cp:lastModifiedBy>Un-named</cp:lastModifiedBy>
  <cp:revision>1</cp:revision>
  <dcterms:created xsi:type="dcterms:W3CDTF">2026-10-08T18:34:45.383Z</dcterms:created>
  <dcterms:modified xsi:type="dcterms:W3CDTF">2026-10-08T18:34:45.383Z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