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EVI-01  ·  Versión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SEC-01 v1.3; ARQ-01 v1.3</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16 evidencias, 42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highlight w:val="yellow"/>
              </w:rPr>
              <w:t xml:space="preserve">dd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pPr>
            <w:tabs>
              <w:tab w:val="right" w:leader="dot" w:pos="9350"/>
            </w:tabs>
            <w:spacing w:after="60" w:before="0"/>
            <w:ind w:left="0"/>
          </w:pPr>
          <w:r>
            <w:t xml:space="preserve">1. Propósito y alcance</w:t>
          </w:r>
          <w:r>
            <w:tab/>
          </w:r>
          <w:r>
            <w:t>3</w:t>
          </w:r>
        </w:p>
        <w:p>
          <w:pPr>
            <w:tabs>
              <w:tab w:val="right" w:leader="dot" w:pos="9350"/>
            </w:tabs>
            <w:spacing w:after="60" w:before="0"/>
            <w:ind w:left="0"/>
          </w:pPr>
          <w:r>
            <w:t xml:space="preserve">2. Ambiente y usuarios de la demostración</w:t>
          </w:r>
          <w:r>
            <w:tab/>
          </w:r>
          <w:r>
            <w:t>4</w:t>
          </w:r>
        </w:p>
        <w:p>
          <w:pPr>
            <w:tabs>
              <w:tab w:val="right" w:leader="dot" w:pos="9350"/>
            </w:tabs>
            <w:spacing w:after="60" w:before="0"/>
            <w:ind w:left="283"/>
          </w:pPr>
          <w:r>
            <w:t xml:space="preserve">2.1 Usuarios utilizados</w:t>
          </w:r>
          <w:r>
            <w:tab/>
          </w:r>
          <w:r>
            <w:t>4</w:t>
          </w:r>
        </w:p>
        <w:p>
          <w:pPr>
            <w:tabs>
              <w:tab w:val="right" w:leader="dot" w:pos="9350"/>
            </w:tabs>
            <w:spacing w:after="60" w:before="0"/>
            <w:ind w:left="0"/>
          </w:pPr>
          <w:r>
            <w:t xml:space="preserve">3. Resumen de evidencias</w:t>
          </w:r>
          <w:r>
            <w:tab/>
          </w:r>
          <w:r>
            <w:t>5</w:t>
          </w:r>
        </w:p>
        <w:p>
          <w:pPr>
            <w:tabs>
              <w:tab w:val="right" w:leader="dot" w:pos="9350"/>
            </w:tabs>
            <w:spacing w:after="60" w:before="0"/>
            <w:ind w:left="0"/>
          </w:pPr>
          <w:r>
            <w:t xml:space="preserve">Evidencia 1. Ingreso del cliente y solicitud de presupuesto</w:t>
          </w:r>
          <w:r>
            <w:tab/>
          </w:r>
          <w:r>
            <w:t>6</w:t>
          </w:r>
        </w:p>
        <w:p>
          <w:pPr>
            <w:tabs>
              <w:tab w:val="right" w:leader="dot" w:pos="9350"/>
            </w:tabs>
            <w:spacing w:after="60" w:before="0"/>
            <w:ind w:left="0"/>
          </w:pPr>
          <w:r>
            <w:t xml:space="preserve">Evidencia 2. Costeo y elaboración de la cotización</w:t>
          </w:r>
          <w:r>
            <w:tab/>
          </w:r>
          <w:r>
            <w:t>8</w:t>
          </w:r>
        </w:p>
        <w:p>
          <w:pPr>
            <w:tabs>
              <w:tab w:val="right" w:leader="dot" w:pos="9350"/>
            </w:tabs>
            <w:spacing w:after="60" w:before="0"/>
            <w:ind w:left="0"/>
          </w:pPr>
          <w:r>
            <w:t xml:space="preserve">Evidencia 3. Aprobación del descuento por otro usuario y emisión</w:t>
          </w:r>
          <w:r>
            <w:tab/>
          </w:r>
          <w:r>
            <w:t>10</w:t>
          </w:r>
        </w:p>
        <w:p>
          <w:pPr>
            <w:tabs>
              <w:tab w:val="right" w:leader="dot" w:pos="9350"/>
            </w:tabs>
            <w:spacing w:after="60" w:before="0"/>
            <w:ind w:left="0"/>
          </w:pPr>
          <w:r>
            <w:t xml:space="preserve">Evidencia 4. Correo con la cotización en PDF</w:t>
          </w:r>
          <w:r>
            <w:tab/>
          </w:r>
          <w:r>
            <w:t>12</w:t>
          </w:r>
        </w:p>
        <w:p>
          <w:pPr>
            <w:tabs>
              <w:tab w:val="right" w:leader="dot" w:pos="9350"/>
            </w:tabs>
            <w:spacing w:after="60" w:before="0"/>
            <w:ind w:left="0"/>
          </w:pPr>
          <w:r>
            <w:t xml:space="preserve">Evidencia 5. Aceptación del cliente y orden de compra automática</w:t>
          </w:r>
          <w:r>
            <w:tab/>
          </w:r>
          <w:r>
            <w:t>13</w:t>
          </w:r>
        </w:p>
        <w:p>
          <w:pPr>
            <w:tabs>
              <w:tab w:val="right" w:leader="dot" w:pos="9350"/>
            </w:tabs>
            <w:spacing w:after="60" w:before="0"/>
            <w:ind w:left="0"/>
          </w:pPr>
          <w:r>
            <w:t xml:space="preserve">Evidencia 6. Pago del anticipo con PayPal</w:t>
          </w:r>
          <w:r>
            <w:tab/>
          </w:r>
          <w:r>
            <w:t>15</w:t>
          </w:r>
        </w:p>
        <w:p>
          <w:pPr>
            <w:tabs>
              <w:tab w:val="right" w:leader="dot" w:pos="9350"/>
            </w:tabs>
            <w:spacing w:after="60" w:before="0"/>
            <w:ind w:left="0"/>
          </w:pPr>
          <w:r>
            <w:t xml:space="preserve">Evidencia 7. Orden de trabajo con tareas y responsables</w:t>
          </w:r>
          <w:r>
            <w:tab/>
          </w:r>
          <w:r>
            <w:t>17</w:t>
          </w:r>
        </w:p>
        <w:p>
          <w:pPr>
            <w:tabs>
              <w:tab w:val="right" w:leader="dot" w:pos="9350"/>
            </w:tabs>
            <w:spacing w:after="60" w:before="0"/>
            <w:ind w:left="0"/>
          </w:pPr>
          <w:r>
            <w:t xml:space="preserve">Evidencia 8. Registro en taller y rechazo por stock insuficiente</w:t>
          </w:r>
          <w:r>
            <w:tab/>
          </w:r>
          <w:r>
            <w:t>18</w:t>
          </w:r>
        </w:p>
        <w:p>
          <w:pPr>
            <w:tabs>
              <w:tab w:val="right" w:leader="dot" w:pos="9350"/>
            </w:tabs>
            <w:spacing w:after="60" w:before="0"/>
            <w:ind w:left="0"/>
          </w:pPr>
          <w:r>
            <w:t xml:space="preserve">Evidencia 9. Ensayo fuera de rango y no conformidad</w:t>
          </w:r>
          <w:r>
            <w:tab/>
          </w:r>
          <w:r>
            <w:t>20</w:t>
          </w:r>
        </w:p>
        <w:p>
          <w:pPr>
            <w:tabs>
              <w:tab w:val="right" w:leader="dot" w:pos="9350"/>
            </w:tabs>
            <w:spacing w:after="60" w:before="0"/>
            <w:ind w:left="0"/>
          </w:pPr>
          <w:r>
            <w:t xml:space="preserve">Evidencia 10. Cierre de la OT y cobro del saldo</w:t>
          </w:r>
          <w:r>
            <w:tab/>
          </w:r>
          <w:r>
            <w:t>22</w:t>
          </w:r>
        </w:p>
        <w:p>
          <w:pPr>
            <w:tabs>
              <w:tab w:val="right" w:leader="dot" w:pos="9350"/>
            </w:tabs>
            <w:spacing w:after="60" w:before="0"/>
            <w:ind w:left="0"/>
          </w:pPr>
          <w:r>
            <w:t xml:space="preserve">Evidencia 11. Entrega, kardex y bitácora de auditoría</w:t>
          </w:r>
          <w:r>
            <w:tab/>
          </w:r>
          <w:r>
            <w:t>24</w:t>
          </w:r>
        </w:p>
        <w:p>
          <w:pPr>
            <w:tabs>
              <w:tab w:val="right" w:leader="dot" w:pos="9350"/>
            </w:tabs>
            <w:spacing w:after="60" w:before="0"/>
            <w:ind w:left="0"/>
          </w:pPr>
          <w:r>
            <w:t xml:space="preserve">Evidencia 12. Reportes de gestión</w:t>
          </w:r>
          <w:r>
            <w:tab/>
          </w:r>
          <w:r>
            <w:t>26</w:t>
          </w:r>
        </w:p>
        <w:p>
          <w:pPr>
            <w:tabs>
              <w:tab w:val="right" w:leader="dot" w:pos="9350"/>
            </w:tabs>
            <w:spacing w:after="60" w:before="0"/>
            <w:ind w:left="0"/>
          </w:pPr>
          <w:r>
            <w:t xml:space="preserve">Evidencia 13. Aprobación de calidad, bandeja de pendientes y avisos entre roles</w:t>
          </w:r>
          <w:r>
            <w:tab/>
          </w:r>
          <w:r>
            <w:t>27</w:t>
          </w:r>
        </w:p>
        <w:p>
          <w:pPr>
            <w:tabs>
              <w:tab w:val="right" w:leader="dot" w:pos="9350"/>
            </w:tabs>
            <w:spacing w:after="60" w:before="0"/>
            <w:ind w:left="0"/>
          </w:pPr>
          <w:r>
            <w:t xml:space="preserve">Evidencia 14. API pública de seguimiento de pedidos</w:t>
          </w:r>
          <w:r>
            <w:tab/>
          </w:r>
          <w:r>
            <w:t>30</w:t>
          </w:r>
        </w:p>
        <w:p>
          <w:pPr>
            <w:tabs>
              <w:tab w:val="right" w:leader="dot" w:pos="9350"/>
            </w:tabs>
            <w:spacing w:after="60" w:before="0"/>
            <w:ind w:left="0"/>
          </w:pPr>
          <w:r>
            <w:t xml:space="preserve">Evidencia 15. API pública del cotizador</w:t>
          </w:r>
          <w:r>
            <w:tab/>
          </w:r>
          <w:r>
            <w:t>34</w:t>
          </w:r>
        </w:p>
        <w:p>
          <w:pPr>
            <w:tabs>
              <w:tab w:val="right" w:leader="dot" w:pos="9350"/>
            </w:tabs>
            <w:spacing w:after="60" w:before="0"/>
            <w:ind w:left="0"/>
          </w:pPr>
          <w:r>
            <w:t xml:space="preserve">Evidencia 16. API pública de disponibilidad de materiales</w:t>
          </w:r>
          <w:r>
            <w:tab/>
          </w:r>
          <w:r>
            <w:t>39</w:t>
          </w:r>
        </w:p>
        <w:p>
          <w:pPr>
            <w:tabs>
              <w:tab w:val="right" w:leader="dot" w:pos="9350"/>
            </w:tabs>
            <w:spacing w:after="60" w:before="0"/>
            <w:ind w:left="0"/>
          </w:pPr>
          <w:r>
            <w:t xml:space="preserve">4. Hallazgos durante la recolección de evidencias</w:t>
          </w:r>
          <w:r>
            <w:tab/>
          </w:r>
          <w:r>
            <w:t>40</w:t>
          </w:r>
        </w:p>
        <w:p>
          <w:pPr>
            <w:tabs>
              <w:tab w:val="right" w:leader="dot" w:pos="9350"/>
            </w:tabs>
            <w:spacing w:after="60" w:before="0"/>
            <w:ind w:left="0"/>
          </w:pPr>
          <w:r>
            <w:t xml:space="preserve">5. Control de versiones del documento</w:t>
          </w:r>
          <w:r>
            <w:tab/>
          </w:r>
          <w:r>
            <w:t>41</w:t>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Las capturas de las evidencias 1 a 12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La evidencia 13 muestra funciones incorporadas el 10 de octubre de 2026 —aprobación explícita del control de calidad, bandeja de pendientes y avisos por correo entre roles— y se capturó ese mismo día sobre el sistema publicado, con la versión escritorio-v1.1 de SITRAFO.exe.</w:t>
      </w:r>
    </w:p>
    <w:p>
      <w:pPr>
        <w:spacing w:after="120"/>
        <w:jc w:val="both"/>
      </w:pPr>
      <w:r>
        <w:t xml:space="preserve">Las evidencias 14 y 15 muestran las APIs públicas propias, incorporadas en el Sprint 3. Se capturaron el 19 de octubre de 2026 en el ambiente local con los datos de demostración, porque se tomaron antes de publicar la API del cotizador, que quedó en Render ese mismo día (documentación versión 1.1.0 en https://sitrafo.onrender.com/api/publica/v1/docs/). Por eso la barra de estado del escritorio indica 127.0.0.1 en vez del servidor publicado, y la UF y el dólar corresponden a los valores de mindicador.cl de ese día.</w:t>
      </w:r>
    </w:p>
    <w:p>
      <w:pPr>
        <w:spacing w:after="120"/>
        <w:jc w:val="both"/>
      </w:pPr>
      <w:r>
        <w:t xml:space="preserve">La evidencia 16 muestra la API pública de disponibilidad de materiales, incorporada el 22 de octubre de 2026 (documentación versión 1.2.0). Se capturó el </w:t>
      </w:r>
      <w:r>
        <w:rPr>
          <w:highlight w:val="yellow"/>
        </w:rPr>
        <w:t xml:space="preserve">dd de octubre de 2026</w:t>
      </w:r>
      <w:r>
        <w:rPr/>
        <w:t xml:space="preserve"> en el ambiente local con los datos de demostración, igual que las evidencias 14 y 15, por lo que la barra de estado del escritorio indica 127.0.0.1.</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1, 5, 6, 14, 15</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11, 16</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11, 12, 14, 15, 16</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(sin sesión)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Visitante con número y código de seguimiento</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14</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 CU-COM-15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 CU-OT-11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CU-PAG-01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 CU-INV-07,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 calidad, bandeja de pendientes y avisos entre roles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CU-CAL-07, CU-OT-08, CU-REP-04, CU-REP-05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 seguimiento de pedidos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CU-OT-09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RN-08,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HU-15</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del cotizador</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RN-08,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 disponibilidad de materiales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CU-REP-08, CU-INV-06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HU-17</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2"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registró como hallazgo H-01 y ya está corregido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3"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4"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5"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6"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7"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8"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9"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0"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2"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3"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4"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5"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6"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7"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8"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spacing w:after="160" w:before="80"/>
      </w:pPr>
      <w:r>
        <w:rPr>
          <w:i/>
          <w:iCs/>
          <w:color w:val="44546A"/>
          <w:sz w:val="19"/>
          <w:szCs w:val="19"/>
        </w:rPr>
        <w:t xml:space="preserve">Estas capturas son anteriores a la aprobación explícita del control (CU-CAL-07). Desde el 10 de octubre la orden pasa primero a «Liberada por calidad» cuando el inspector aprueba el control, y sólo entonces se puede cerrar (evidencia 13).</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9"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20"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2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22"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Evidencia 13. Aprobación de calidad, bandeja de pendientes y avisos entre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produccion y comercial · escritorio (SITRAFO.exe v1.1); casilla de correo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(la orden se cierra sólo después de que el inspector aprueba el control), RN-14 (el cambio a «Liberada por calidad» queda en el historial)</w:t>
            </w:r>
          </w:p>
        </w:tc>
      </w:tr>
    </w:tbl>
    <w:p>
      <w:pPr>
        <w:spacing w:after="60"/>
      </w:pPr>
    </w:p>
    <w:p>
      <w:pPr>
        <w:spacing w:after="120"/>
        <w:jc w:val="both"/>
      </w:pPr>
      <w:r>
        <w:t xml:space="preserve">El inspector abre en Control de calidad la OT-2026-0006 (transformador monofásico de 25 kVA, OC-2026-0005). Los siete ensayos obligatorios del protocolo «Ensayos de rutina v1» están conformes; el nivel de ruido, que no es obligatorio, sigue pendiente y no impide la aprobación. El control queda «Conforme», se habilita «Aprobar y liberar la orden» y, tras confirmar, el sistema informa que la orden quedó liberada y que el jefe de producción ya puede cerrarla.</w:t>
      </w:r>
    </w:p>
    <w:p>
      <w:pPr>
        <w:spacing w:after="120"/>
        <w:jc w:val="both"/>
      </w:pPr>
      <w:r>
        <w:t xml:space="preserve">Resultado observado: la OT-2026-0006 sale de la lista de calidad. Los usuarios con permiso para operar órdenes de trabajo reciben el aviso «orden de trabajo OT-2026-0006 liberada por calidad», cada uno en su propio correo (alias de la casilla del equipo), y el jefe de producción ve en Inicio, destacado, el pendiente «Cerrar la orden OT-2026-0006 (liberada por calidad)», junto con la generación de órdenes de trabajo de una compra con el anticipo pagado y el contador «Inicio (2)» en el menú. La bandeja del ejecutivo comercial muestra, en cambio, los pendientes de su rol: dos solicitudes por cotizar y un borrador sin emitir.</w:t>
      </w:r>
    </w:p>
    <w:p>
      <w:pPr>
        <w:keepNext/>
        <w:spacing w:before="120"/>
        <w:jc w:val="center"/>
      </w:pPr>
      <w:r>
        <w:drawing>
          <wp:inline distT="0" distB="0" distL="0" distR="0">
            <wp:extent cx="5943600" cy="3181350"/>
            <wp:effectExtent t="0" r="0" b="0" l="0"/>
            <wp:docPr id="23" name="Figura 23. Control conforme con el botón «Aprobar y liberar la orden» habilitado (sesión calidad)." descr="Figura 23. Control conforme con el botón «Aprobar y liberar la orden» habilitado (sesión calidad)." title="Figura 23. Control conforme con el botón «Aprobar y liberar la orden» habilitado (sesión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181350"/>
                    </a:xfrm>
                    <a:prstGeom prst="rect">
                      <a:avLst/>
                    </a:prstGeom>
                  </pic:spPr>
                </pic:pic>
              </a:graphicData>
            </a:graphic>
          </wp:inline>
        </w:drawing>
      </w:r>
    </w:p>
    <w:p>
      <w:pPr>
        <w:spacing w:after="200"/>
        <w:jc w:val="center"/>
      </w:pPr>
      <w:r>
        <w:rPr>
          <w:i/>
          <w:iCs/>
          <w:color w:val="44546A"/>
          <w:sz w:val="18"/>
          <w:szCs w:val="18"/>
        </w:rPr>
        <w:t xml:space="preserve">Figura 23. Control conforme con el botón «Aprobar y liberar la orden» habilitado (sesión calidad).</w:t>
      </w:r>
    </w:p>
    <w:p>
      <w:pPr>
        <w:keepNext/>
        <w:spacing w:before="120"/>
        <w:jc w:val="center"/>
      </w:pPr>
      <w:r>
        <w:drawing>
          <wp:inline distT="0" distB="0" distL="0" distR="0">
            <wp:extent cx="5943600" cy="3190875"/>
            <wp:effectExtent t="0" r="0" b="0" l="0"/>
            <wp:docPr id="24" name="Figura 24. Confirmación de la orden liberada por calidad." descr="Figura 24. Confirmación de la orden liberada por calidad." title="Figura 24. Confirmación de la orden liberada por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24. Confirmación de la orden liberada por calidad.</w:t>
      </w:r>
    </w:p>
    <w:p>
      <w:pPr>
        <w:keepNext/>
        <w:spacing w:before="120"/>
        <w:jc w:val="center"/>
      </w:pPr>
      <w:r>
        <w:drawing>
          <wp:inline distT="0" distB="0" distL="0" distR="0">
            <wp:extent cx="5943600" cy="3190875"/>
            <wp:effectExtent t="0" r="0" b="0" l="0"/>
            <wp:docPr id="25" name="Figura 25. Bandeja de pendientes del jefe de producción con la orden liberada para cerrar." descr="Figura 25. Bandeja de pendientes del jefe de producción con la orden liberada para cerrar." title="Figura 25. Bandeja de pendientes del jefe de producción con la orden liberada para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25. Bandeja de pendientes del jefe de producción con la orden liberada para cerrar.</w:t>
      </w:r>
    </w:p>
    <w:p>
      <w:pPr>
        <w:keepNext/>
        <w:spacing w:before="120"/>
        <w:jc w:val="center"/>
      </w:pPr>
      <w:r>
        <w:drawing>
          <wp:inline distT="0" distB="0" distL="0" distR="0">
            <wp:extent cx="5943600" cy="2914650"/>
            <wp:effectExtent t="0" r="0" b="0" l="0"/>
            <wp:docPr id="26" name="Figura 26. Aviso interno por correo a los usuarios que operan las órdenes de trabajo." descr="Figura 26. Aviso interno por correo a los usuarios que operan las órdenes de trabajo." title="Figura 26. Aviso interno por correo a los usuarios que operan las órden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14650"/>
                    </a:xfrm>
                    <a:prstGeom prst="rect">
                      <a:avLst/>
                    </a:prstGeom>
                  </pic:spPr>
                </pic:pic>
              </a:graphicData>
            </a:graphic>
          </wp:inline>
        </w:drawing>
      </w:r>
    </w:p>
    <w:p>
      <w:pPr>
        <w:spacing w:after="200"/>
        <w:jc w:val="center"/>
      </w:pPr>
      <w:r>
        <w:rPr>
          <w:i/>
          <w:iCs/>
          <w:color w:val="44546A"/>
          <w:sz w:val="18"/>
          <w:szCs w:val="18"/>
        </w:rPr>
        <w:t xml:space="preserve">Figura 26. Aviso interno por correo a los usuarios que operan las órdenes de trabajo.</w:t>
      </w:r>
    </w:p>
    <w:p>
      <w:pPr>
        <w:keepNext/>
        <w:spacing w:before="120"/>
        <w:jc w:val="center"/>
      </w:pPr>
      <w:r>
        <w:drawing>
          <wp:inline distT="0" distB="0" distL="0" distR="0">
            <wp:extent cx="5943600" cy="3190875"/>
            <wp:effectExtent t="0" r="0" b="0" l="0"/>
            <wp:docPr id="27" name="Figura 27. Bandeja de pendientes del ejecutivo comercial." descr="Figura 27. Bandeja de pendientes del ejecutivo comercial." title="Figura 27. Bandeja de pendientes del ejecutiv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27. Bandeja de pendientes del ejecutivo comercial.</w:t>
      </w:r>
    </w:p>
    <w:p>
      <w:pPr>
        <w:spacing w:after="160" w:before="80"/>
      </w:pPr>
      <w:r>
        <w:rPr>
          <w:i/>
          <w:iCs/>
          <w:color w:val="44546A"/>
          <w:sz w:val="19"/>
          <w:szCs w:val="19"/>
        </w:rPr>
        <w:t xml:space="preserve">Al momento de la captura el servidor aún tenía activo el modo de redirección de correos, por lo que el aviso llegó a la casilla de control con los destinatarios originales indicados en el asunto. Con el modo de copia, cada destinatario lo recibe en su correo y la casilla de control recibe una copia oculta.</w:t>
      </w:r>
    </w:p>
    <w:p>
      <w:pPr>
        <w:pStyle w:val="Heading1"/>
        <w:keepNext/>
        <w:pageBreakBefore/>
      </w:pPr>
      <w:r>
        <w:t xml:space="preserve">Evidencia 14. API pública de seguimiento de pedidos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visitante sin sesión y maipo · web; Swagger;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RN-16 (sin el código correcto no se entrega ningún dato del pedido, y la respuesta no incluye montos ni datos del cliente), RN-08 (la fecha estimada se calcula en días hábiles)</w:t>
            </w:r>
          </w:p>
        </w:tc>
      </w:tr>
    </w:tbl>
    <w:p>
      <w:pPr>
        <w:spacing w:after="60"/>
      </w:pPr>
    </w:p>
    <w:p>
      <w:pPr>
        <w:spacing w:after="120"/>
        <w:jc w:val="both"/>
      </w:pPr>
      <w:r>
        <w:t xml:space="preserve">En el acceso al portal, el enlace «Consulte su pedido sin iniciar sesión» abre la página de seguimiento. Se ingresa la OC-2026-0001 con su código de seguimiento escrito en minúsculas y sin guion, y la página consulta la API pública con la clave del portal. Luego se cambia una letra del código. El cliente maipo ve el mismo código en Pedidos, con el enlace «Ver seguimiento». En Swagger se ejecuta la misma consulta con la clave portal-web.</w:t>
      </w:r>
    </w:p>
    <w:p>
      <w:pPr>
        <w:spacing w:after="120"/>
        <w:jc w:val="both"/>
      </w:pPr>
      <w:r>
        <w:t xml:space="preserve">Resultado observado: la página muestra el pedido «En producción», con 39 % de avance, las etapas «Pedido recibido» y «Anticipo pagado y pedido confirmado» completadas, «En fabricación» en curso, el producto con su orden de trabajo y el historial. Con el código alterado aparece «No existe un pedido con ese número y código de seguimiento», el mismo mensaje que para un número inexistente. Swagger responde 200 con el JSON, sin montos.</w:t>
      </w:r>
    </w:p>
    <w:p>
      <w:pPr>
        <w:keepNext/>
        <w:spacing w:before="120"/>
        <w:jc w:val="center"/>
      </w:pPr>
      <w:r>
        <w:drawing>
          <wp:inline xmlns:a="http://schemas.openxmlformats.org/drawingml/2006/main" xmlns:pic="http://schemas.openxmlformats.org/drawingml/2006/picture">
            <wp:extent cx="4754880" cy="2992679"/>
            <wp:docPr id="28" name="Picture 2"/>
            <wp:cNvGraphicFramePr>
              <a:graphicFrameLocks noChangeAspect="1"/>
            </wp:cNvGraphicFramePr>
            <a:graphic>
              <a:graphicData uri="http://schemas.openxmlformats.org/drawingml/2006/picture">
                <pic:pic>
                  <pic:nvPicPr>
                    <pic:cNvPr id="0" name="01_login_enlace.png"/>
                    <pic:cNvPicPr/>
                  </pic:nvPicPr>
                  <pic:blipFill>
                    <a:blip r:embed="rId36"/>
                    <a:stretch>
                      <a:fillRect/>
                    </a:stretch>
                  </pic:blipFill>
                  <pic:spPr>
                    <a:xfrm>
                      <a:off x="0" y="0"/>
                      <a:ext cx="4754880" cy="2992679"/>
                    </a:xfrm>
                    <a:prstGeom prst="rect"/>
                  </pic:spPr>
                </pic:pic>
              </a:graphicData>
            </a:graphic>
          </wp:inline>
        </w:drawing>
      </w:r>
    </w:p>
    <w:p>
      <w:pPr>
        <w:spacing w:after="200"/>
        <w:jc w:val="center"/>
      </w:pPr>
      <w:r>
        <w:rPr>
          <w:i/>
          <w:iCs/>
          <w:color w:val="44546A"/>
          <w:sz w:val="18"/>
          <w:szCs w:val="18"/>
        </w:rPr>
        <w:t xml:space="preserve">Figura 28. Acceso al portal con el enlace a la consulta sin sesión.</w:t>
      </w:r>
    </w:p>
    <w:p>
      <w:pPr>
        <w:keepNext/>
        <w:spacing w:before="120"/>
        <w:jc w:val="center"/>
      </w:pPr>
      <w:r>
        <w:drawing>
          <wp:inline xmlns:a="http://schemas.openxmlformats.org/drawingml/2006/main" xmlns:pic="http://schemas.openxmlformats.org/drawingml/2006/picture">
            <wp:extent cx="5486400" cy="3629761"/>
            <wp:docPr id="29" name="Picture 3"/>
            <wp:cNvGraphicFramePr>
              <a:graphicFrameLocks noChangeAspect="1"/>
            </wp:cNvGraphicFramePr>
            <a:graphic>
              <a:graphicData uri="http://schemas.openxmlformats.org/drawingml/2006/picture">
                <pic:pic>
                  <pic:nvPicPr>
                    <pic:cNvPr id="0" name="03_seguimiento_resultado.png"/>
                    <pic:cNvPicPr/>
                  </pic:nvPicPr>
                  <pic:blipFill>
                    <a:blip r:embed="rId37"/>
                    <a:stretch>
                      <a:fillRect/>
                    </a:stretch>
                  </pic:blipFill>
                  <pic:spPr>
                    <a:xfrm>
                      <a:off x="0" y="0"/>
                      <a:ext cx="5486400" cy="3629761"/>
                    </a:xfrm>
                    <a:prstGeom prst="rect"/>
                  </pic:spPr>
                </pic:pic>
              </a:graphicData>
            </a:graphic>
          </wp:inline>
        </w:drawing>
      </w:r>
    </w:p>
    <w:p>
      <w:pPr>
        <w:spacing w:after="200"/>
        <w:jc w:val="center"/>
      </w:pPr>
      <w:r>
        <w:rPr>
          <w:i/>
          <w:iCs/>
          <w:color w:val="44546A"/>
          <w:sz w:val="18"/>
          <w:szCs w:val="18"/>
        </w:rPr>
        <w:t xml:space="preserve">Figura 29. Seguimiento del pedido OC-2026-0001 consultado por la API pública.</w:t>
      </w:r>
    </w:p>
    <w:p>
      <w:pPr>
        <w:keepNext/>
        <w:spacing w:before="120"/>
        <w:jc w:val="center"/>
      </w:pPr>
      <w:r>
        <w:drawing>
          <wp:inline xmlns:a="http://schemas.openxmlformats.org/drawingml/2006/main" xmlns:pic="http://schemas.openxmlformats.org/drawingml/2006/picture">
            <wp:extent cx="5120640" cy="3222885"/>
            <wp:docPr id="30" name="Picture 4"/>
            <wp:cNvGraphicFramePr>
              <a:graphicFrameLocks noChangeAspect="1"/>
            </wp:cNvGraphicFramePr>
            <a:graphic>
              <a:graphicData uri="http://schemas.openxmlformats.org/drawingml/2006/picture">
                <pic:pic>
                  <pic:nvPicPr>
                    <pic:cNvPr id="0" name="04_seguimiento_codigo_incorrecto.png"/>
                    <pic:cNvPicPr/>
                  </pic:nvPicPr>
                  <pic:blipFill>
                    <a:blip r:embed="rId38"/>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30. Código de seguimiento incorrecto: mismo mensaje que un pedido inexistente.</w:t>
      </w:r>
    </w:p>
    <w:p>
      <w:pPr>
        <w:keepNext/>
        <w:spacing w:before="120"/>
        <w:jc w:val="center"/>
      </w:pPr>
      <w:r>
        <w:drawing>
          <wp:inline xmlns:a="http://schemas.openxmlformats.org/drawingml/2006/main" xmlns:pic="http://schemas.openxmlformats.org/drawingml/2006/picture">
            <wp:extent cx="5120640" cy="3222885"/>
            <wp:docPr id="31" name="Picture 5"/>
            <wp:cNvGraphicFramePr>
              <a:graphicFrameLocks noChangeAspect="1"/>
            </wp:cNvGraphicFramePr>
            <a:graphic>
              <a:graphicData uri="http://schemas.openxmlformats.org/drawingml/2006/picture">
                <pic:pic>
                  <pic:nvPicPr>
                    <pic:cNvPr id="0" name="05_mis_pedidos_codigo.png"/>
                    <pic:cNvPicPr/>
                  </pic:nvPicPr>
                  <pic:blipFill>
                    <a:blip r:embed="rId39"/>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31. Pedidos del cliente maipo con el código de seguimiento y el enlace «Ver seguimiento».</w:t>
      </w:r>
    </w:p>
    <w:p>
      <w:pPr>
        <w:keepNext/>
        <w:spacing w:before="120"/>
        <w:jc w:val="center"/>
      </w:pPr>
      <w:r>
        <w:drawing>
          <wp:inline xmlns:a="http://schemas.openxmlformats.org/drawingml/2006/main" xmlns:pic="http://schemas.openxmlformats.org/drawingml/2006/picture">
            <wp:extent cx="4023360" cy="4435888"/>
            <wp:docPr id="32" name="Picture 6"/>
            <wp:cNvGraphicFramePr>
              <a:graphicFrameLocks noChangeAspect="1"/>
            </wp:cNvGraphicFramePr>
            <a:graphic>
              <a:graphicData uri="http://schemas.openxmlformats.org/drawingml/2006/picture">
                <pic:pic>
                  <pic:nvPicPr>
                    <pic:cNvPr id="0" name="10_swagger_seguimiento_200.png"/>
                    <pic:cNvPicPr/>
                  </pic:nvPicPr>
                  <pic:blipFill>
                    <a:blip r:embed="rId40"/>
                    <a:stretch>
                      <a:fillRect/>
                    </a:stretch>
                  </pic:blipFill>
                  <pic:spPr>
                    <a:xfrm>
                      <a:off x="0" y="0"/>
                      <a:ext cx="4023360" cy="4435888"/>
                    </a:xfrm>
                    <a:prstGeom prst="rect"/>
                  </pic:spPr>
                </pic:pic>
              </a:graphicData>
            </a:graphic>
          </wp:inline>
        </w:drawing>
      </w:r>
    </w:p>
    <w:p>
      <w:pPr>
        <w:spacing w:after="200"/>
        <w:jc w:val="center"/>
      </w:pPr>
      <w:r>
        <w:rPr>
          <w:i/>
          <w:iCs/>
          <w:color w:val="44546A"/>
          <w:sz w:val="18"/>
          <w:szCs w:val="18"/>
        </w:rPr>
        <w:t xml:space="preserve">Figura 32. Swagger: consulta del seguimiento con la clave portal-web (200).</w:t>
      </w:r>
    </w:p>
    <w:p>
      <w:pPr>
        <w:spacing w:after="160" w:before="80"/>
      </w:pPr>
      <w:r>
        <w:rPr>
          <w:i/>
          <w:iCs/>
          <w:color w:val="44546A"/>
          <w:sz w:val="19"/>
          <w:szCs w:val="19"/>
        </w:rPr>
        <w:t xml:space="preserve">La entrega estimada aparece «Por definir» porque la cotización de demostración no tiene fecha comprometida ni plazo cargado. Con plazo, la API la calcula en días hábiles y lo indica.</w:t>
      </w:r>
    </w:p>
    <w:p>
      <w:pPr>
        <w:pStyle w:val="Heading1"/>
        <w:keepNext/>
        <w:pageBreakBefore/>
      </w:pPr>
      <w:r>
        <w:t xml:space="preserve">Evidencia 15. API pública del cotizador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web; Swagger;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convertido con la UF del día), RN-08 (entrega en días hábiles), RN-17 (precio desde los costos vigentes del modelo)</w:t>
            </w:r>
          </w:p>
        </w:tc>
      </w:tr>
    </w:tbl>
    <w:p>
      <w:pPr>
        <w:spacing w:after="60"/>
      </w:pPr>
    </w:p>
    <w:p>
      <w:pPr>
        <w:spacing w:after="120"/>
        <w:jc w:val="both"/>
      </w:pPr>
      <w:r>
        <w:t xml:space="preserve">En la ficha del TD-100 el cliente escribe 3 unidades y presiona «Estimar». Luego estima 2 unidades del TM-025, que no tiene precio base publicado, y presiona «Pedir presupuesto por estas unidades». En Swagger se ejecuta la estimación de dos modelos con la clave portal-clientes y se repite con la clave portal-web. Al final, el administrador revisa el registro de integraciones en el escritorio.</w:t>
      </w:r>
    </w:p>
    <w:p>
      <w:pPr>
        <w:spacing w:after="120"/>
        <w:jc w:val="both"/>
      </w:pPr>
      <w:r>
        <w:t xml:space="preserve">Resultado observado: la ficha muestra 88,13 UF por unidad, 264,39 UF en total, su equivalente en pesos y dólares, la entrega estimada en 30 días hábiles y la validez de la estimación. El TM-025 recibe un precio calculado con el costeo, aunque su ficha diga «Precio según especificación». La solicitud se abre con el modelo y las unidades cargados. Swagger responde 200 con la clave portal-clientes y 403 con la clave portal-web. El registro de integraciones muestra cada consulta como api_seguimiento o api_cotizador, con su código de respuesta y latencia.</w:t>
      </w:r>
    </w:p>
    <w:p>
      <w:pPr>
        <w:keepNext/>
        <w:spacing w:before="120"/>
        <w:jc w:val="center"/>
      </w:pPr>
      <w:r>
        <w:drawing>
          <wp:inline xmlns:a="http://schemas.openxmlformats.org/drawingml/2006/main" xmlns:pic="http://schemas.openxmlformats.org/drawingml/2006/picture">
            <wp:extent cx="5486400" cy="3918857"/>
            <wp:docPr id="33" name="Picture 7"/>
            <wp:cNvGraphicFramePr>
              <a:graphicFrameLocks noChangeAspect="1"/>
            </wp:cNvGraphicFramePr>
            <a:graphic>
              <a:graphicData uri="http://schemas.openxmlformats.org/drawingml/2006/picture">
                <pic:pic>
                  <pic:nvPicPr>
                    <pic:cNvPr id="0" name="06_ficha_estimacion.png"/>
                    <pic:cNvPicPr/>
                  </pic:nvPicPr>
                  <pic:blipFill>
                    <a:blip r:embed="rId41"/>
                    <a:stretch>
                      <a:fillRect/>
                    </a:stretch>
                  </pic:blipFill>
                  <pic:spPr>
                    <a:xfrm>
                      <a:off x="0" y="0"/>
                      <a:ext cx="5486400" cy="3918857"/>
                    </a:xfrm>
                    <a:prstGeom prst="rect"/>
                  </pic:spPr>
                </pic:pic>
              </a:graphicData>
            </a:graphic>
          </wp:inline>
        </w:drawing>
      </w:r>
    </w:p>
    <w:p>
      <w:pPr>
        <w:spacing w:after="200"/>
        <w:jc w:val="center"/>
      </w:pPr>
      <w:r>
        <w:rPr>
          <w:i/>
          <w:iCs/>
          <w:color w:val="44546A"/>
          <w:sz w:val="18"/>
          <w:szCs w:val="18"/>
        </w:rPr>
        <w:t xml:space="preserve">Figura 33. Estimación de 3 unidades del TD-100 en la ficha del modelo.</w:t>
      </w:r>
    </w:p>
    <w:p>
      <w:pPr>
        <w:keepNext/>
        <w:spacing w:before="120"/>
        <w:jc w:val="center"/>
      </w:pPr>
      <w:r>
        <w:drawing>
          <wp:inline xmlns:a="http://schemas.openxmlformats.org/drawingml/2006/main" xmlns:pic="http://schemas.openxmlformats.org/drawingml/2006/picture">
            <wp:extent cx="5486400" cy="3825704"/>
            <wp:docPr id="34" name="Picture 8"/>
            <wp:cNvGraphicFramePr>
              <a:graphicFrameLocks noChangeAspect="1"/>
            </wp:cNvGraphicFramePr>
            <a:graphic>
              <a:graphicData uri="http://schemas.openxmlformats.org/drawingml/2006/picture">
                <pic:pic>
                  <pic:nvPicPr>
                    <pic:cNvPr id="0" name="07_ficha_sin_precio_base.png"/>
                    <pic:cNvPicPr/>
                  </pic:nvPicPr>
                  <pic:blipFill>
                    <a:blip r:embed="rId42"/>
                    <a:stretch>
                      <a:fillRect/>
                    </a:stretch>
                  </pic:blipFill>
                  <pic:spPr>
                    <a:xfrm>
                      <a:off x="0" y="0"/>
                      <a:ext cx="5486400" cy="3825704"/>
                    </a:xfrm>
                    <a:prstGeom prst="rect"/>
                  </pic:spPr>
                </pic:pic>
              </a:graphicData>
            </a:graphic>
          </wp:inline>
        </w:drawing>
      </w:r>
    </w:p>
    <w:p>
      <w:pPr>
        <w:spacing w:after="200"/>
        <w:jc w:val="center"/>
      </w:pPr>
      <w:r>
        <w:rPr>
          <w:i/>
          <w:iCs/>
          <w:color w:val="44546A"/>
          <w:sz w:val="18"/>
          <w:szCs w:val="18"/>
        </w:rPr>
        <w:t xml:space="preserve">Figura 34. Estimación del TM-025: precio calculado con el costeo aunque no tenga precio base.</w:t>
      </w:r>
    </w:p>
    <w:p>
      <w:pPr>
        <w:keepNext/>
        <w:spacing w:before="120"/>
        <w:jc w:val="center"/>
      </w:pPr>
      <w:r>
        <w:drawing>
          <wp:inline xmlns:a="http://schemas.openxmlformats.org/drawingml/2006/main" xmlns:pic="http://schemas.openxmlformats.org/drawingml/2006/picture">
            <wp:extent cx="5120640" cy="3222885"/>
            <wp:docPr id="35" name="Picture 9"/>
            <wp:cNvGraphicFramePr>
              <a:graphicFrameLocks noChangeAspect="1"/>
            </wp:cNvGraphicFramePr>
            <a:graphic>
              <a:graphicData uri="http://schemas.openxmlformats.org/drawingml/2006/picture">
                <pic:pic>
                  <pic:nvPicPr>
                    <pic:cNvPr id="0" name="08_solicitud_prellenada.png"/>
                    <pic:cNvPicPr/>
                  </pic:nvPicPr>
                  <pic:blipFill>
                    <a:blip r:embed="rId43"/>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35. Solicitud de presupuesto abierta desde la estimación, con el modelo y las unidades cargados.</w:t>
      </w:r>
    </w:p>
    <w:p>
      <w:pPr>
        <w:keepNext/>
        <w:spacing w:before="120"/>
        <w:jc w:val="center"/>
      </w:pPr>
      <w:r>
        <w:drawing>
          <wp:inline xmlns:a="http://schemas.openxmlformats.org/drawingml/2006/main" xmlns:pic="http://schemas.openxmlformats.org/drawingml/2006/picture">
            <wp:extent cx="3840480" cy="5677332"/>
            <wp:docPr id="36" name="Picture 10"/>
            <wp:cNvGraphicFramePr>
              <a:graphicFrameLocks noChangeAspect="1"/>
            </wp:cNvGraphicFramePr>
            <a:graphic>
              <a:graphicData uri="http://schemas.openxmlformats.org/drawingml/2006/picture">
                <pic:pic>
                  <pic:nvPicPr>
                    <pic:cNvPr id="0" name="11_swagger_estimacion_200.png"/>
                    <pic:cNvPicPr/>
                  </pic:nvPicPr>
                  <pic:blipFill>
                    <a:blip r:embed="rId44"/>
                    <a:stretch>
                      <a:fillRect/>
                    </a:stretch>
                  </pic:blipFill>
                  <pic:spPr>
                    <a:xfrm>
                      <a:off x="0" y="0"/>
                      <a:ext cx="3840480" cy="5677332"/>
                    </a:xfrm>
                    <a:prstGeom prst="rect"/>
                  </pic:spPr>
                </pic:pic>
              </a:graphicData>
            </a:graphic>
          </wp:inline>
        </w:drawing>
      </w:r>
    </w:p>
    <w:p>
      <w:pPr>
        <w:spacing w:after="200"/>
        <w:jc w:val="center"/>
      </w:pPr>
      <w:r>
        <w:rPr>
          <w:i/>
          <w:iCs/>
          <w:color w:val="44546A"/>
          <w:sz w:val="18"/>
          <w:szCs w:val="18"/>
        </w:rPr>
        <w:t xml:space="preserve">Figura 36. Swagger: estimación de dos modelos con la clave portal-clientes (200).</w:t>
      </w:r>
    </w:p>
    <w:p>
      <w:pPr>
        <w:keepNext/>
        <w:spacing w:before="120"/>
        <w:jc w:val="center"/>
      </w:pPr>
      <w:r>
        <w:drawing>
          <wp:inline xmlns:a="http://schemas.openxmlformats.org/drawingml/2006/main" xmlns:pic="http://schemas.openxmlformats.org/drawingml/2006/picture">
            <wp:extent cx="3840480" cy="4780911"/>
            <wp:docPr id="37" name="Picture 11"/>
            <wp:cNvGraphicFramePr>
              <a:graphicFrameLocks noChangeAspect="1"/>
            </wp:cNvGraphicFramePr>
            <a:graphic>
              <a:graphicData uri="http://schemas.openxmlformats.org/drawingml/2006/picture">
                <pic:pic>
                  <pic:nvPicPr>
                    <pic:cNvPr id="0" name="12_swagger_estimacion_403.png"/>
                    <pic:cNvPicPr/>
                  </pic:nvPicPr>
                  <pic:blipFill>
                    <a:blip r:embed="rId45"/>
                    <a:stretch>
                      <a:fillRect/>
                    </a:stretch>
                  </pic:blipFill>
                  <pic:spPr>
                    <a:xfrm>
                      <a:off x="0" y="0"/>
                      <a:ext cx="3840480" cy="4780911"/>
                    </a:xfrm>
                    <a:prstGeom prst="rect"/>
                  </pic:spPr>
                </pic:pic>
              </a:graphicData>
            </a:graphic>
          </wp:inline>
        </w:drawing>
      </w:r>
    </w:p>
    <w:p>
      <w:pPr>
        <w:spacing w:after="200"/>
        <w:jc w:val="center"/>
      </w:pPr>
      <w:r>
        <w:rPr>
          <w:i/>
          <w:iCs/>
          <w:color w:val="44546A"/>
          <w:sz w:val="18"/>
          <w:szCs w:val="18"/>
        </w:rPr>
        <w:t xml:space="preserve">Figura 37. Swagger: la clave portal-web no tiene acceso al cotizador (403).</w:t>
      </w:r>
    </w:p>
    <w:p>
      <w:pPr>
        <w:keepNext/>
        <w:spacing w:before="120"/>
        <w:jc w:val="center"/>
      </w:pPr>
      <w:r>
        <w:drawing>
          <wp:inline xmlns:a="http://schemas.openxmlformats.org/drawingml/2006/main" xmlns:pic="http://schemas.openxmlformats.org/drawingml/2006/picture">
            <wp:extent cx="5669280" cy="3060234"/>
            <wp:docPr id="38" name="Picture 12"/>
            <wp:cNvGraphicFramePr>
              <a:graphicFrameLocks noChangeAspect="1"/>
            </wp:cNvGraphicFramePr>
            <a:graphic>
              <a:graphicData uri="http://schemas.openxmlformats.org/drawingml/2006/picture">
                <pic:pic>
                  <pic:nvPicPr>
                    <pic:cNvPr id="0" name="13_escritorio_integraciones.png"/>
                    <pic:cNvPicPr/>
                  </pic:nvPicPr>
                  <pic:blipFill>
                    <a:blip r:embed="rId46"/>
                    <a:stretch>
                      <a:fillRect/>
                    </a:stretch>
                  </pic:blipFill>
                  <pic:spPr>
                    <a:xfrm>
                      <a:off x="0" y="0"/>
                      <a:ext cx="5669280" cy="3060234"/>
                    </a:xfrm>
                    <a:prstGeom prst="rect"/>
                  </pic:spPr>
                </pic:pic>
              </a:graphicData>
            </a:graphic>
          </wp:inline>
        </w:drawing>
      </w:r>
    </w:p>
    <w:p>
      <w:pPr>
        <w:spacing w:after="200"/>
        <w:jc w:val="center"/>
      </w:pPr>
      <w:r>
        <w:rPr>
          <w:i/>
          <w:iCs/>
          <w:color w:val="44546A"/>
          <w:sz w:val="18"/>
          <w:szCs w:val="18"/>
        </w:rPr>
        <w:t xml:space="preserve">Figura 38. Registro de integraciones en el escritorio con las consultas a las APIs públicas.</w:t>
      </w:r>
    </w:p>
    <w:p>
      <w:pPr>
        <w:pStyle w:val="Heading1"/>
        <w:keepNext/>
        <w:pageBreakBefore/>
      </w:pPr>
      <w:r>
        <w:t xml:space="preserve">Evidencia 16. API pública de disponibilidad de materiales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 y administrador · escritorio; Swagger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stock que informa la API se calcula desde el kardex, que descuenta cada consumo)</w:t>
            </w:r>
          </w:p>
        </w:tc>
      </w:tr>
    </w:tbl>
    <w:p>
      <w:pPr>
        <w:spacing w:after="60"/>
      </w:pPr>
    </w:p>
    <w:p>
      <w:pPr>
        <w:spacing w:after="120"/>
        <w:jc w:val="both"/>
      </w:pPr>
      <w:r>
        <w:t xml:space="preserve">El encargado de bodega abre Inventario en el escritorio, sube el stock mínimo del TNQ-01 por sobre su stock actual y marca «Solo bajo el minimo». En Swagger se consulta la disponibilidad de materiales con la clave proveedores y se repite con la clave portal-web. Al final, el administrador revisa el registro de integraciones.</w:t>
      </w:r>
    </w:p>
    <w:p>
      <w:pPr>
        <w:spacing w:after="120"/>
        <w:jc w:val="both"/>
      </w:pPr>
      <w:r>
        <w:t xml:space="preserve">Resultado observado: </w:t>
      </w:r>
      <w:r>
        <w:rPr>
          <w:highlight w:val="yellow"/>
        </w:rPr>
        <w:t xml:space="preserve">el inventario filtrado muestra __ materiales bajo el mínimo y Swagger responde 200 con los mismos materiales, cada uno con su cantidad sugerida (TNQ-01: 2 × __ − __ = __ un), sin costos, bodegas ni stock. Con la clave portal-web responde 403. El registro de integraciones muestra cada consulta como api_materiales, con su código de respuesta y latencia.</w:t>
      </w:r>
    </w:p>
    <w:p>
      <w:pPr>
        <w:keepNext/>
        <w:spacing w:before="120"/>
        <w:jc w:val="center"/>
      </w:pPr>
      <w:r>
        <w:rPr>
          <w:b/>
          <w:highlight w:val="yellow"/>
        </w:rPr>
        <w:t xml:space="preserve">[Pegar aquí la captura de la figura 39]</w:t>
      </w:r>
    </w:p>
    <w:p>
      <w:pPr>
        <w:spacing w:after="200"/>
        <w:jc w:val="center"/>
      </w:pPr>
      <w:r>
        <w:rPr>
          <w:i/>
          <w:iCs/>
          <w:color w:val="44546A"/>
          <w:sz w:val="18"/>
          <w:szCs w:val="18"/>
        </w:rPr>
        <w:t xml:space="preserve">Figura 39. Inventario del escritorio con el filtro «Solo bajo el minimo».</w:t>
      </w:r>
    </w:p>
    <w:p>
      <w:pPr>
        <w:keepNext/>
        <w:spacing w:before="120"/>
        <w:jc w:val="center"/>
      </w:pPr>
      <w:r>
        <w:rPr>
          <w:b/>
          <w:highlight w:val="yellow"/>
        </w:rPr>
        <w:t xml:space="preserve">[Pegar aquí la captura de la figura 40]</w:t>
      </w:r>
    </w:p>
    <w:p>
      <w:pPr>
        <w:spacing w:after="200"/>
        <w:jc w:val="center"/>
      </w:pPr>
      <w:r>
        <w:rPr>
          <w:i/>
          <w:iCs/>
          <w:color w:val="44546A"/>
          <w:sz w:val="18"/>
          <w:szCs w:val="18"/>
        </w:rPr>
        <w:t xml:space="preserve">Figura 40. Swagger: materiales a reponer con la clave proveedores (200).</w:t>
      </w:r>
    </w:p>
    <w:p>
      <w:pPr>
        <w:keepNext/>
        <w:spacing w:before="120"/>
        <w:jc w:val="center"/>
      </w:pPr>
      <w:r>
        <w:rPr>
          <w:b/>
          <w:highlight w:val="yellow"/>
        </w:rPr>
        <w:t xml:space="preserve">[Pegar aquí la captura de la figura 41]</w:t>
      </w:r>
    </w:p>
    <w:p>
      <w:pPr>
        <w:spacing w:after="200"/>
        <w:jc w:val="center"/>
      </w:pPr>
      <w:r>
        <w:rPr>
          <w:i/>
          <w:iCs/>
          <w:color w:val="44546A"/>
          <w:sz w:val="18"/>
          <w:szCs w:val="18"/>
        </w:rPr>
        <w:t xml:space="preserve">Figura 41. Swagger: la clave portal-web no tiene acceso a la disponibilidad de materiales (403).</w:t>
      </w:r>
    </w:p>
    <w:p>
      <w:pPr>
        <w:keepNext/>
        <w:spacing w:before="120"/>
        <w:jc w:val="center"/>
      </w:pPr>
      <w:r>
        <w:rPr>
          <w:b/>
          <w:highlight w:val="yellow"/>
        </w:rPr>
        <w:t xml:space="preserve">[Pegar aquí la captura de la figura 42]</w:t>
      </w:r>
    </w:p>
    <w:p>
      <w:pPr>
        <w:spacing w:after="200"/>
        <w:jc w:val="center"/>
      </w:pPr>
      <w:r>
        <w:rPr>
          <w:i/>
          <w:iCs/>
          <w:color w:val="44546A"/>
          <w:sz w:val="18"/>
          <w:szCs w:val="18"/>
        </w:rPr>
        <w:t xml:space="preserve">Figura 42. Registro de integraciones en el escritorio con las consultas api_materiales.</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Los tres primeros se corrigieron el 10 de octubre de 2026; la corrección está cubierta por pruebas automatizadas y desplegada en el ambiente publicado. El cuarto se detectó el 19 de octubre de 2026 y queda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900"/>
        <w:gridCol w:w="356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1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3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Corrección</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Cada parámetro numérico tiene rango mínimo y máximo (tensión primaria 1 a 66 kV, secundaria 100 a 1.000 V), que la web muestra bajo el campo y valida al enviar, igual que la API; si se elige un modelo, la potencia debe coincidir con la suya. Los rangos se administran en Catálogo → Parámetros técnicos.</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Tope de 500 unidades por solicitud y por línea de cotización, editable como parámetro comercial.max_unidades_solicitud en Canal web.</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La unidad se muestra sólo cuando existe.</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H-04</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los datos de demostración, la ficha del TD-100 muestra el precio base publicado (185 UF) y el cotizador una estimación de 88,13 UF, calculada con el costeo.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15</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Pendiente. La diferencia viene de los costos de materiales y horas de demostración, que son menores que los reales (lo mismo explica la desviación de la evidencia 10). Se debe decidir si se ajustan esos costos o si la ficha muestra la estimación en lugar del precio base.</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alinean los códigos de casos de uso e historias con el CU-01 v2.0.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la evidencia 13 (aprobación de calidad, bandeja de pendientes y avisos entre roles) y una nota en la evidencia 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Los hallazgos H-01, H-02 y H-03 quedan registrados como corregidos.</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14 y 15: APIs públicas de seguimiento de pedidos y del cotizador, en la web, en Swagger y en el registro de integraciones del escritorio. Hallazgo H-04.</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highlight w:val="yellow"/>
              </w:rPr>
              <w:t xml:space="preserve">dd-mm-2026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 16: API pública de disponibilidad de materiales, en el inventario del escritorio, en Swagger y en el registro de integraciones.</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SITRAFO · EVI-01 Evidencias de Funcionamiento ·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image" Target="media/47b2c6655026f8c81cb43714127b3032813c3245.png"/><Relationship Id="rId31" Type="http://schemas.openxmlformats.org/officeDocument/2006/relationships/image" Target="media/89d2f8a968b2a4074cf4c1da62bef4538a2d512c.png"/><Relationship Id="rId32" Type="http://schemas.openxmlformats.org/officeDocument/2006/relationships/image" Target="media/c7f7c430ba2053ea6789749f919767e6e098a297.png"/><Relationship Id="rId33" Type="http://schemas.openxmlformats.org/officeDocument/2006/relationships/image" Target="media/95d223ff325c20ab40086ac8f51d346df79e3126.png"/><Relationship Id="rId34" Type="http://schemas.openxmlformats.org/officeDocument/2006/relationships/image" Target="media/bd7593dfd839e19bf783edfab2f0358d280cebdd.png"/><Relationship Id="rId35" Type="http://schemas.openxmlformats.org/officeDocument/2006/relationships/fontTable" Target="fontTable.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1.3</dc:title>
  <dc:creator>Benjamín Delgado Bravo</dc:creator>
  <cp:lastModifiedBy>Un-named</cp:lastModifiedBy>
  <cp:revision>1</cp:revision>
  <dcterms:created xsi:type="dcterms:W3CDTF">2026-10-11T02:00:06.658Z</dcterms:created>
  <dcterms:modified xsi:type="dcterms:W3CDTF">2026-10-11T02:00:06.659Z</dcterms:modified>
</cp:coreProperties>
</file>

<file path=docProps/custom.xml><?xml version="1.0" encoding="utf-8"?>
<Properties xmlns="http://schemas.openxmlformats.org/officeDocument/2006/custom-properties" xmlns:vt="http://schemas.openxmlformats.org/officeDocument/2006/docPropsVTypes"/>
</file>