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jc w:val="center"/>
      </w:pPr>
      <w:r>
        <w:rPr>
          <w:b/>
          <w:bCs/>
          <w:color w:val="2E5496"/>
          <w:sz w:val="64"/>
          <w:szCs w:val="64"/>
        </w:rPr>
        <w:t xml:space="preserve">SITRAFO</w:t>
      </w:r>
    </w:p>
    <w:p>
      <w:pPr>
        <w:jc w:val="center"/>
      </w:pPr>
      <w:r>
        <w:rPr>
          <w:color w:val="44546A"/>
          <w:sz w:val="26"/>
          <w:szCs w:val="26"/>
        </w:rPr>
        <w:t xml:space="preserve">Sistema Integral de Gestión Comercial y Productiva</w:t>
      </w:r>
    </w:p>
    <w:p>
      <w:pPr>
        <w:spacing w:after="400"/>
        <w:jc w:val="center"/>
      </w:pPr>
      <w:r>
        <w:rPr>
          <w:color w:val="44546A"/>
          <w:sz w:val="26"/>
          <w:szCs w:val="26"/>
        </w:rPr>
        <w:t xml:space="preserve">para Fabricación de Transformadores Eléctricos</w:t>
      </w:r>
    </w:p>
    <w:p>
      <w:pPr>
        <w:jc w:val="center"/>
      </w:pPr>
      <w:r>
        <w:rPr>
          <w:b/>
          <w:bCs/>
          <w:sz w:val="32"/>
          <w:szCs w:val="32"/>
        </w:rPr>
        <w:t xml:space="preserve">MODELO DE DATOS, DICCIONARIO Y MODELO DE CLASES</w:t>
      </w:r>
    </w:p>
    <w:p>
      <w:pPr>
        <w:spacing w:after="500"/>
        <w:jc w:val="center"/>
      </w:pPr>
      <w:r>
        <w:rPr>
          <w:color w:val="2E5496"/>
          <w:sz w:val="26"/>
          <w:szCs w:val="26"/>
        </w:rPr>
        <w:t xml:space="preserve">MER-01  ·  Versión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Campo</w:t>
            </w:r>
          </w:p>
        </w:tc>
        <w:tc>
          <w:tcPr>
            <w:tcW w:type="dxa" w:w="5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Detalle</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Proyecto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SITRAFO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MER-01 — Modelo de datos, diccionario y modelo de clases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Documentos antecedentes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ERS-01 Toma de requerimientos; CU-01 Modelo de casos de uso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Motor de base de datos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PostgreSQL 16</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Total de tablas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54</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Fuente</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Modelos Django y esquema desplegado del repositorio SITRAFO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Asignatura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Capstone — Proyecto APT</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Institución</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Duoc UC, Sede Puente Alto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Líder de Proyecto / Product Owner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Scrum Master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Camila Olivares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Desarrollador / Calidad de Producto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Milko Soto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Fecha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 de octubre de 2026</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Estado del documento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Actualizado a la implementación (Fase 2)</w:t>
            </w:r>
          </w:p>
        </w:tc>
      </w:tr>
    </w:tbl>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y alcance</w:t>
      </w:r>
    </w:p>
    <w:p>
      <w:pPr>
        <w:spacing w:after="120"/>
        <w:jc w:val="both"/>
      </w:pPr>
      <w:r>
        <w:t xml:space="preserve">El presente documento define el modelo de datos relacional del sistema SITRAFO y su correspondiente modelo de clases. Toma como entrada los requerimientos funcionales del documento ERS-01 y las entidades identificadas en el documento CU-01.</w:t>
      </w:r>
    </w:p>
    <w:p>
      <w:pPr>
        <w:spacing w:after="120"/>
        <w:jc w:val="both"/>
      </w:pPr>
      <w:r>
        <w:t xml:space="preserve">La versión 1.0 de este documento se elaboró en la Fase 1 como diseño previo a la construcción. La presente versión 2.1 actualiza el modelo a la implementación real: el diccionario, los diagramas entidad-relación y los diagramas de clases se generaron a partir de los modelos Django del repositorio y del esquema PostgreSQL desplegado, por lo que coinciden exactamente con el sistema en funcionamiento. Las diferencias respecto de la versión 1.0 se documentan en la sección 2.</w:t>
      </w:r>
    </w:p>
    <w:p>
      <w:pPr>
        <w:spacing w:after="120"/>
        <w:jc w:val="both"/>
      </w:pPr>
      <w:r>
        <w:t xml:space="preserve">Comprende el registro de cambios, los diagramas entidad-relación por dominio, el diccionario de datos completo, el modelo de clases, la justificación de normalización y la verificación del cumplimiento del mínimo de tablas exigido.</w:t>
      </w:r>
    </w:p>
    <w:p>
      <w:pPr>
        <w:pStyle w:val="Heading2"/>
      </w:pPr>
      <w:r>
        <w:t xml:space="preserve">1.1 Verificación del requisito de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Criterio</w:t>
            </w:r>
          </w:p>
        </w:tc>
        <w:tc>
          <w:tcPr>
            <w:tcW w:type="dxa" w:w="1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Exigido</w:t>
            </w:r>
          </w:p>
        </w:tc>
        <w:tc>
          <w:tcPr>
            <w:tcW w:type="dxa" w:w="30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Modelo implementado</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Tablas relacionales normalizadas distintas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Mínimo 30</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54</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Forma normal alcanzada</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 especificada</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Tercera forma normal</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Motor relacional</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Requerido</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PostgreSQL 16</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Claves foráneas declaradas en el motor</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90</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Restricciones de unicidad compuesta</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17</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Restricciones de verificación (CHECK) con nombre propio</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14</w:t>
            </w:r>
          </w:p>
        </w:tc>
      </w:tr>
    </w:tbl>
    <w:p>
      <w:pPr>
        <w:spacing w:after="60"/>
      </w:pPr>
    </w:p>
    <w:p>
      <w:pPr>
        <w:spacing w:after="120"/>
        <w:jc w:val="both"/>
      </w:pPr>
      <w:r>
        <w:t xml:space="preserve">Las cincuenta y cuatro tablas corresponden exclusivamente al modelo de negocio. No se contabilizan las tablas internas que el marco Django crea para su propio funcionamiento (migraciones, sesiones, tipos de contenido, grupos y permisos del panel técnico, y la lista de revocación de tokens JWT).</w:t>
      </w:r>
    </w:p>
    <w:p>
      <w:pPr>
        <w:pStyle w:val="Heading2"/>
      </w:pPr>
      <w:r>
        <w:t xml:space="preserve">1.2 Clasificación de las tablas según esfuerzo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960"/>
      </w:tblGrid>
      <w:tr>
        <w:trPr>
          <w:tblHeader/>
        </w:trPr>
        <w:tc>
          <w:tcPr>
            <w:tcW w:type="dxa" w:w="3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Tipo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Cantidad</w:t>
            </w:r>
          </w:p>
        </w:tc>
        <w:tc>
          <w:tcPr>
            <w:tcW w:type="dxa" w:w="4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Implicancia de desarrollo</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Entidad de negocio con mantenedor</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22</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Modelo, serializador, endpoints, interfaz y pruebas.</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 de detalle o línea</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8</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 desarrolla junto a su entidad principal, sin interfaz propia.</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 de relación</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4</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Modelo explícito con unicidad compuesta, sin interfaz propia.</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 de historial</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4</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Escritura automática desde la capa de servicio, mediante una clase base común.</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 de catálogo semilla</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9</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 puebla mediante comandos de carga inicial; no requiere mantenedor.</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 de registro técnico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Escritura automática del sistema, sin interfaz de edición.</w:t>
            </w:r>
          </w:p>
        </w:tc>
      </w:tr>
    </w:tbl>
    <w:p>
      <w:pPr>
        <w:spacing w:after="60"/>
      </w:pPr>
    </w:p>
    <w:p>
      <w:pPr>
        <w:pStyle w:val="Heading1"/>
        <w:pageBreakBefore/>
      </w:pPr>
      <w:r>
        <w:t xml:space="preserve">2. Cambios respecto a la versión 1.0</w:t>
      </w:r>
    </w:p>
    <w:p>
      <w:pPr>
        <w:spacing w:after="120"/>
        <w:jc w:val="both"/>
      </w:pPr>
      <w:r>
        <w:t xml:space="preserve">La construcción del sistema confirmó el diseño de la Fase 1: el número de tablas se mantiene en cincuenta y cuatro y no se eliminó ni agregó ninguna entidad. Los cambios son de detalle y obedecen a tres causas: la adopción de las convenciones del ORM de Django, la incorporación de funcionalidades de seguridad exigidas por la ERS y una mejora funcional del catálogo surgida durante 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Ámbito</w:t>
            </w:r>
          </w:p>
        </w:tc>
        <w:tc>
          <w:tcPr>
            <w:tcW w:type="dxa" w:w="3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Cambio</w:t>
            </w:r>
          </w:p>
        </w:tc>
        <w:tc>
          <w:tcPr>
            <w:tcW w:type="dxa" w:w="32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Motivo</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Tablas de relación: rol_permiso, usuario_rol, modelo_parametro, solicitud_especificacion</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clave primaria compuesta se reemplaza por una clave sustituta id (bigserial) más una restricción UNIQUE sobre el par de claves foráneas.</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ORM de Django opera con clave primaria simple. La restricción de unicidad compuesta mantiene exactamente la misma integridad que la clave compuesta.</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password_hash pasa a llamarse password. Se agregan last_login, is_staff, is_superuser e is_active.</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tabla implementa el modelo de usuario personalizado de Django, que hereda estas columnas del marco de autenticación (hash PBKDF2 con sal).</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agrega bloqueado_hasta.</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 el bloqueo temporal de la cuenta tras cinco intentos fallidos (RF-SEG-04), con desbloqueo automático al vencer el plazo.</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agrega creado_en.</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Registro de la fecha de creación de la cuenta, usado en los reportes de administración.</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solicitud_presupuesto, cotizacion, orden_compra, orden_trabajo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creada_en pasa a creado_en y se agrega modificado_en.</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entidades heredan de la clase abstracta TimeStampedModel, que estandariza ambas marcas de tiempo.</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Tablas de historial (4)</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referencias pasan a estado_anterior_id, estado_nuevo_id y usuario_id, y se agregan creado_en y modificado_en.</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cuatro tablas heredan de una misma clase abstracta (HistorialEstadoModel); Django nombra las columnas heredadas con el sufijo _id.</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tarea_estandar_modelo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agrega id_empleado_sugerido (FK a empleado, opcional).</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Permite definir quién ejecuta habitualmente cada tarea del modelo; al generar la orden de trabajo se propone como asignado.</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Restricciones de verificación</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implementan como restricciones CHECK con nombre: cantidades y horas positivas, montos no negativos y descuento entre 0 y 100.</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Lo previsto en la sección de integridad de la versión 1.0 queda verificado por el motor.</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Unicidad compuesta</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agregan restricciones sobre comuna (región, nombre), valor_parametro, tarea_ot, punto_control, protocolo_calidad y las tablas versionadas (entidad, vigente_desde).</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Evitan duplicados lógicos que la versión 1.0 no había declarado.</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Versionamiento por vigencia</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exclusión de solapamiento prevista en el motor se implementa en la capa de servicio: al registrar un precio o tarifa nueva, el registro vigente se cierra automáticamente el día anterior.</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Garantiza un único registro vigente sin depender de extensiones de PostgreSQL, y es verificable mediante pruebas automatizadas.</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control_calidad (v2.1)</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agregan id_aprobado_por (FK a usuario) y aprobado_en, y el estado admite el valor aprobado.</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inspector aprueba explícitamente el control; recién entonces la orden de trabajo pasa al estado «Liberada por calidad» y puede cerrarse (RN-12).</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parametro_tecnico (v2.1)</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agregan valor_minimo, valor_maximo y fija_el_modelo.</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Corrigen los hallazgos H-01 del EVI-01: el formulario de solicitud valida el rango de cada parámetro numérico y que la potencia coincida con la del modelo de referencia.</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Campos de texto opcionales</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almacenan como NOT NULL con cadena vacía por defecto, en lugar de admitir nulo.</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Convención recomendada por Django: evita tener dos representaciones distintas del valor vacío.</w:t>
            </w:r>
          </w:p>
        </w:tc>
      </w:tr>
    </w:tbl>
    <w:p>
      <w:pPr>
        <w:spacing w:after="60"/>
      </w:pPr>
    </w:p>
    <w:p>
      <w:pPr>
        <w:spacing w:after="160" w:before="80"/>
      </w:pPr>
      <w:r>
        <w:rPr>
          <w:i/>
          <w:iCs/>
          <w:color w:val="44546A"/>
          <w:sz w:val="19"/>
          <w:szCs w:val="19"/>
        </w:rPr>
        <w:t xml:space="preserve">Los diagramas de la versión 1.0 se conservan en el repositorio como registro histórico del diseño de la Fase 1.</w:t>
      </w:r>
    </w:p>
    <w:p>
      <w:pPr>
        <w:pStyle w:val="Heading1"/>
        <w:pageBreakBefore/>
      </w:pPr>
      <w:r>
        <w:t xml:space="preserve">3. Convenciones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Convención</w:t>
            </w:r>
          </w:p>
        </w:tc>
        <w:tc>
          <w:tcPr>
            <w:tcW w:type="dxa" w:w="6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Regla adoptada</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Nomenclatura de tablas</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Sustantivo en singular, minúsculas, palabras separadas por guion bajo. Se fija explícitamente con db_table en cada modelo Django.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Clave primaria</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Sustituta, de tipo serial o bigserial, nombrada id_ seguido del nombre de la tabla. En las tablas de relación, id.</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Clave foránea</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Nombrada id_ seguido del nombre de la tabla referenciada, fijada con db_column. En las tablas de historial, las columnas heredadas usan el sufijo _id.</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Tablas de relación</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Clave sustituta más restricción de unicidad sobre las dos claves foráneas.</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Marcas de tiempo</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Tipo timestamp con zona horaria (timestamptz), almacenadas en UTC y presentadas en horario de Chile.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Montos</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Almacenados en Unidades de Fomento con tipo numeric. Los montos en pesos se almacenan sólo cuando el valor queda congelado en un documento.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Eliminación</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 se emplea eliminación física en entidades de negocio. Se utiliza el atributo activo (clase ActivableModel) o el estado correspondiente.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Texto opcional</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Columna NOT NULL con cadena vacía por defecto. En el diccionario se indica como «Opcional».</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Valores enumerados</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Columnas varchar cuyos valores admitidos se declaran como enumeraciones (TextChoices) en el modelo y se validan en la aplicación.</w:t>
            </w:r>
          </w:p>
        </w:tc>
      </w:tr>
    </w:tbl>
    <w:p>
      <w:pPr>
        <w:spacing w:after="60"/>
      </w:pPr>
    </w:p>
    <w:p>
      <w:pPr>
        <w:spacing w:after="160" w:before="80"/>
      </w:pPr>
      <w:r>
        <w:rPr>
          <w:i/>
          <w:iCs/>
          <w:color w:val="44546A"/>
          <w:sz w:val="19"/>
          <w:szCs w:val="19"/>
        </w:rPr>
        <w:t xml:space="preserve">Simbología del diccionario: PK clave primaria; FK clave foránea; UQ unicidad; NN valor obligatorio; «Opcional» texto que admite vacío; y el guion indica que la columna admite nulo. En los diagramas entidad-relación el asterisco marca las columnas obligatorias y las entidades en gris pertenecen a otro dominio.</w:t>
      </w:r>
    </w:p>
    <w:p>
      <w:pPr>
        <w:pStyle w:val="Heading1"/>
        <w:pageBreakBefore/>
      </w:pPr>
      <w:r>
        <w:t xml:space="preserve">4. Vista general por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900"/>
        <w:gridCol w:w="900"/>
        <w:gridCol w:w="3060"/>
      </w:tblGrid>
      <w:tr>
        <w:trPr>
          <w:tblHeader/>
        </w:trPr>
        <w:tc>
          <w:tcPr>
            <w:tcW w:type="dxa" w:w="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N°</w:t>
            </w:r>
          </w:p>
        </w:tc>
        <w:tc>
          <w:tcPr>
            <w:tcW w:type="dxa" w:w="2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Dominio</w:t>
            </w:r>
          </w:p>
        </w:tc>
        <w:tc>
          <w:tcPr>
            <w:tcW w:type="dxa" w:w="1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Aplicación Django</w:t>
            </w:r>
          </w:p>
        </w:tc>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Tablas</w:t>
            </w:r>
          </w:p>
        </w:tc>
        <w:tc>
          <w:tcPr>
            <w:tcW w:type="dxa" w:w="30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Requerimientos</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Seguridad y auditoría</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apps.seguridad</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6</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RF-SEG-01 a 10, RF-ADM-03, RF-ADM-07</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Clientes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apps.clientes</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RF-CLI-01 a 07</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3</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Catálogo de productos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apps.catalogo</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8</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RF-CAT-01 a 09</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4</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Proceso comercial</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apps.comercial</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RF-COM-01 a 17</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Ejecución productiva</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apps.produccion</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RF-OT-01 a 11</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6</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Inventario</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apps.inventario</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6</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RF-INV-01 a 08</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Control de calidad</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apps.calidad</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RF-CAL-01 a 05</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8</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Pagos y moneda</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apps.pagos</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3</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RF-PAG-01 a 06</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9</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Configuración, canal web e integraciones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apps.configuracion</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4</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RF-ADM-01 a 07, RF-INT-01 a 03</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Total</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54</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
            </w:r>
          </w:p>
        </w:tc>
      </w:tr>
    </w:tbl>
    <w:p>
      <w:pPr>
        <w:spacing w:after="60"/>
      </w:pPr>
    </w:p>
    <w:p>
      <w:pPr>
        <w:spacing w:after="120"/>
        <w:jc w:val="both"/>
      </w:pPr>
      <w:r>
        <w:t xml:space="preserve">Cada dominio corresponde a una aplicación Django independiente dentro del proyecto, lo que permite que el modelo, la API, las pruebas y las migraciones de cada área evolucionen por separado. La aplicación apps.common no genera tablas: concentra las clases abstractas compartidas que se describen en la sección 7.</w:t>
      </w:r>
    </w:p>
    <w:p>
      <w:pPr>
        <w:pStyle w:val="Heading1"/>
        <w:pageBreakBefore/>
      </w:pPr>
      <w:r>
        <w:t xml:space="preserve">5. Decisiones de diseño</w:t>
      </w:r>
    </w:p>
    <w:p>
      <w:pPr>
        <w:pStyle w:val="Heading2"/>
      </w:pPr>
      <w:r>
        <w:t xml:space="preserve">5.1 Historial de estados mediante tabla por documento</w:t>
      </w:r>
    </w:p>
    <w:p>
      <w:pPr>
        <w:spacing w:after="120"/>
        <w:jc w:val="both"/>
      </w:pPr>
      <w:r>
        <w:t xml:space="preserve">El sistema debe registrar el historial completo de estados de cada documento, conforme a la regla RN-14. Se evaluaron dos alternativas: una única tabla de historial con un indicador del tipo de documento y un identificador genérico, o una tabla por documento.</w:t>
      </w:r>
    </w:p>
    <w:p>
      <w:pPr>
        <w:spacing w:after="120"/>
        <w:jc w:val="both"/>
      </w:pPr>
      <w:r>
        <w:t xml:space="preserve">La primera reduce el número de tablas, pero impide declarar una clave foránea real, dado que el campo apuntaría a tablas distintas según el tipo; la integridad quedaría entregada a la aplicación. Se adoptó la segunda: una tabla de historial por solicitud, cotización, orden de compra y orden de trabajo, cada una con su clave foránea verificada por el motor.</w:t>
      </w:r>
    </w:p>
    <w:p>
      <w:pPr>
        <w:spacing w:after="120"/>
        <w:jc w:val="both"/>
      </w:pPr>
      <w:r>
        <w:t xml:space="preserve">En la implementación, las cuatro tablas heredan de la clase abstracta HistorialEstadoModel, de modo que la estructura se define una sola vez en el código y las cuatro tablas permanecen idénticas. Todas comparten el catálogo estado_documento, que parametriza veintidós estados sin modificar el esquema (en la versión 2.1 se agregó «Liberada por calidad» a la orden de trabajo).</w:t>
      </w:r>
    </w:p>
    <w:p>
      <w:pPr>
        <w:pStyle w:val="Heading2"/>
      </w:pPr>
      <w:r>
        <w:t xml:space="preserve">5.2 Versionamiento de precios y tarifas</w:t>
      </w:r>
    </w:p>
    <w:p>
      <w:pPr>
        <w:spacing w:after="120"/>
        <w:jc w:val="both"/>
      </w:pPr>
      <w:r>
        <w:t xml:space="preserve">La regla RN-17 exige que los precios de materiales, los precios base de producto y las tarifas de horas hombre se versionen por período de vigencia y no se sobrescriban. Si el precio fuese un atributo de la entidad, cualquier actualización alteraría retroactivamente el costeo de las órdenes de trabajo históricas e invalidaría la comparación entre costo estimado y real exigida por RN-11.</w:t>
      </w:r>
    </w:p>
    <w:p>
      <w:pPr>
        <w:spacing w:after="120"/>
        <w:jc w:val="both"/>
      </w:pPr>
      <w:r>
        <w:t xml:space="preserve">Por esta razón, precio_base_modelo, precio_material y tarifa_hora_hombre son tablas independientes con vigente_desde y vigente_hasta. La capa de servicio cierra automáticamente el registro vigente al ingresar uno nuevo, y la consulta del valor aplicable se realiza siempre por fecha.</w:t>
      </w:r>
    </w:p>
    <w:p>
      <w:pPr>
        <w:pStyle w:val="Heading2"/>
      </w:pPr>
      <w:r>
        <w:t xml:space="preserve">5.3 Especificación técnica normalizada</w:t>
      </w:r>
    </w:p>
    <w:p>
      <w:pPr>
        <w:spacing w:after="120"/>
        <w:jc w:val="both"/>
      </w:pPr>
      <w:r>
        <w:t xml:space="preserve">Los parámetros técnicos de un transformador —potencia, tensiones, grupo de conexión, tipo de refrigeración— se registran en solicitud_especificacion, que relaciona la solicitud con cada parámetro y su valor, en lugar de columnas fijas. Así, agregar un parámetro es un registro nuevo en parametro_tecnico y no una migración de esquema, como exige RF-CAT-03.</w:t>
      </w:r>
    </w:p>
    <w:p>
      <w:pPr>
        <w:pStyle w:val="Heading2"/>
      </w:pPr>
      <w:r>
        <w:t xml:space="preserve">5.4 Stock calculado y no almacenado</w:t>
      </w:r>
    </w:p>
    <w:p>
      <w:pPr>
        <w:spacing w:after="120"/>
        <w:jc w:val="both"/>
      </w:pPr>
      <w:r>
        <w:t xml:space="preserve">El stock actual de un material no se almacena como atributo: se obtiene por agregación sobre movimiento_inventario mediante el método MovimientoInventario.stock_actual. Almacenar el saldo introduciría redundancia y la posibilidad de que saldo y movimientos discrepen. La consulta se apoya en el índice idx_mov_material_bodega.</w:t>
      </w:r>
    </w:p>
    <w:p>
      <w:pPr>
        <w:pStyle w:val="Heading2"/>
      </w:pPr>
      <w:r>
        <w:t xml:space="preserve">5.5 Trazabilidad entre consumo y movimiento de inventario</w:t>
      </w:r>
    </w:p>
    <w:p>
      <w:pPr>
        <w:spacing w:after="120"/>
        <w:jc w:val="both"/>
      </w:pPr>
      <w:r>
        <w:t xml:space="preserve">El consumo productivo se registra en consumo_material, asociado a una tarea conforme a RN-09, y genera además un registro en movimiento_inventario vinculado uno a uno. Así, el kardex exhibe el origen productivo de cada salida, y el costo de la orden de trabajo y el saldo de inventario provienen de un mismo hecho registrado una sola vez.</w:t>
      </w:r>
    </w:p>
    <w:p>
      <w:pPr>
        <w:pStyle w:val="Heading2"/>
      </w:pPr>
      <w:r>
        <w:t xml:space="preserve">5.6 Clases base abstractas</w:t>
      </w:r>
    </w:p>
    <w:p>
      <w:pPr>
        <w:spacing w:after="120"/>
        <w:jc w:val="both"/>
      </w:pPr>
      <w:r>
        <w:t xml:space="preserve">El comportamiento transversal se concentra en cuatro clases abstractas de la aplicación apps.common, que no generan tablas propias: TimeStampedModel (marcas de creación y modificación), ActivableModel (desactivación en lugar de borrado, RN-13), VigenciaModel (versionamiento por período, RN-17) y HistorialEstadoModel (historial de estados, RN-14). Esta decisión elimina la repetición de columnas y garantiza que las reglas se apliquen de forma idéntica en todas las tablas que las heredan.</w:t>
      </w:r>
    </w:p>
    <w:p>
      <w:pPr>
        <w:pStyle w:val="Heading1"/>
        <w:pageBreakBefore/>
      </w:pPr>
      <w:r>
        <w:t xml:space="preserve">6. Diagramas y diccionario de datos</w:t>
      </w:r>
    </w:p>
    <w:p>
      <w:pPr>
        <w:spacing w:after="120"/>
        <w:jc w:val="both"/>
      </w:pPr>
      <w:r>
        <w:t xml:space="preserve">Por legibilidad, los diagramas omiten las relaciones de las tablas de historial hacia estado_documento y, fuera de los dominios 1 y 9, las relaciones hacia usuario que sólo registran al responsable de una operación. Todas ellas constan en el diccionario de cada tabla.</w:t>
      </w:r>
    </w:p>
    <w:p>
      <w:pPr>
        <w:pStyle w:val="Heading2"/>
      </w:pPr>
      <w:r>
        <w:t xml:space="preserve">6.1 Dominio 1 — Seguridad y auditoría</w:t>
      </w:r>
    </w:p>
    <w:p>
      <w:pPr>
        <w:keepNext/>
        <w:spacing w:before="120"/>
        <w:jc w:val="center"/>
      </w:pPr>
      <w:r>
        <w:drawing>
          <wp:inline distT="0" distB="0" distL="0" distR="0">
            <wp:extent cx="5724525" cy="5848350"/>
            <wp:effectExtent t="0" r="0" b="0" l="0"/>
            <wp:docPr id="1" name="Figura 1. Modelo entidad-relación del dominio de seguridad y auditoría." descr="Figura 1. Modelo entidad-relación del dominio de seguridad y auditoría." title="Figura 1. Modelo entidad-relación del dominio de seguridad y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5848350"/>
                    </a:xfrm>
                    <a:prstGeom prst="rect">
                      <a:avLst/>
                    </a:prstGeom>
                  </pic:spPr>
                </pic:pic>
              </a:graphicData>
            </a:graphic>
          </wp:inline>
        </w:drawing>
      </w:r>
    </w:p>
    <w:p>
      <w:pPr>
        <w:spacing w:after="200"/>
        <w:jc w:val="center"/>
      </w:pPr>
      <w:r>
        <w:rPr>
          <w:i/>
          <w:iCs/>
          <w:color w:val="44546A"/>
          <w:sz w:val="18"/>
          <w:szCs w:val="18"/>
        </w:rPr>
        <w:t xml:space="preserve">Figura 1. Modelo entidad-relación del dominio de seguridad y auditoría.</w:t>
      </w:r>
    </w:p>
    <w:p>
      <w:pPr>
        <w:pStyle w:val="Heading3"/>
        <w:keepNext/>
      </w:pPr>
      <w:r>
        <w:t xml:space="preserve">rol</w:t>
      </w:r>
    </w:p>
    <w:p>
      <w:pPr>
        <w:spacing w:after="120"/>
        <w:jc w:val="both"/>
      </w:pPr>
      <w:r>
        <w:t xml:space="preserve">Perfil de acceso al que se asocian permisos. Un usuario puede tener uno o más roles. El sistema opera con seis roles cargados desde 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id_rol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rol puede asignarse.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del rol, por ejemplo Administrador o Ejecutivo Comercial.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Descripción de las responsabilidades del rol.</w:t>
            </w:r>
          </w:p>
        </w:tc>
      </w:tr>
    </w:tbl>
    <w:p>
      <w:pPr>
        <w:spacing w:after="60"/>
      </w:pPr>
    </w:p>
    <w:p>
      <w:pPr>
        <w:pStyle w:val="Heading3"/>
        <w:keepNext/>
      </w:pPr>
      <w:r>
        <w:t xml:space="preserve">permiso</w:t>
      </w:r>
    </w:p>
    <w:p>
      <w:pPr>
        <w:spacing w:after="120"/>
        <w:jc w:val="both"/>
      </w:pPr>
      <w:r>
        <w:t xml:space="preserve">Operación atómica sobre un módulo del sistema. Constituye la unidad mínima de autorización.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id_permiso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permiso.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del permiso, por ejemplo cotizacion.aprobar.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modulo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Módulo funcional al que pertenece.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Operación autorizada: crear, leer, actualizar o anular.</w:t>
            </w:r>
          </w:p>
        </w:tc>
      </w:tr>
    </w:tbl>
    <w:p>
      <w:pPr>
        <w:spacing w:after="60"/>
      </w:pPr>
    </w:p>
    <w:p>
      <w:pPr>
        <w:pStyle w:val="Heading3"/>
        <w:keepNext/>
      </w:pPr>
      <w:r>
        <w:t xml:space="preserve">rol_permiso</w:t>
      </w:r>
    </w:p>
    <w:p>
      <w:pPr>
        <w:spacing w:after="120"/>
        <w:jc w:val="both"/>
      </w:pPr>
      <w:r>
        <w:t xml:space="preserve">Relación entre roles y permisos. Materializa la matriz de permisos exigida por RF-SEG-02, editable en tiempo de ejecución desde la aplicación de escritorio.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sustituto de la relación.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id_rol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al que se otorga el permiso. Referencia a 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id_permiso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Permiso otorgado. Referencia a permiso.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otorgado_en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en que se otorgó el permiso.</w:t>
            </w:r>
          </w:p>
        </w:tc>
      </w:tr>
    </w:tbl>
    <w:p>
      <w:pPr>
        <w:spacing w:after="60"/>
      </w:pPr>
    </w:p>
    <w:p>
      <w:pPr>
        <w:spacing w:after="160" w:before="80"/>
      </w:pPr>
      <w:r>
        <w:rPr>
          <w:i/>
          <w:iCs/>
          <w:color w:val="44546A"/>
          <w:sz w:val="19"/>
          <w:szCs w:val="19"/>
        </w:rPr>
        <w:t xml:space="preserve">Restricciones de tabla: UNIQUE (rol, permiso).</w:t>
      </w:r>
    </w:p>
    <w:p>
      <w:pPr>
        <w:pStyle w:val="Heading3"/>
        <w:keepNext/>
      </w:pPr>
      <w:r>
        <w:t xml:space="preserve">usuario</w:t>
      </w:r>
    </w:p>
    <w:p>
      <w:pPr>
        <w:spacing w:after="120"/>
        <w:jc w:val="both"/>
      </w:pPr>
      <w:r>
        <w:t xml:space="preserve">Credencial de acceso al sistema. Corresponde a un funcionario interno o a la cuenta web de un cliente. Es el modelo de usuario personalizado de Django (AUTH_USER_MODEL).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asociado, cuando se trata de una cuenta web. Nulo en usuarios internos.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password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varchar(128)</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Contraseña almacenada con hash PBKDF2 y sal, conforme a RNF-01.</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last_login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Último inicio de sesión registrado por el marco de autenticación.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username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acceso.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email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 electrónico de contacto y recuperación de contraseña.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es_interno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Distingue al usuario interno del cliente web.</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de la cuenta: activo, suspendido o bloqueado. Soporta RF-ADM-03.</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intentos_fallidos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Contador de intentos fallidos consecutivos, conforme a RF-SEG-04.</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ultimo_acceso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y hora del último acceso exitoso.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bloqueado_hasta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Término del bloqueo temporal aplicado tras cinco intentos fallidos. Nulo si la cuenta no está bloqueada.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is_staff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Habilita el acceso al panel de administración técnica de Django.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is_superuser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Otorga todos los permisos del marco de autenticación.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is_active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la cuenta puede autenticarse.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 la cuenta.</w:t>
            </w:r>
          </w:p>
        </w:tc>
      </w:tr>
    </w:tbl>
    <w:p>
      <w:pPr>
        <w:spacing w:after="60"/>
      </w:pPr>
    </w:p>
    <w:p>
      <w:pPr>
        <w:spacing w:after="160" w:before="80"/>
      </w:pPr>
      <w:r>
        <w:rPr>
          <w:i/>
          <w:iCs/>
          <w:color w:val="44546A"/>
          <w:sz w:val="19"/>
          <w:szCs w:val="19"/>
        </w:rPr>
        <w:t xml:space="preserve">La cuenta web del cliente se modela como usuario y no como tabla separada, de modo que la autenticación, el bloqueo y la auditoría operen de manera uniforme para ambos tipos de acceso. Las columnas password, last_login, is_staff, is_superuser e is_active provienen de la clase base de autenticación de Django.</w:t>
      </w:r>
    </w:p>
    <w:p>
      <w:pPr>
        <w:pStyle w:val="Heading3"/>
        <w:keepNext/>
      </w:pPr>
      <w:r>
        <w:t xml:space="preserve">usuario_rol</w:t>
      </w:r>
    </w:p>
    <w:p>
      <w:pPr>
        <w:spacing w:after="120"/>
        <w:jc w:val="both"/>
      </w:pPr>
      <w:r>
        <w:t xml:space="preserve">Relación entre usuarios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sustituto de la relación.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al que se asigna el rol.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id_rol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asignado. Referencia a 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asignado_en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asignación.</w:t>
            </w:r>
          </w:p>
        </w:tc>
      </w:tr>
    </w:tbl>
    <w:p>
      <w:pPr>
        <w:spacing w:after="60"/>
      </w:pPr>
    </w:p>
    <w:p>
      <w:pPr>
        <w:spacing w:after="160" w:before="80"/>
      </w:pPr>
      <w:r>
        <w:rPr>
          <w:i/>
          <w:iCs/>
          <w:color w:val="44546A"/>
          <w:sz w:val="19"/>
          <w:szCs w:val="19"/>
        </w:rPr>
        <w:t xml:space="preserve">Restricciones de tabla: UNIQUE (usuario, rol).</w:t>
      </w:r>
    </w:p>
    <w:p>
      <w:pPr>
        <w:pStyle w:val="Heading3"/>
        <w:keepNext/>
      </w:pPr>
      <w:r>
        <w:t xml:space="preserve">auditoria</w:t>
      </w:r>
    </w:p>
    <w:p>
      <w:pPr>
        <w:spacing w:after="120"/>
        <w:jc w:val="both"/>
      </w:pPr>
      <w:r>
        <w:t xml:space="preserve">Bitácora de operaciones sobre entidades sensibles, incluidos los accesos denegados. Da cumplimiento a RF-SEG-08 y RF-ADM-07.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id_auditoria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 de auditoría.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ejecutó la operación.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tabla afectada.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id_registro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 afectado.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 de operación: creación, modificación, anulación o acceso denegado.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valor_anterior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jsonb</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del registro antes de la operación.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valor_nuevo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jsonb</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del registro después de la operación.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operación.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origen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que originó la operación: escritorio, web o sistema.</w:t>
            </w:r>
          </w:p>
        </w:tc>
      </w:tr>
    </w:tbl>
    <w:p>
      <w:pPr>
        <w:spacing w:after="60"/>
      </w:pPr>
    </w:p>
    <w:p>
      <w:pPr>
        <w:pStyle w:val="Heading2"/>
      </w:pPr>
      <w:r>
        <w:t xml:space="preserve">6.2 Dominio 2 — Clientes</w:t>
      </w:r>
    </w:p>
    <w:p>
      <w:pPr>
        <w:keepNext/>
        <w:spacing w:before="120"/>
        <w:jc w:val="center"/>
      </w:pPr>
      <w:r>
        <w:drawing>
          <wp:inline distT="0" distB="0" distL="0" distR="0">
            <wp:extent cx="3733800" cy="5410200"/>
            <wp:effectExtent t="0" r="0" b="0" l="0"/>
            <wp:docPr id="1" name="Figura 2. Modelo entidad-relación del dominio de clientes." descr="Figura 2. Modelo entidad-relación del dominio de clientes." title="Figura 2. Modelo entidad-relación del dominio d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33800" cy="5410200"/>
                    </a:xfrm>
                    <a:prstGeom prst="rect">
                      <a:avLst/>
                    </a:prstGeom>
                  </pic:spPr>
                </pic:pic>
              </a:graphicData>
            </a:graphic>
          </wp:inline>
        </w:drawing>
      </w:r>
    </w:p>
    <w:p>
      <w:pPr>
        <w:spacing w:after="200"/>
        <w:jc w:val="center"/>
      </w:pPr>
      <w:r>
        <w:rPr>
          <w:i/>
          <w:iCs/>
          <w:color w:val="44546A"/>
          <w:sz w:val="18"/>
          <w:szCs w:val="18"/>
        </w:rPr>
        <w:t xml:space="preserve">Figura 2. Modelo entidad-relación del dominio de clientes.</w:t>
      </w:r>
    </w:p>
    <w:p>
      <w:pPr>
        <w:pStyle w:val="Heading3"/>
        <w:keepNext/>
      </w:pPr>
      <w:r>
        <w:t xml:space="preserve">region</w:t>
      </w:r>
    </w:p>
    <w:p>
      <w:pPr>
        <w:spacing w:after="120"/>
        <w:jc w:val="both"/>
      </w:pPr>
      <w:r>
        <w:t xml:space="preserve">División administrativa mayor del territorio nacional. Tabla de catálogo semilla.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id_region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región.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oficial de la región.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oficial de la región.</w:t>
            </w:r>
          </w:p>
        </w:tc>
      </w:tr>
    </w:tbl>
    <w:p>
      <w:pPr>
        <w:spacing w:after="60"/>
      </w:pPr>
    </w:p>
    <w:p>
      <w:pPr>
        <w:pStyle w:val="Heading3"/>
        <w:keepNext/>
      </w:pPr>
      <w:r>
        <w:t xml:space="preserve">comuna</w:t>
      </w:r>
    </w:p>
    <w:p>
      <w:pPr>
        <w:spacing w:after="120"/>
        <w:jc w:val="both"/>
      </w:pPr>
      <w:r>
        <w:t xml:space="preserve">División administrativa menor, dependiente de una región. Tabla de catálogo semilla.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id_comuna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comuna.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id_region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Región a la que pertenece. Referencia a region.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comuna. Único dentro de la región.</w:t>
            </w:r>
          </w:p>
        </w:tc>
      </w:tr>
    </w:tbl>
    <w:p>
      <w:pPr>
        <w:spacing w:after="60"/>
      </w:pPr>
    </w:p>
    <w:p>
      <w:pPr>
        <w:spacing w:after="160" w:before="80"/>
      </w:pPr>
      <w:r>
        <w:rPr>
          <w:i/>
          <w:iCs/>
          <w:color w:val="44546A"/>
          <w:sz w:val="19"/>
          <w:szCs w:val="19"/>
        </w:rPr>
        <w:t xml:space="preserve">Restricciones de tabla: UNIQUE (region, nombre).</w:t>
      </w:r>
    </w:p>
    <w:p>
      <w:pPr>
        <w:spacing w:after="160" w:before="80"/>
      </w:pPr>
      <w:r>
        <w:rPr>
          <w:i/>
          <w:iCs/>
          <w:color w:val="44546A"/>
          <w:sz w:val="19"/>
          <w:szCs w:val="19"/>
        </w:rPr>
        <w:t xml:space="preserve">La separación entre región y comuna evita la dependencia transitiva que se produciría si el nombre de la región fuese atributo de la dirección, y da cumplimiento a la tercera forma normal.</w:t>
      </w:r>
    </w:p>
    <w:p>
      <w:pPr>
        <w:pStyle w:val="Heading3"/>
        <w:keepNext/>
      </w:pPr>
      <w:r>
        <w:t xml:space="preserve">cliente</w:t>
      </w:r>
    </w:p>
    <w:p>
      <w:pPr>
        <w:spacing w:after="120"/>
        <w:jc w:val="both"/>
      </w:pPr>
      <w:r>
        <w:t xml:space="preserve">Persona natural o jurídica que solicita cotizaciones y adquiere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único tributario, validado conforme a RF-CLI-02.</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razon_social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Razón social o nombre completo.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nombre_fantasia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comercial, cuando corresponde.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tipo_persona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Natural o jurídica.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giro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Actividad económica declarada.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 o inactivo.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incorporación del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pStyle w:val="Heading3"/>
        <w:keepNext/>
      </w:pPr>
      <w:r>
        <w:t xml:space="preserve">contacto_cliente</w:t>
      </w:r>
    </w:p>
    <w:p>
      <w:pPr>
        <w:spacing w:after="120"/>
        <w:jc w:val="both"/>
      </w:pPr>
      <w:r>
        <w:t xml:space="preserve">Persona de contacto asociada a un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id_contacto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contacto.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al que pertenece.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del contacto.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cargo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Cargo que desempeña.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email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 electrónico.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telefono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de contacto.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principal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es el contacto principal del cliente.</w:t>
            </w:r>
          </w:p>
        </w:tc>
      </w:tr>
    </w:tbl>
    <w:p>
      <w:pPr>
        <w:spacing w:after="60"/>
      </w:pPr>
    </w:p>
    <w:p>
      <w:pPr>
        <w:pStyle w:val="Heading3"/>
        <w:keepNext/>
      </w:pPr>
      <w:r>
        <w:t xml:space="preserve">direccion_cliente</w:t>
      </w:r>
    </w:p>
    <w:p>
      <w:pPr>
        <w:spacing w:after="120"/>
        <w:jc w:val="both"/>
      </w:pPr>
      <w:r>
        <w:t xml:space="preserve">Dirección asociada a un cliente, tipificada según su uso y geocodificada por el servicio externo.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id_direccion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dirección.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al que pertenece.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id_comuna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Comuna en que se ubica. Referencia a comuna.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Facturación, despacho o instalación.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calle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vía.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latitud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numeric(9,6)</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Coordenada obtenida por geocodificación.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longitud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numeric(9,6)</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Coordenada obtenida por geocodificación.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validada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la dirección fue validada por el servicio de geocodificación.</w:t>
            </w:r>
          </w:p>
        </w:tc>
      </w:tr>
    </w:tbl>
    <w:p>
      <w:pPr>
        <w:spacing w:after="60"/>
      </w:pPr>
    </w:p>
    <w:p>
      <w:pPr>
        <w:spacing w:after="160" w:before="80"/>
      </w:pPr>
      <w:r>
        <w:rPr>
          <w:i/>
          <w:iCs/>
          <w:color w:val="44546A"/>
          <w:sz w:val="19"/>
          <w:szCs w:val="19"/>
        </w:rPr>
        <w:t xml:space="preserve">El atributo validada permite registrar direcciones cuando el servicio de geocodificación no se encuentra disponible, conforme al flujo alternativo A6 del caso CU-COM-01.</w:t>
      </w:r>
    </w:p>
    <w:p>
      <w:pPr>
        <w:pStyle w:val="Heading2"/>
      </w:pPr>
      <w:r>
        <w:t xml:space="preserve">6.3 Dominio 3 — Catálogo de productos</w:t>
      </w:r>
    </w:p>
    <w:p>
      <w:pPr>
        <w:keepNext/>
        <w:spacing w:before="120"/>
        <w:jc w:val="center"/>
      </w:pPr>
      <w:r>
        <w:drawing>
          <wp:inline distT="0" distB="0" distL="0" distR="0">
            <wp:extent cx="5943600" cy="3124200"/>
            <wp:effectExtent t="0" r="0" b="0" l="0"/>
            <wp:docPr id="1" name="Figura 3. Modelo entidad-relación del dominio de catálogo de productos." descr="Figura 3. Modelo entidad-relación del dominio de catálogo de productos." title="Figura 3. Modelo entidad-relación del dominio de catálogo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124200"/>
                    </a:xfrm>
                    <a:prstGeom prst="rect">
                      <a:avLst/>
                    </a:prstGeom>
                  </pic:spPr>
                </pic:pic>
              </a:graphicData>
            </a:graphic>
          </wp:inline>
        </w:drawing>
      </w:r>
    </w:p>
    <w:p>
      <w:pPr>
        <w:spacing w:after="200"/>
        <w:jc w:val="center"/>
      </w:pPr>
      <w:r>
        <w:rPr>
          <w:i/>
          <w:iCs/>
          <w:color w:val="44546A"/>
          <w:sz w:val="18"/>
          <w:szCs w:val="18"/>
        </w:rPr>
        <w:t xml:space="preserve">Figura 3. Modelo entidad-relación del dominio de catálogo de productos.</w:t>
      </w:r>
    </w:p>
    <w:p>
      <w:pPr>
        <w:pStyle w:val="Heading3"/>
        <w:keepNext/>
      </w:pPr>
      <w:r>
        <w:t xml:space="preserve">familia_producto</w:t>
      </w:r>
    </w:p>
    <w:p>
      <w:pPr>
        <w:spacing w:after="120"/>
        <w:jc w:val="both"/>
      </w:pPr>
      <w:r>
        <w:t xml:space="preserve">Agrupación de modelos de transformador por características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id_familia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familia.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la familia se encuentra vigente.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familia.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Descripción de la familia.</w:t>
            </w:r>
          </w:p>
        </w:tc>
      </w:tr>
    </w:tbl>
    <w:p>
      <w:pPr>
        <w:spacing w:after="60"/>
      </w:pPr>
    </w:p>
    <w:p>
      <w:pPr>
        <w:pStyle w:val="Heading3"/>
        <w:keepNext/>
      </w:pPr>
      <w:r>
        <w:t xml:space="preserve">modelo_producto</w:t>
      </w:r>
    </w:p>
    <w:p>
      <w:pPr>
        <w:spacing w:after="120"/>
        <w:jc w:val="both"/>
      </w:pPr>
      <w:r>
        <w:t xml:space="preserve">Modelo base parametrizable de transformador. No representa existencias, sino una configuración de fabricación.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modelo.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id_familia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Familia a la que pertenece. Referencia a familia_producto.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modelo puede cotizarse.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interno del modelo.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Denominación comercial.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text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Descripción técnica extendida.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publicado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Determina la visibilidad en el catálogo web. Soporta RF-ADM-06.</w:t>
            </w:r>
          </w:p>
        </w:tc>
      </w:tr>
    </w:tbl>
    <w:p>
      <w:pPr>
        <w:spacing w:after="60"/>
      </w:pPr>
    </w:p>
    <w:p>
      <w:pPr>
        <w:pStyle w:val="Heading3"/>
        <w:keepNext/>
      </w:pPr>
      <w:r>
        <w:t xml:space="preserve">parametro_tecnico</w:t>
      </w:r>
    </w:p>
    <w:p>
      <w:pPr>
        <w:spacing w:after="120"/>
        <w:jc w:val="both"/>
      </w:pPr>
      <w:r>
        <w:t xml:space="preserve">Característica técnica configurable de un transformador, administrable por 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id_parametro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parámetro.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del parámetro, por ejemplo potencia_kva.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visible del parámetro.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 de medida, por ejemplo kVA o kV.</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tipo_dato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Numérico, texto o lista de valores.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obligatorio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Obligatoriedad por defecto en el formulario. Soporta RF-ADM-04.</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valor_minimo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numeric(12,3)</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Límite inferior aceptado en la solicitud, sólo para parámetros numéricos. Nulo: sin límite.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valor_maximo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numeric(12,3)</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Límite superior aceptado en la solicitud, sólo para parámetros numéricos. Nulo: sin límite.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fija_el_modelo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la solicitud indica un modelo, el valor declarado debe coincidir con el del modelo (por ejemplo, la potencia).</w:t>
            </w:r>
          </w:p>
        </w:tc>
      </w:tr>
    </w:tbl>
    <w:p>
      <w:pPr>
        <w:spacing w:after="60"/>
      </w:pPr>
    </w:p>
    <w:p>
      <w:pPr>
        <w:pStyle w:val="Heading3"/>
        <w:keepNext/>
      </w:pPr>
      <w:r>
        <w:t xml:space="preserve">valor_parametro</w:t>
      </w:r>
    </w:p>
    <w:p>
      <w:pPr>
        <w:spacing w:after="120"/>
        <w:jc w:val="both"/>
      </w:pPr>
      <w:r>
        <w:t xml:space="preserve">Valor admisible de un parámetro técnico de tipo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id_valor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valor.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id_parametro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 al que pertenece. Referencia a parametro_tecnico.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valor puede seleccionarse.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admisible, por ejemplo Dyn11.</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presentación.</w:t>
            </w:r>
          </w:p>
        </w:tc>
      </w:tr>
    </w:tbl>
    <w:p>
      <w:pPr>
        <w:spacing w:after="60"/>
      </w:pPr>
    </w:p>
    <w:p>
      <w:pPr>
        <w:spacing w:after="160" w:before="80"/>
      </w:pPr>
      <w:r>
        <w:rPr>
          <w:i/>
          <w:iCs/>
          <w:color w:val="44546A"/>
          <w:sz w:val="19"/>
          <w:szCs w:val="19"/>
        </w:rPr>
        <w:t xml:space="preserve">Restricciones de tabla: UNIQUE (parametro, valor).</w:t>
      </w:r>
    </w:p>
    <w:p>
      <w:pPr>
        <w:pStyle w:val="Heading3"/>
        <w:keepNext/>
      </w:pPr>
      <w:r>
        <w:t xml:space="preserve">modelo_parametro</w:t>
      </w:r>
    </w:p>
    <w:p>
      <w:pPr>
        <w:spacing w:after="120"/>
        <w:jc w:val="both"/>
      </w:pPr>
      <w:r>
        <w:t xml:space="preserve">Relación entre modelos y parámetros técnicos, con el valor por defecto de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sustituto de la relación.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al que aplica.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id_parametro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 aplicable. Referencia a parametro_tecnico.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valor_defecto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sugerido al cotizar el modelo.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obligatorio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Obligatoriedad específica para este modelo.</w:t>
            </w:r>
          </w:p>
        </w:tc>
      </w:tr>
    </w:tbl>
    <w:p>
      <w:pPr>
        <w:spacing w:after="60"/>
      </w:pPr>
    </w:p>
    <w:p>
      <w:pPr>
        <w:spacing w:after="160" w:before="80"/>
      </w:pPr>
      <w:r>
        <w:rPr>
          <w:i/>
          <w:iCs/>
          <w:color w:val="44546A"/>
          <w:sz w:val="19"/>
          <w:szCs w:val="19"/>
        </w:rPr>
        <w:t xml:space="preserve">Restricciones de tabla: UNIQUE (modelo, parametro).</w:t>
      </w:r>
    </w:p>
    <w:p>
      <w:pPr>
        <w:pStyle w:val="Heading3"/>
        <w:keepNext/>
      </w:pPr>
      <w:r>
        <w:t xml:space="preserve">precio_base_modelo</w:t>
      </w:r>
    </w:p>
    <w:p>
      <w:pPr>
        <w:spacing w:after="120"/>
        <w:jc w:val="both"/>
      </w:pPr>
      <w:r>
        <w:t xml:space="preserve">Precio base del modelo, versionado por período de vigencia conforme a RN-17.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id_precio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precio.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al que corresponde.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registró el precio.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vigente_desde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Inicio de vigencia.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vigente_hasta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Término de vigencia. Nulo indica vigencia actual.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 expresado en Unidades de Fomento.</w:t>
            </w:r>
          </w:p>
        </w:tc>
      </w:tr>
    </w:tbl>
    <w:p>
      <w:pPr>
        <w:spacing w:after="60"/>
      </w:pPr>
    </w:p>
    <w:p>
      <w:pPr>
        <w:spacing w:after="160" w:before="80"/>
      </w:pPr>
      <w:r>
        <w:rPr>
          <w:i/>
          <w:iCs/>
          <w:color w:val="44546A"/>
          <w:sz w:val="19"/>
          <w:szCs w:val="19"/>
        </w:rPr>
        <w:t xml:space="preserve">Restricciones de tabla: UNIQUE (modelo, vigente_desde); CHECK ck_precio_modelo_no_negativo.</w:t>
      </w:r>
    </w:p>
    <w:p>
      <w:pPr>
        <w:pStyle w:val="Heading3"/>
        <w:keepNext/>
      </w:pPr>
      <w:r>
        <w:t xml:space="preserve">bom_modelo</w:t>
      </w:r>
    </w:p>
    <w:p>
      <w:pPr>
        <w:spacing w:after="120"/>
        <w:jc w:val="both"/>
      </w:pPr>
      <w:r>
        <w:t xml:space="preserve">Lista de materiales base del modelo, con la cantidad estándar por unidad fabricada.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id_bom</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línea.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al que pertenece.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 requerido. Referencia a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 estándar por unidad.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Nota técnica sobre el uso del material.</w:t>
            </w:r>
          </w:p>
        </w:tc>
      </w:tr>
    </w:tbl>
    <w:p>
      <w:pPr>
        <w:spacing w:after="60"/>
      </w:pPr>
    </w:p>
    <w:p>
      <w:pPr>
        <w:spacing w:after="160" w:before="80"/>
      </w:pPr>
      <w:r>
        <w:rPr>
          <w:i/>
          <w:iCs/>
          <w:color w:val="44546A"/>
          <w:sz w:val="19"/>
          <w:szCs w:val="19"/>
        </w:rPr>
        <w:t xml:space="preserve">Restricciones de tabla: UNIQUE (modelo, material); CHECK ck_bom_cantidad_positiva.</w:t>
      </w:r>
    </w:p>
    <w:p>
      <w:pPr>
        <w:pStyle w:val="Heading3"/>
        <w:keepNext/>
      </w:pPr>
      <w:r>
        <w:t xml:space="preserve">tarea_estandar_modelo</w:t>
      </w:r>
    </w:p>
    <w:p>
      <w:pPr>
        <w:spacing w:after="120"/>
        <w:jc w:val="both"/>
      </w:pPr>
      <w:r>
        <w:t xml:space="preserve">Tarea productiva estándar del modelo, con sus horas hombre estimadas y el empleado que habitualmente la ejecuta.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id_tarea_estandar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tarea estándar.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al que pertenece.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id_empleado_sugerido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que habitualmente ejecuta la tarea; se propone como asignado al generar la orden de trabajo. Referencia a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tarea.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secuencia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ejecución. Único dentro del modelo.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horas_estimadas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numeric(8,2)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Horas hombre estimadas por unidad. Deben ser mayores que cero.</w:t>
            </w:r>
          </w:p>
        </w:tc>
      </w:tr>
    </w:tbl>
    <w:p>
      <w:pPr>
        <w:spacing w:after="60"/>
      </w:pPr>
    </w:p>
    <w:p>
      <w:pPr>
        <w:spacing w:after="160" w:before="80"/>
      </w:pPr>
      <w:r>
        <w:rPr>
          <w:i/>
          <w:iCs/>
          <w:color w:val="44546A"/>
          <w:sz w:val="19"/>
          <w:szCs w:val="19"/>
        </w:rPr>
        <w:t xml:space="preserve">Restricciones de tabla: UNIQUE (modelo, secuencia); CHECK ck_tarea_horas_positivas.</w:t>
      </w:r>
    </w:p>
    <w:p>
      <w:pPr>
        <w:spacing w:after="160" w:before="80"/>
      </w:pPr>
      <w:r>
        <w:rPr>
          <w:i/>
          <w:iCs/>
          <w:color w:val="44546A"/>
          <w:sz w:val="19"/>
          <w:szCs w:val="19"/>
        </w:rPr>
        <w:t xml:space="preserve">Las tablas bom_modelo y tarea_estandar_modelo son la fuente del cálculo automático de costo estimado exigido por RF-COM-04, y se copian a la orden de trabajo al generarla. El empleado sugerido se traspasa como asignación inicial de la tarea de la orden de trabajo.</w:t>
      </w:r>
    </w:p>
    <w:p>
      <w:pPr>
        <w:pStyle w:val="Heading2"/>
      </w:pPr>
      <w:r>
        <w:t xml:space="preserve">6.4 Dominio 4 — Proceso comercial</w:t>
      </w:r>
    </w:p>
    <w:p>
      <w:pPr>
        <w:keepNext/>
        <w:spacing w:before="120"/>
        <w:jc w:val="center"/>
      </w:pPr>
      <w:r>
        <w:drawing>
          <wp:inline distT="0" distB="0" distL="0" distR="0">
            <wp:extent cx="5943600" cy="7248525"/>
            <wp:effectExtent t="0" r="0" b="0" l="0"/>
            <wp:docPr id="1" name="Figura 4. Modelo entidad-relación del dominio de proceso comercial." descr="Figura 4. Modelo entidad-relación del dominio de proceso comercial." title="Figura 4. Modelo entidad-relación del dominio de proceso come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7248525"/>
                    </a:xfrm>
                    <a:prstGeom prst="rect">
                      <a:avLst/>
                    </a:prstGeom>
                  </pic:spPr>
                </pic:pic>
              </a:graphicData>
            </a:graphic>
          </wp:inline>
        </w:drawing>
      </w:r>
    </w:p>
    <w:p>
      <w:pPr>
        <w:spacing w:after="200"/>
        <w:jc w:val="center"/>
      </w:pPr>
      <w:r>
        <w:rPr>
          <w:i/>
          <w:iCs/>
          <w:color w:val="44546A"/>
          <w:sz w:val="18"/>
          <w:szCs w:val="18"/>
        </w:rPr>
        <w:t xml:space="preserve">Figura 4. Modelo entidad-relación del dominio de proceso comercial.</w:t>
      </w:r>
    </w:p>
    <w:p>
      <w:pPr>
        <w:pStyle w:val="Heading3"/>
        <w:keepNext/>
      </w:pPr>
      <w:r>
        <w:t xml:space="preserve">estado_documento</w:t>
      </w:r>
    </w:p>
    <w:p>
      <w:pPr>
        <w:spacing w:after="120"/>
        <w:jc w:val="both"/>
      </w:pPr>
      <w:r>
        <w:t xml:space="preserve">Catálogo de estados aplicables a cada tipo de documento del flujo. Parametriza las máquinas de estado; se puebla con 21 registros.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estado.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tipo_documento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Documento al que aplica: solicitud, cotización, orden de compra u orden de 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del estado. Único dentro del tipo de 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visible del estado.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es_final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estado cierra el ciclo del documento.</w:t>
            </w:r>
          </w:p>
        </w:tc>
      </w:tr>
    </w:tbl>
    <w:p>
      <w:pPr>
        <w:spacing w:after="60"/>
      </w:pPr>
    </w:p>
    <w:p>
      <w:pPr>
        <w:spacing w:after="160" w:before="80"/>
      </w:pPr>
      <w:r>
        <w:rPr>
          <w:i/>
          <w:iCs/>
          <w:color w:val="44546A"/>
          <w:sz w:val="19"/>
          <w:szCs w:val="19"/>
        </w:rPr>
        <w:t xml:space="preserve">Restricciones de tabla: UNIQUE (tipo_documento, codigo).</w:t>
      </w:r>
    </w:p>
    <w:p>
      <w:pPr>
        <w:pStyle w:val="Heading3"/>
        <w:keepNext/>
      </w:pPr>
      <w:r>
        <w:t xml:space="preserve">solicitud_presupuesto</w:t>
      </w:r>
    </w:p>
    <w:p>
      <w:pPr>
        <w:spacing w:after="120"/>
        <w:jc w:val="both"/>
      </w:pPr>
      <w:r>
        <w:t xml:space="preserve">Requerimiento de cotización originado por el cliente en la aplicación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id_solicitud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solicitud.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solicitante.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base seleccionado. Nulo si la solicitud no parte de un modelo.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id_direccion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Dirección de instalación. Referencia a direccion_cliente.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actual de la solicitud.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id_ejecutivo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comercial asignado.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correlativo visible.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Unidades requeridas.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fecha_deseada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entrega deseada por el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spacing w:after="160" w:before="80"/>
      </w:pPr>
      <w:r>
        <w:rPr>
          <w:i/>
          <w:iCs/>
          <w:color w:val="44546A"/>
          <w:sz w:val="19"/>
          <w:szCs w:val="19"/>
        </w:rPr>
        <w:t xml:space="preserve">Restricciones de tabla: CHECK ck_solicitud_cantidad_positiva.</w:t>
      </w:r>
    </w:p>
    <w:p>
      <w:pPr>
        <w:pStyle w:val="Heading3"/>
        <w:keepNext/>
      </w:pPr>
      <w:r>
        <w:t xml:space="preserve">solicitud_especificacion</w:t>
      </w:r>
    </w:p>
    <w:p>
      <w:pPr>
        <w:spacing w:after="120"/>
        <w:jc w:val="both"/>
      </w:pPr>
      <w:r>
        <w:t xml:space="preserve">Valor de cada parámetro técnico declarado por el cliente en la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sustituto de la relación.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id_solicitud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 a la que pertenece. Referencia a solicitud_presupuesto.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id_parametro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 técnico especificado. Referencia a parametro_tecnico.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declarado por el cliente.</w:t>
            </w:r>
          </w:p>
        </w:tc>
      </w:tr>
    </w:tbl>
    <w:p>
      <w:pPr>
        <w:spacing w:after="60"/>
      </w:pPr>
    </w:p>
    <w:p>
      <w:pPr>
        <w:spacing w:after="160" w:before="80"/>
      </w:pPr>
      <w:r>
        <w:rPr>
          <w:i/>
          <w:iCs/>
          <w:color w:val="44546A"/>
          <w:sz w:val="19"/>
          <w:szCs w:val="19"/>
        </w:rPr>
        <w:t xml:space="preserve">Restricciones de tabla: UNIQUE (solicitud, parametro).</w:t>
      </w:r>
    </w:p>
    <w:p>
      <w:pPr>
        <w:pStyle w:val="Heading3"/>
        <w:keepNext/>
      </w:pPr>
      <w:r>
        <w:t xml:space="preserve">solicitud_historial</w:t>
      </w:r>
    </w:p>
    <w:p>
      <w:pPr>
        <w:spacing w:after="120"/>
        <w:jc w:val="both"/>
      </w:pPr>
      <w:r>
        <w:t xml:space="preserve">Historial de cambios de estado de la solicitud de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id_historial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estado_anterior_id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previo. Nulo en el registro inicial.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estado_nuevo_id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resultante.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del cambio.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id_solicitud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 afectada. Referencia a solicitud_presupuesto.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cambio.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Comentario asociado al cambio, por ejemplo el motivo de rechazo o la justificación de desviación de costo.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spacing w:after="160" w:before="80"/>
      </w:pPr>
      <w:r>
        <w:rPr>
          <w:i/>
          <w:iCs/>
          <w:color w:val="44546A"/>
          <w:sz w:val="19"/>
          <w:szCs w:val="19"/>
        </w:rPr>
        <w:t xml:space="preserve">Las cuatro tablas de historial comparten una misma clase base abstracta en el código (HistorialEstadoModel), por lo que sus columnas son idénticas salvo la referencia al documento.</w:t>
      </w:r>
    </w:p>
    <w:p>
      <w:pPr>
        <w:pStyle w:val="Heading3"/>
        <w:keepNext/>
      </w:pPr>
      <w:r>
        <w:t xml:space="preserve">cotizacion</w:t>
      </w:r>
    </w:p>
    <w:p>
      <w:pPr>
        <w:spacing w:after="120"/>
        <w:jc w:val="both"/>
      </w:pPr>
      <w:r>
        <w:t xml:space="preserve">Oferta formal emitida al cliente, con vigencia limitada y valores congelados a la fecha de emisión.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id_cotizacion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cotización.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id_solicitud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 de origen. Referencia a solicitud_presupuesto.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destinatario.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actual.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id_ejecutivo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comercial responsable.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correlativo. Se mantiene entre versiones.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version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de versión, conforme a RF-COM-10.</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de la Unidad de Fomento congelado, conforme a RN-03.</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fecha_valor_uf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del valor de la Unidad de Fomento utilizado.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total_uf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 total en Unidades de Fomento.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descuento_pct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numeric(5,2)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Descuento aplicado, entre 0 y 100.</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plazo_dias_habiles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Plazo de fabricación ofertado.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fecha_entrega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comprometida, calculada en días hábiles.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vence_el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vencimiento de la oferta, conforme a RN-04. La tarea diaria marca como vencidas las cotizaciones expiradas.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spacing w:after="160" w:before="80"/>
      </w:pPr>
      <w:r>
        <w:rPr>
          <w:i/>
          <w:iCs/>
          <w:color w:val="44546A"/>
          <w:sz w:val="19"/>
          <w:szCs w:val="19"/>
        </w:rPr>
        <w:t xml:space="preserve">Restricciones de tabla: UNIQUE (numero, version); CHECK ck_cotizacion_descuento_rango.</w:t>
      </w:r>
    </w:p>
    <w:p>
      <w:pPr>
        <w:spacing w:after="160" w:before="80"/>
      </w:pPr>
      <w:r>
        <w:rPr>
          <w:i/>
          <w:iCs/>
          <w:color w:val="44546A"/>
          <w:sz w:val="19"/>
          <w:szCs w:val="19"/>
        </w:rPr>
        <w:t xml:space="preserve">La restricción de unicidad se aplica sobre la combinación de número y versión, no sobre el número aislado, de modo que las versiones sucesivas coexistan.</w:t>
      </w:r>
    </w:p>
    <w:p>
      <w:pPr>
        <w:pStyle w:val="Heading3"/>
        <w:keepNext/>
      </w:pPr>
      <w:r>
        <w:t xml:space="preserve">cotizacion_linea</w:t>
      </w:r>
    </w:p>
    <w:p>
      <w:pPr>
        <w:spacing w:after="120"/>
        <w:jc w:val="both"/>
      </w:pPr>
      <w:r>
        <w:t xml:space="preserve">Detalle de la cotización, con el desglose de costos que sustenta el precio ofertado.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id_linea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línea.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id_cotizacion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Cotización a la que pertenece. Referencia a cotizacion.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cotizado.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Unidades cotizadas.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costo_material_uf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estimado de materiales, calculado desde la lista de materiales.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costo_hh_uf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estimado de horas hombre, calculado desde las tareas estándar.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margen_pct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numeric(5,2)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Margen aplicado.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 de venta unitario resultante.</w:t>
            </w:r>
          </w:p>
        </w:tc>
      </w:tr>
    </w:tbl>
    <w:p>
      <w:pPr>
        <w:spacing w:after="60"/>
      </w:pPr>
    </w:p>
    <w:p>
      <w:pPr>
        <w:spacing w:after="160" w:before="80"/>
      </w:pPr>
      <w:r>
        <w:rPr>
          <w:i/>
          <w:iCs/>
          <w:color w:val="44546A"/>
          <w:sz w:val="19"/>
          <w:szCs w:val="19"/>
        </w:rPr>
        <w:t xml:space="preserve">Restricciones de tabla: CHECK ck_linea_cantidad_positiva.</w:t>
      </w:r>
    </w:p>
    <w:p>
      <w:pPr>
        <w:spacing w:after="160" w:before="80"/>
      </w:pPr>
      <w:r>
        <w:rPr>
          <w:i/>
          <w:iCs/>
          <w:color w:val="44546A"/>
          <w:sz w:val="19"/>
          <w:szCs w:val="19"/>
        </w:rPr>
        <w:t xml:space="preserve">El desglose entre costo de materiales y costo de horas hombre se conserva en la línea, y no sólo el precio final, porque es el término de comparación contra el costo real exigido por RN-11.</w:t>
      </w:r>
    </w:p>
    <w:p>
      <w:pPr>
        <w:pStyle w:val="Heading3"/>
        <w:keepNext/>
      </w:pPr>
      <w:r>
        <w:t xml:space="preserve">cotizacion_historial</w:t>
      </w:r>
    </w:p>
    <w:p>
      <w:pPr>
        <w:spacing w:after="120"/>
        <w:jc w:val="both"/>
      </w:pPr>
      <w:r>
        <w:t xml:space="preserve">Historial de cambios de estado de la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id_historial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estado_anterior_id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previo. Nulo en el registro inicial.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estado_nuevo_id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resultante.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del cambio.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id_cotizacion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Cotización afectada. Referencia a cotizacion.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cambio.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Comentario asociado al cambio, por ejemplo el motivo de rechazo o la justificación de desviación de costo.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pStyle w:val="Heading3"/>
        <w:keepNext/>
      </w:pPr>
      <w:r>
        <w:t xml:space="preserve">orden_compra</w:t>
      </w:r>
    </w:p>
    <w:p>
      <w:pPr>
        <w:spacing w:after="120"/>
        <w:jc w:val="both"/>
      </w:pPr>
      <w:r>
        <w:t xml:space="preserve">Documento que formaliza la compra. Se genera automáticamente al aceptar la cotización y se confirma automáticamente al pagarse el anticipo.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id_orden_compra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orden.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id_cotizacion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Cotización de origen, conforme a RN-06. Referencia a cotizacion.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comprador.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actual.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correlativo visible.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total_uf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 total en Unidades de Fomento.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anticipo_pct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numeric(5,2)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Porcentaje de anticipo acordado, conforme a RN-15.</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pStyle w:val="Heading3"/>
        <w:keepNext/>
      </w:pPr>
      <w:r>
        <w:t xml:space="preserve">orden_compra_linea</w:t>
      </w:r>
    </w:p>
    <w:p>
      <w:pPr>
        <w:spacing w:after="120"/>
        <w:jc w:val="both"/>
      </w:pPr>
      <w:r>
        <w:t xml:space="preserve">Detalle de la orden de compra, vinculado a la línea de cotización que le dio origen.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id_linea_oc</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línea.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id_orden_compra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a la que pertenece. Referencia a orden_compra.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id_cotizacion_linea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Línea de cotización de origen. Referencia a cotizacion_linea.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Unidades adquiridas.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 unitario acordado.</w:t>
            </w:r>
          </w:p>
        </w:tc>
      </w:tr>
    </w:tbl>
    <w:p>
      <w:pPr>
        <w:spacing w:after="60"/>
      </w:pPr>
    </w:p>
    <w:p>
      <w:pPr>
        <w:spacing w:after="160" w:before="80"/>
      </w:pPr>
      <w:r>
        <w:rPr>
          <w:i/>
          <w:iCs/>
          <w:color w:val="44546A"/>
          <w:sz w:val="19"/>
          <w:szCs w:val="19"/>
        </w:rPr>
        <w:t xml:space="preserve">Restricciones de tabla: CHECK ck_linea_oc_cantidad_positiva.</w:t>
      </w:r>
    </w:p>
    <w:p>
      <w:pPr>
        <w:spacing w:after="160" w:before="80"/>
      </w:pPr>
      <w:r>
        <w:rPr>
          <w:i/>
          <w:iCs/>
          <w:color w:val="44546A"/>
          <w:sz w:val="19"/>
          <w:szCs w:val="19"/>
        </w:rPr>
        <w:t xml:space="preserve">La referencia a la línea de cotización es el eslabón que permite recorrer la trazabilidad completa desde el producto fabricado hasta la especificación técnica solicitada originalmente por el cliente.</w:t>
      </w:r>
    </w:p>
    <w:p>
      <w:pPr>
        <w:pStyle w:val="Heading3"/>
        <w:keepNext/>
      </w:pPr>
      <w:r>
        <w:t xml:space="preserve">orden_compra_historial</w:t>
      </w:r>
    </w:p>
    <w:p>
      <w:pPr>
        <w:spacing w:after="120"/>
        <w:jc w:val="both"/>
      </w:pPr>
      <w:r>
        <w:t xml:space="preserve">Historial de cambios de estado de la orden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id_historial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estado_anterior_id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previo. Nulo en el registro inicial.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estado_nuevo_id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resultante.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del cambio.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id_orden_compra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compra afectada. Referencia a orden_compra.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cambio.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Comentario asociado al cambio, por ejemplo el motivo de rechazo o la justificación de desviación de costo.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pStyle w:val="Heading2"/>
      </w:pPr>
      <w:r>
        <w:t xml:space="preserve">6.5 Dominio 5 — Ejecución productiva</w:t>
      </w:r>
    </w:p>
    <w:p>
      <w:pPr>
        <w:keepNext/>
        <w:spacing w:before="120"/>
        <w:jc w:val="center"/>
      </w:pPr>
      <w:r>
        <w:drawing>
          <wp:inline distT="0" distB="0" distL="0" distR="0">
            <wp:extent cx="5943600" cy="4143375"/>
            <wp:effectExtent t="0" r="0" b="0" l="0"/>
            <wp:docPr id="1" name="Figura 5. Modelo entidad-relación del dominio de ejecución productiva." descr="Figura 5. Modelo entidad-relación del dominio de ejecución productiva." title="Figura 5. Modelo entidad-relación del dominio de ejecución pro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143375"/>
                    </a:xfrm>
                    <a:prstGeom prst="rect">
                      <a:avLst/>
                    </a:prstGeom>
                  </pic:spPr>
                </pic:pic>
              </a:graphicData>
            </a:graphic>
          </wp:inline>
        </w:drawing>
      </w:r>
    </w:p>
    <w:p>
      <w:pPr>
        <w:spacing w:after="200"/>
        <w:jc w:val="center"/>
      </w:pPr>
      <w:r>
        <w:rPr>
          <w:i/>
          <w:iCs/>
          <w:color w:val="44546A"/>
          <w:sz w:val="18"/>
          <w:szCs w:val="18"/>
        </w:rPr>
        <w:t xml:space="preserve">Figura 5. Modelo entidad-relación del dominio de ejecución productiva.</w:t>
      </w:r>
    </w:p>
    <w:p>
      <w:pPr>
        <w:pStyle w:val="Heading3"/>
        <w:keepNext/>
      </w:pPr>
      <w:r>
        <w:t xml:space="preserve">empleado</w:t>
      </w:r>
    </w:p>
    <w:p>
      <w:pPr>
        <w:spacing w:after="120"/>
        <w:jc w:val="both"/>
      </w:pPr>
      <w:r>
        <w:t xml:space="preserve">Trabajador que ejecuta tareas productivas y sobre el cual se registran horas hombre.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del sistema asociado, cuando el empleado registra directamente. Relación uno a uno.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puede asignarse a tareas.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único tributario.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completo.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cargo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Cargo desempeñado.</w:t>
            </w:r>
          </w:p>
        </w:tc>
      </w:tr>
    </w:tbl>
    <w:p>
      <w:pPr>
        <w:spacing w:after="60"/>
      </w:pPr>
    </w:p>
    <w:p>
      <w:pPr>
        <w:pStyle w:val="Heading3"/>
        <w:keepNext/>
      </w:pPr>
      <w:r>
        <w:t xml:space="preserve">tarifa_hora_hombre</w:t>
      </w:r>
    </w:p>
    <w:p>
      <w:pPr>
        <w:spacing w:after="120"/>
        <w:jc w:val="both"/>
      </w:pPr>
      <w:r>
        <w:t xml:space="preserve">Valor de la hora de trabajo de un empleado, versionado por período de vigencia conforme a RN-10 y RN-17.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id_tarifa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tarifa.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al que corresponde. Referencia a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valor_hora_uf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numeric(10,4)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de la hora en Unidades de Fomento.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vigente_desde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Inicio de vigencia.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vigente_hasta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Término de vigencia. Nulo indica vigencia actual.</w:t>
            </w:r>
          </w:p>
        </w:tc>
      </w:tr>
    </w:tbl>
    <w:p>
      <w:pPr>
        <w:spacing w:after="60"/>
      </w:pPr>
    </w:p>
    <w:p>
      <w:pPr>
        <w:spacing w:after="160" w:before="80"/>
      </w:pPr>
      <w:r>
        <w:rPr>
          <w:i/>
          <w:iCs/>
          <w:color w:val="44546A"/>
          <w:sz w:val="19"/>
          <w:szCs w:val="19"/>
        </w:rPr>
        <w:t xml:space="preserve">Restricciones de tabla: UNIQUE (empleado, vigente_desde); CHECK ck_tarifa_positiva.</w:t>
      </w:r>
    </w:p>
    <w:p>
      <w:pPr>
        <w:pStyle w:val="Heading3"/>
        <w:keepNext/>
      </w:pPr>
      <w:r>
        <w:t xml:space="preserve">orden_trabajo</w:t>
      </w:r>
    </w:p>
    <w:p>
      <w:pPr>
        <w:spacing w:after="120"/>
        <w:jc w:val="both"/>
      </w:pPr>
      <w:r>
        <w:t xml:space="preserve">Instrucción de fabricación derivada de una orden de compra confirmada.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id_orden_trabajo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orden de 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id_orden_compra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compra de origen, conforme a RN-07. Referencia a orden_compra.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 fabricar.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actual.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correlativo visible.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Unidades comprendidas.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costo_estimado_uf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heredado de la cotización de origen.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costo_real_uf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acumulado de materiales y horas hombre.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avance_pct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numeric(5,2)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Porcentaje de avance calculado sobre horas registradas.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fecha_inicio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inicio de fabricación.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fecha_cierre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cierre.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spacing w:after="160" w:before="80"/>
      </w:pPr>
      <w:r>
        <w:rPr>
          <w:i/>
          <w:iCs/>
          <w:color w:val="44546A"/>
          <w:sz w:val="19"/>
          <w:szCs w:val="19"/>
        </w:rPr>
        <w:t xml:space="preserve">Restricciones de tabla: CHECK ck_ot_cantidad_positiva.</w:t>
      </w:r>
    </w:p>
    <w:p>
      <w:pPr>
        <w:pStyle w:val="Heading3"/>
        <w:keepNext/>
      </w:pPr>
      <w:r>
        <w:t xml:space="preserve">orden_trabajo_historial</w:t>
      </w:r>
    </w:p>
    <w:p>
      <w:pPr>
        <w:spacing w:after="120"/>
        <w:jc w:val="both"/>
      </w:pPr>
      <w:r>
        <w:t xml:space="preserve">Historial de cambios de estado de la orden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id_historial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estado_anterior_id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previo. Nulo en el registro inicial.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estado_nuevo_id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resultante.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del cambio.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id_orden_trabajo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trabajo afectada. Referencia a orden_trabajo.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cambio.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Comentario asociado al cambio, por ejemplo el motivo de rechazo o la justificación de desviación de costo.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pStyle w:val="Heading3"/>
        <w:keepNext/>
      </w:pPr>
      <w:r>
        <w:t xml:space="preserve">tarea_ot</w:t>
      </w:r>
    </w:p>
    <w:p>
      <w:pPr>
        <w:spacing w:after="120"/>
        <w:jc w:val="both"/>
      </w:pPr>
      <w:r>
        <w:t xml:space="preserve">Actividad productiva concreta dentro de una orden de trabajo. Es la unidad sobre la que se imputan materiales y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id_tarea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tarea.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id_orden_trabajo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trabajo a la que pertenece. Referencia a orden_trabajo.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asignado. Referencia a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tarea.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secuencia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ejecución. Único dentro de la orden de 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horas_estimadas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numeric(8,2)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Horas hombre estimadas.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Pendiente, en ejecución o terminada.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fecha_estimada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estimada de ejecución.</w:t>
            </w:r>
          </w:p>
        </w:tc>
      </w:tr>
    </w:tbl>
    <w:p>
      <w:pPr>
        <w:spacing w:after="60"/>
      </w:pPr>
    </w:p>
    <w:p>
      <w:pPr>
        <w:spacing w:after="160" w:before="80"/>
      </w:pPr>
      <w:r>
        <w:rPr>
          <w:i/>
          <w:iCs/>
          <w:color w:val="44546A"/>
          <w:sz w:val="19"/>
          <w:szCs w:val="19"/>
        </w:rPr>
        <w:t xml:space="preserve">Restricciones de tabla: UNIQUE (orden_trabajo, secuencia).</w:t>
      </w:r>
    </w:p>
    <w:p>
      <w:pPr>
        <w:pStyle w:val="Heading3"/>
        <w:keepNext/>
      </w:pPr>
      <w:r>
        <w:t xml:space="preserve">consumo_material</w:t>
      </w:r>
    </w:p>
    <w:p>
      <w:pPr>
        <w:spacing w:after="120"/>
        <w:jc w:val="both"/>
      </w:pPr>
      <w:r>
        <w:t xml:space="preserve">Material efectivamente utilizado en una tarea. Da cumplimiento a RN-09.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id_consumo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consumo.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id_tarea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 sobre la que se consume. Referencia a tarea_ot.</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 consumido. Referencia a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id_bodega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Bodega de origen. Referencia a bodega.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que registró el consumo. Referencia a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 consumida.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costo_unitario_uf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unitario congelado al momento del consumo.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planificado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Distingue el consumo previsto del no planificado.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registro.</w:t>
            </w:r>
          </w:p>
        </w:tc>
      </w:tr>
    </w:tbl>
    <w:p>
      <w:pPr>
        <w:spacing w:after="60"/>
      </w:pPr>
    </w:p>
    <w:p>
      <w:pPr>
        <w:spacing w:after="160" w:before="80"/>
      </w:pPr>
      <w:r>
        <w:rPr>
          <w:i/>
          <w:iCs/>
          <w:color w:val="44546A"/>
          <w:sz w:val="19"/>
          <w:szCs w:val="19"/>
        </w:rPr>
        <w:t xml:space="preserve">Restricciones de tabla: CHECK ck_consumo_cantidad_positiva.</w:t>
      </w:r>
    </w:p>
    <w:p>
      <w:pPr>
        <w:pStyle w:val="Heading3"/>
        <w:keepNext/>
      </w:pPr>
      <w:r>
        <w:t xml:space="preserve">registro_hora_hombre</w:t>
      </w:r>
    </w:p>
    <w:p>
      <w:pPr>
        <w:spacing w:after="120"/>
        <w:jc w:val="both"/>
      </w:pPr>
      <w:r>
        <w:t xml:space="preserve">Horas trabajadas por un empleado sobre una tarea en una fecha determinada, con su valorización.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id_registro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id_tarea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 sobre la que se imputan las horas. Referencia a tarea_ot.</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que trabajó. Referencia a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id_usuario_registro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efectuó el registro.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la jornada.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horas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numeric(6,2)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 de horas. Deben ser mayores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valor_hora_uf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numeric(10,4)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Tarifa vigente a la fecha, congelada en 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anulado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registro fue anulado por corrección.</w:t>
            </w:r>
          </w:p>
        </w:tc>
      </w:tr>
    </w:tbl>
    <w:p>
      <w:pPr>
        <w:spacing w:after="60"/>
      </w:pPr>
    </w:p>
    <w:p>
      <w:pPr>
        <w:spacing w:after="160" w:before="80"/>
      </w:pPr>
      <w:r>
        <w:rPr>
          <w:i/>
          <w:iCs/>
          <w:color w:val="44546A"/>
          <w:sz w:val="19"/>
          <w:szCs w:val="19"/>
        </w:rPr>
        <w:t xml:space="preserve">Restricciones de tabla: CHECK ck_horas_positivas.</w:t>
      </w:r>
    </w:p>
    <w:p>
      <w:pPr>
        <w:spacing w:after="160" w:before="80"/>
      </w:pPr>
      <w:r>
        <w:rPr>
          <w:i/>
          <w:iCs/>
          <w:color w:val="44546A"/>
          <w:sz w:val="19"/>
          <w:szCs w:val="19"/>
        </w:rPr>
        <w:t xml:space="preserve">La corrección de un registro se realiza mediante anulación y creación de uno nuevo, conforme a RN-13. El campo id_usuario_registro se distingue de id_empleado para el caso en que el jefe de producción registre horas por cuenta de un operario ausente.</w:t>
      </w:r>
    </w:p>
    <w:p>
      <w:pPr>
        <w:pStyle w:val="Heading2"/>
      </w:pPr>
      <w:r>
        <w:t xml:space="preserve">6.6 Dominio 6 — Inventario</w:t>
      </w:r>
    </w:p>
    <w:p>
      <w:pPr>
        <w:keepNext/>
        <w:spacing w:before="120"/>
        <w:jc w:val="center"/>
      </w:pPr>
      <w:r>
        <w:drawing>
          <wp:inline distT="0" distB="0" distL="0" distR="0">
            <wp:extent cx="5943600" cy="4324350"/>
            <wp:effectExtent t="0" r="0" b="0" l="0"/>
            <wp:docPr id="1" name="Figura 6. Modelo entidad-relación del dominio de inventario." descr="Figura 6. Modelo entidad-relación del dominio de inventario." title="Figura 6. Modelo entidad-relación del dominio d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324350"/>
                    </a:xfrm>
                    <a:prstGeom prst="rect">
                      <a:avLst/>
                    </a:prstGeom>
                  </pic:spPr>
                </pic:pic>
              </a:graphicData>
            </a:graphic>
          </wp:inline>
        </w:drawing>
      </w:r>
    </w:p>
    <w:p>
      <w:pPr>
        <w:spacing w:after="200"/>
        <w:jc w:val="center"/>
      </w:pPr>
      <w:r>
        <w:rPr>
          <w:i/>
          <w:iCs/>
          <w:color w:val="44546A"/>
          <w:sz w:val="18"/>
          <w:szCs w:val="18"/>
        </w:rPr>
        <w:t xml:space="preserve">Figura 6. Modelo entidad-relación del dominio de inventario.</w:t>
      </w:r>
    </w:p>
    <w:p>
      <w:pPr>
        <w:pStyle w:val="Heading3"/>
        <w:keepNext/>
      </w:pPr>
      <w:r>
        <w:t xml:space="preserve">categoria_material</w:t>
      </w:r>
    </w:p>
    <w:p>
      <w:pPr>
        <w:spacing w:after="120"/>
        <w:jc w:val="both"/>
      </w:pPr>
      <w:r>
        <w:t xml:space="preserve">Agrupación de materiales por tipo. Tabla de catálogo semilla.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id_categoria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categoría.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se encuentra vigente.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categoría.</w:t>
            </w:r>
          </w:p>
        </w:tc>
      </w:tr>
    </w:tbl>
    <w:p>
      <w:pPr>
        <w:spacing w:after="60"/>
      </w:pPr>
    </w:p>
    <w:p>
      <w:pPr>
        <w:pStyle w:val="Heading3"/>
        <w:keepNext/>
      </w:pPr>
      <w:r>
        <w:t xml:space="preserve">material</w:t>
      </w:r>
    </w:p>
    <w:p>
      <w:pPr>
        <w:spacing w:after="120"/>
        <w:jc w:val="both"/>
      </w:pPr>
      <w:r>
        <w:t xml:space="preserve">Insumo utilizado en la fabricación. No incluye productos terminados.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id_categoria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Categoría a la que pertenece. Referencia a categoria_material.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material puede utilizarse.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interno.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Denominación del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unidad_medida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 en que se mide: un, kg, m, m2 o 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stock_minimo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Nivel bajo el cual se emite alerta, conforme a RF-INV-06.</w:t>
            </w:r>
          </w:p>
        </w:tc>
      </w:tr>
    </w:tbl>
    <w:p>
      <w:pPr>
        <w:spacing w:after="60"/>
      </w:pPr>
    </w:p>
    <w:p>
      <w:pPr>
        <w:pStyle w:val="Heading3"/>
        <w:keepNext/>
      </w:pPr>
      <w:r>
        <w:t xml:space="preserve">proveedor</w:t>
      </w:r>
    </w:p>
    <w:p>
      <w:pPr>
        <w:spacing w:after="120"/>
        <w:jc w:val="both"/>
      </w:pPr>
      <w:r>
        <w:t xml:space="preserve">Empresa que abastece 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id_proveedor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proveedor.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proveedor se encuentra vigente.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único tributario.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razon_social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Razón social.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email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 de contacto.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telefono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Teléfono de contacto.</w:t>
            </w:r>
          </w:p>
        </w:tc>
      </w:tr>
    </w:tbl>
    <w:p>
      <w:pPr>
        <w:spacing w:after="60"/>
      </w:pPr>
    </w:p>
    <w:p>
      <w:pPr>
        <w:pStyle w:val="Heading3"/>
        <w:keepNext/>
      </w:pPr>
      <w:r>
        <w:t xml:space="preserve">bodega</w:t>
      </w:r>
    </w:p>
    <w:p>
      <w:pPr>
        <w:spacing w:after="120"/>
        <w:jc w:val="both"/>
      </w:pPr>
      <w:r>
        <w:t xml:space="preserve">Ubicación física de almacenamiento de 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id_bodega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bodega.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se encuentra operativa.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 la bodega.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bodega.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ubicacion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Referencia de ubicación física.</w:t>
            </w:r>
          </w:p>
        </w:tc>
      </w:tr>
    </w:tbl>
    <w:p>
      <w:pPr>
        <w:spacing w:after="60"/>
      </w:pPr>
    </w:p>
    <w:p>
      <w:pPr>
        <w:pStyle w:val="Heading3"/>
        <w:keepNext/>
      </w:pPr>
      <w:r>
        <w:t xml:space="preserve">precio_material</w:t>
      </w:r>
    </w:p>
    <w:p>
      <w:pPr>
        <w:spacing w:after="120"/>
        <w:jc w:val="both"/>
      </w:pPr>
      <w:r>
        <w:t xml:space="preserve">Costo de compra del material, versionado por período de vigencia conforme a RN-17.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id_precio_material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precio.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 al que corresponde. Referencia a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id_proveedor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Proveedor asociado al precio. Referencia a proveedor.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vigente_desde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Inicio de vigencia.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vigente_hasta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Término de vigencia. Nulo indica vigencia actual.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en Unidades de Fomento. No puede ser negativo.</w:t>
            </w:r>
          </w:p>
        </w:tc>
      </w:tr>
    </w:tbl>
    <w:p>
      <w:pPr>
        <w:spacing w:after="60"/>
      </w:pPr>
    </w:p>
    <w:p>
      <w:pPr>
        <w:spacing w:after="160" w:before="80"/>
      </w:pPr>
      <w:r>
        <w:rPr>
          <w:i/>
          <w:iCs/>
          <w:color w:val="44546A"/>
          <w:sz w:val="19"/>
          <w:szCs w:val="19"/>
        </w:rPr>
        <w:t xml:space="preserve">Restricciones de tabla: UNIQUE (material, vigente_desde); CHECK ck_precio_material_no_negativo.</w:t>
      </w:r>
    </w:p>
    <w:p>
      <w:pPr>
        <w:pStyle w:val="Heading3"/>
        <w:keepNext/>
      </w:pPr>
      <w:r>
        <w:t xml:space="preserve">movimiento_inventario</w:t>
      </w:r>
    </w:p>
    <w:p>
      <w:pPr>
        <w:spacing w:after="120"/>
        <w:jc w:val="both"/>
      </w:pPr>
      <w:r>
        <w:t xml:space="preserve">Registro de toda variación de existencias. El stock actual se obtiene por agregación sobre esta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id_movimiento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movimiento.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 afectado. Referencia a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id_bodega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Bodega afectada. Referencia a bodega.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id_proveedor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Proveedor, cuando el movimiento es una recepción. Referencia a proveedor.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id_consumo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Consumo productivo que originó el movimiento, cuando corresponde. Relación uno a uno. Referencia a consumo_material.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Recepción, consumo, ajuste o devolución.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 del movimiento. Positiva en entradas, negativa en salidas.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costo_unitario_uf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unitario aplicado al movimiento.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movimiento.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Motivo del movimiento, exigido por la aplicación en los ajustes.</w:t>
            </w:r>
          </w:p>
        </w:tc>
      </w:tr>
    </w:tbl>
    <w:p>
      <w:pPr>
        <w:spacing w:after="60"/>
      </w:pPr>
    </w:p>
    <w:p>
      <w:pPr>
        <w:spacing w:after="160" w:before="80"/>
      </w:pPr>
      <w:r>
        <w:rPr>
          <w:i/>
          <w:iCs/>
          <w:color w:val="44546A"/>
          <w:sz w:val="19"/>
          <w:szCs w:val="19"/>
        </w:rPr>
        <w:t xml:space="preserve">La referencia a consumo_material permite que el kardex exhiba el origen productivo de cada salida y que el costo de la orden de trabajo y el saldo de inventario provengan del mismo hecho registrado una única vez.</w:t>
      </w:r>
    </w:p>
    <w:p>
      <w:pPr>
        <w:pStyle w:val="Heading2"/>
      </w:pPr>
      <w:r>
        <w:t xml:space="preserve">6.7 Dominio 7 — Control de calidad</w:t>
      </w:r>
    </w:p>
    <w:p>
      <w:pPr>
        <w:keepNext/>
        <w:spacing w:before="120"/>
        <w:jc w:val="center"/>
      </w:pPr>
      <w:r>
        <w:drawing>
          <wp:inline distT="0" distB="0" distL="0" distR="0">
            <wp:extent cx="3429000" cy="7591425"/>
            <wp:effectExtent t="0" r="0" b="0" l="0"/>
            <wp:docPr id="1" name="Figura 7. Modelo entidad-relación del dominio de control de calidad." descr="Figura 7. Modelo entidad-relación del dominio de control de calidad." title="Figura 7. Modelo entidad-relación del dominio de control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7591425"/>
                    </a:xfrm>
                    <a:prstGeom prst="rect">
                      <a:avLst/>
                    </a:prstGeom>
                  </pic:spPr>
                </pic:pic>
              </a:graphicData>
            </a:graphic>
          </wp:inline>
        </w:drawing>
      </w:r>
    </w:p>
    <w:p>
      <w:pPr>
        <w:spacing w:after="200"/>
        <w:jc w:val="center"/>
      </w:pPr>
      <w:r>
        <w:rPr>
          <w:i/>
          <w:iCs/>
          <w:color w:val="44546A"/>
          <w:sz w:val="18"/>
          <w:szCs w:val="18"/>
        </w:rPr>
        <w:t xml:space="preserve">Figura 7. Modelo entidad-relación del dominio de control de calidad.</w:t>
      </w:r>
    </w:p>
    <w:p>
      <w:pPr>
        <w:pStyle w:val="Heading3"/>
        <w:keepNext/>
      </w:pPr>
      <w:r>
        <w:t xml:space="preserve">protocolo_calidad</w:t>
      </w:r>
    </w:p>
    <w:p>
      <w:pPr>
        <w:spacing w:after="120"/>
        <w:jc w:val="both"/>
      </w:pPr>
      <w:r>
        <w:t xml:space="preserve">Conjunto de ensayos aplicables a un modelo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id_protocolo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protocolo.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al que aplica.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protocolo se encuentra vigente.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del protocolo.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version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Versión del protocolo.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norma_referencia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Norma técnica de referencia.</w:t>
            </w:r>
          </w:p>
        </w:tc>
      </w:tr>
    </w:tbl>
    <w:p>
      <w:pPr>
        <w:spacing w:after="60"/>
      </w:pPr>
    </w:p>
    <w:p>
      <w:pPr>
        <w:spacing w:after="160" w:before="80"/>
      </w:pPr>
      <w:r>
        <w:rPr>
          <w:i/>
          <w:iCs/>
          <w:color w:val="44546A"/>
          <w:sz w:val="19"/>
          <w:szCs w:val="19"/>
        </w:rPr>
        <w:t xml:space="preserve">Restricciones de tabla: UNIQUE (modelo, nombre, version).</w:t>
      </w:r>
    </w:p>
    <w:p>
      <w:pPr>
        <w:pStyle w:val="Heading3"/>
        <w:keepNext/>
      </w:pPr>
      <w:r>
        <w:t xml:space="preserve">punto_control</w:t>
      </w:r>
    </w:p>
    <w:p>
      <w:pPr>
        <w:spacing w:after="120"/>
        <w:jc w:val="both"/>
      </w:pPr>
      <w:r>
        <w:t xml:space="preserve">Ensayo individual dentro de un protocolo, con su criterio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id_punto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punto de control.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id_protocolo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 al que pertenece. Referencia a protocolo_calidad.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del ensayo.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tipo_ensayo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Clasificación del ensayo.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 de medida del resultado.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valor_esperado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nominal esperado.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tolerancia_inf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Límite inferior admisible.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tolerancia_sup</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Límite superior admisible.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obligatorio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Determina si su ejecución condiciona el cierre de la orden, conforme a RN-12.</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secuencia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ejecución. Único dentro del protocolo.</w:t>
            </w:r>
          </w:p>
        </w:tc>
      </w:tr>
    </w:tbl>
    <w:p>
      <w:pPr>
        <w:spacing w:after="60"/>
      </w:pPr>
    </w:p>
    <w:p>
      <w:pPr>
        <w:spacing w:after="160" w:before="80"/>
      </w:pPr>
      <w:r>
        <w:rPr>
          <w:i/>
          <w:iCs/>
          <w:color w:val="44546A"/>
          <w:sz w:val="19"/>
          <w:szCs w:val="19"/>
        </w:rPr>
        <w:t xml:space="preserve">Restricciones de tabla: UNIQUE (protocolo, secuencia).</w:t>
      </w:r>
    </w:p>
    <w:p>
      <w:pPr>
        <w:pStyle w:val="Heading3"/>
        <w:keepNext/>
      </w:pPr>
      <w:r>
        <w:t xml:space="preserve">control_calidad</w:t>
      </w:r>
    </w:p>
    <w:p>
      <w:pPr>
        <w:spacing w:after="120"/>
        <w:jc w:val="both"/>
      </w:pPr>
      <w:r>
        <w:t xml:space="preserve">Ejecución de un protocolo sobre una orden de trabajo determinada.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id_control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control.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id_orden_trabajo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trabajo inspeccionada. Referencia a orden_trabajo.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id_protocolo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 aplicado. Referencia a protocolo_calidad.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id_inspector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inspector responsable.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id_aprobado_por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que aprobó el control y liberó la orden. Nulo mientras no se aprueba.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ejecución.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 proceso, conforme, con no conformidades o aprobado. Sólo un control aprobado libera la orden de trabajo (RN-12).</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aprobado_en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aprobación.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Observaciones generales del control.</w:t>
            </w:r>
          </w:p>
        </w:tc>
      </w:tr>
    </w:tbl>
    <w:p>
      <w:pPr>
        <w:spacing w:after="60"/>
      </w:pPr>
    </w:p>
    <w:p>
      <w:pPr>
        <w:pStyle w:val="Heading3"/>
        <w:keepNext/>
      </w:pPr>
      <w:r>
        <w:t xml:space="preserve">resultado_control</w:t>
      </w:r>
    </w:p>
    <w:p>
      <w:pPr>
        <w:spacing w:after="120"/>
        <w:jc w:val="both"/>
      </w:pPr>
      <w:r>
        <w:t xml:space="preserve">Valor medido en un punto de control durante la ejecución de un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id_resultado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resultado.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id_control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 al que pertenece. Referencia a control_calidad.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id_punto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Punto de control medido. Referencia a punto_control.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valor_medido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obtenido en el ensayo.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conforme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Resultado de la comparación contra la tolerancia.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Observación del inspector.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registro.</w:t>
            </w:r>
          </w:p>
        </w:tc>
      </w:tr>
    </w:tbl>
    <w:p>
      <w:pPr>
        <w:spacing w:after="60"/>
      </w:pPr>
    </w:p>
    <w:p>
      <w:pPr>
        <w:spacing w:after="160" w:before="80"/>
      </w:pPr>
      <w:r>
        <w:rPr>
          <w:i/>
          <w:iCs/>
          <w:color w:val="44546A"/>
          <w:sz w:val="19"/>
          <w:szCs w:val="19"/>
        </w:rPr>
        <w:t xml:space="preserve">La repetición de un ensayo genera un nuevo registro sin eliminar el anterior, de modo que el informe de ensayos exhiba la secuencia completa de mediciones.</w:t>
      </w:r>
    </w:p>
    <w:p>
      <w:pPr>
        <w:pStyle w:val="Heading3"/>
        <w:keepNext/>
      </w:pPr>
      <w:r>
        <w:t xml:space="preserve">no_conformidad</w:t>
      </w:r>
    </w:p>
    <w:p>
      <w:pPr>
        <w:spacing w:after="120"/>
        <w:jc w:val="both"/>
      </w:pPr>
      <w:r>
        <w:t xml:space="preserve">Desviación detectada en un punto de control, con su acción correctiva y seguimiento hasta el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id_no_conformidad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no conformidad.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id_resultado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Resultado que la originó. Relación uno a uno. Referencia a resultado_control.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id_responsable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de la acción correctiva.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id_usuario_cierre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cerró la no conformidad.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Descripción de la desviación.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severidad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Menor, mayor o crítica.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accion_correctiva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text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Acción definida para subsanar la desviación.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Abierta o cerrada. Condiciona el cierre de la orden conforme a RN-12.</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abierta_en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apertura.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cerrada_en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cierre.</w:t>
            </w:r>
          </w:p>
        </w:tc>
      </w:tr>
    </w:tbl>
    <w:p>
      <w:pPr>
        <w:spacing w:after="60"/>
      </w:pPr>
    </w:p>
    <w:p>
      <w:pPr>
        <w:pStyle w:val="Heading2"/>
      </w:pPr>
      <w:r>
        <w:t xml:space="preserve">6.8 Dominio 8 — Pagos y moneda</w:t>
      </w:r>
    </w:p>
    <w:p>
      <w:pPr>
        <w:keepNext/>
        <w:spacing w:before="120"/>
        <w:jc w:val="center"/>
      </w:pPr>
      <w:r>
        <w:drawing>
          <wp:inline distT="0" distB="0" distL="0" distR="0">
            <wp:extent cx="3867150" cy="5915025"/>
            <wp:effectExtent t="0" r="0" b="0" l="0"/>
            <wp:docPr id="1" name="Figura 8. Modelo entidad-relación del dominio de pagos y moneda." descr="Figura 8. Modelo entidad-relación del dominio de pagos y moneda." title="Figura 8. Modelo entidad-relación del dominio de pagos y mon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67150" cy="5915025"/>
                    </a:xfrm>
                    <a:prstGeom prst="rect">
                      <a:avLst/>
                    </a:prstGeom>
                  </pic:spPr>
                </pic:pic>
              </a:graphicData>
            </a:graphic>
          </wp:inline>
        </w:drawing>
      </w:r>
    </w:p>
    <w:p>
      <w:pPr>
        <w:spacing w:after="200"/>
        <w:jc w:val="center"/>
      </w:pPr>
      <w:r>
        <w:rPr>
          <w:i/>
          <w:iCs/>
          <w:color w:val="44546A"/>
          <w:sz w:val="18"/>
          <w:szCs w:val="18"/>
        </w:rPr>
        <w:t xml:space="preserve">Figura 8. Modelo entidad-relación del dominio de pagos y moneda.</w:t>
      </w:r>
    </w:p>
    <w:p>
      <w:pPr>
        <w:pStyle w:val="Heading3"/>
        <w:keepNext/>
      </w:pPr>
      <w:r>
        <w:t xml:space="preserve">indicador_economico</w:t>
      </w:r>
    </w:p>
    <w:p>
      <w:pPr>
        <w:spacing w:after="120"/>
        <w:jc w:val="both"/>
      </w:pPr>
      <w:r>
        <w:t xml:space="preserve">Serie histórica de valores de indicadores obtenidos del servicio externo. Sustenta RF-PAG-05 y RF-PAG-06.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id_indicador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Indicador: UF, UTM o USD.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a la que corresponde el valor.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del indicador.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obtenido_en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en que se obtuvo del servicio externo.</w:t>
            </w:r>
          </w:p>
        </w:tc>
      </w:tr>
    </w:tbl>
    <w:p>
      <w:pPr>
        <w:spacing w:after="60"/>
      </w:pPr>
    </w:p>
    <w:p>
      <w:pPr>
        <w:spacing w:after="160" w:before="80"/>
      </w:pPr>
      <w:r>
        <w:rPr>
          <w:i/>
          <w:iCs/>
          <w:color w:val="44546A"/>
          <w:sz w:val="19"/>
          <w:szCs w:val="19"/>
        </w:rPr>
        <w:t xml:space="preserve">Restricciones de tabla: UNIQUE (codigo, fecha); CHECK ck_indicador_positivo.</w:t>
      </w:r>
    </w:p>
    <w:p>
      <w:pPr>
        <w:spacing w:after="160" w:before="80"/>
      </w:pPr>
      <w:r>
        <w:rPr>
          <w:i/>
          <w:iCs/>
          <w:color w:val="44546A"/>
          <w:sz w:val="19"/>
          <w:szCs w:val="19"/>
        </w:rPr>
        <w:t xml:space="preserve">La restricción de unicidad se aplica sobre la combinación de código y fecha. El almacenamiento como serie histórica permite operar con el último valor conocido cuando el servicio externo no responde.</w:t>
      </w:r>
    </w:p>
    <w:p>
      <w:pPr>
        <w:pStyle w:val="Heading3"/>
        <w:keepNext/>
      </w:pPr>
      <w:r>
        <w:t xml:space="preserve">documento_cobro</w:t>
      </w:r>
    </w:p>
    <w:p>
      <w:pPr>
        <w:spacing w:after="120"/>
        <w:jc w:val="both"/>
      </w:pPr>
      <w:r>
        <w:t xml:space="preserve">Obligación de pago derivada de una orden de compra, correspondiente a anticipo o saldo.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id_documento_cobro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id_orden_compra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compra asociada. Referencia a orden_compra.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correlativo visible.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Anticipo o saldo, conforme a RN-15.</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 en Unidades de Fomento.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de la Unidad de Fomento aplicado.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monto_clp</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numeric(16,2)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 en pesos, congelado a la fecha de emisión.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Pendiente, pagado o anulado.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vence_el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vencimiento.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emisión.</w:t>
            </w:r>
          </w:p>
        </w:tc>
      </w:tr>
    </w:tbl>
    <w:p>
      <w:pPr>
        <w:spacing w:after="60"/>
      </w:pPr>
    </w:p>
    <w:p>
      <w:pPr>
        <w:spacing w:after="160" w:before="80"/>
      </w:pPr>
      <w:r>
        <w:rPr>
          <w:i/>
          <w:iCs/>
          <w:color w:val="44546A"/>
          <w:sz w:val="19"/>
          <w:szCs w:val="19"/>
        </w:rPr>
        <w:t xml:space="preserve">Restricciones de tabla: CHECK ck_cobro_monto_positivo.</w:t>
      </w:r>
    </w:p>
    <w:p>
      <w:pPr>
        <w:pStyle w:val="Heading3"/>
        <w:keepNext/>
      </w:pPr>
      <w:r>
        <w:t xml:space="preserve">transaccion_pago</w:t>
      </w:r>
    </w:p>
    <w:p>
      <w:pPr>
        <w:spacing w:after="120"/>
        <w:jc w:val="both"/>
      </w:pPr>
      <w:r>
        <w:t xml:space="preserve">Intento de pago procesado a través de la pasarela externa, con su resultado y conciliación.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id_transaccion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transacción.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id_documento_cobro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Documento de cobro que se paga. Referencia a documento_cobro.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id_externo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asignado por la pasarela.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pasarela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Proveedor de pago utilizado.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numeric(16,2)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 de la transacción.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moneda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 moneda según norma ISO 4217.</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Iniciada, aprobada, rechazada, cancelada o pendiente de conciliación.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iniciada_en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inicio.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resuelta_en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en que se resolvió.</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respuesta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jsonb</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Respuesta completa de la pasarela, conservada para conciliación.</w:t>
            </w:r>
          </w:p>
        </w:tc>
      </w:tr>
    </w:tbl>
    <w:p>
      <w:pPr>
        <w:spacing w:after="60"/>
      </w:pPr>
    </w:p>
    <w:p>
      <w:pPr>
        <w:spacing w:after="160" w:before="80"/>
      </w:pPr>
      <w:r>
        <w:rPr>
          <w:i/>
          <w:iCs/>
          <w:color w:val="44546A"/>
          <w:sz w:val="19"/>
          <w:szCs w:val="19"/>
        </w:rPr>
        <w:t xml:space="preserve">Un documento de cobro puede tener varias transacciones, dado que un intento fallido o cancelado no impide un intento posterior. El estado pendiente de conciliación cubre la ausencia de respuesta de la pasarela.</w:t>
      </w:r>
    </w:p>
    <w:p>
      <w:pPr>
        <w:pStyle w:val="Heading2"/>
      </w:pPr>
      <w:r>
        <w:t xml:space="preserve">6.9 Dominio 9 — Configuración, canal web e integraciones</w:t>
      </w:r>
    </w:p>
    <w:p>
      <w:pPr>
        <w:keepNext/>
        <w:spacing w:before="120"/>
        <w:jc w:val="center"/>
      </w:pPr>
      <w:r>
        <w:drawing>
          <wp:inline distT="0" distB="0" distL="0" distR="0">
            <wp:extent cx="5943600" cy="3476625"/>
            <wp:effectExtent t="0" r="0" b="0" l="0"/>
            <wp:docPr id="1" name="Figura 9. Modelo entidad-relación del dominio de configuración, canal web e integraciones." descr="Figura 9. Modelo entidad-relación del dominio de configuración, canal web e integraciones." title="Figura 9. Modelo entidad-relación del dominio de configuración, canal web e integ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476625"/>
                    </a:xfrm>
                    <a:prstGeom prst="rect">
                      <a:avLst/>
                    </a:prstGeom>
                  </pic:spPr>
                </pic:pic>
              </a:graphicData>
            </a:graphic>
          </wp:inline>
        </w:drawing>
      </w:r>
    </w:p>
    <w:p>
      <w:pPr>
        <w:spacing w:after="200"/>
        <w:jc w:val="center"/>
      </w:pPr>
      <w:r>
        <w:rPr>
          <w:i/>
          <w:iCs/>
          <w:color w:val="44546A"/>
          <w:sz w:val="18"/>
          <w:szCs w:val="18"/>
        </w:rPr>
        <w:t xml:space="preserve">Figura 9. Modelo entidad-relación del dominio de configuración, canal web e integraciones.</w:t>
      </w:r>
    </w:p>
    <w:p>
      <w:pPr>
        <w:pStyle w:val="Heading3"/>
        <w:keepNext/>
      </w:pPr>
      <w:r>
        <w:t xml:space="preserve">parametro_sistema</w:t>
      </w:r>
    </w:p>
    <w:p>
      <w:pPr>
        <w:spacing w:after="120"/>
        <w:jc w:val="both"/>
      </w:pPr>
      <w:r>
        <w:t xml:space="preserve">Parámetro configurable del sistema y del canal web. Concentra los valores que en los casos de uso aparecen como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id_parametro_sistema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parámetro.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efectuó la última modificación.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clave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Clave del parámetro, por ejemplo web.modo_mantencion.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actual.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tipo_dato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Booleano, numérico, texto o fecha.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ambito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Ámbito de aplicación: sistema, canal web, comercial o producción.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Descripción funcional del parámetro.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w:t>
            </w:r>
          </w:p>
        </w:tc>
      </w:tr>
    </w:tbl>
    <w:p>
      <w:pPr>
        <w:spacing w:after="60"/>
      </w:pPr>
    </w:p>
    <w:p>
      <w:pPr>
        <w:spacing w:after="160" w:before="80"/>
      </w:pPr>
      <w:r>
        <w:rPr>
          <w:i/>
          <w:iCs/>
          <w:color w:val="44546A"/>
          <w:sz w:val="19"/>
          <w:szCs w:val="19"/>
        </w:rPr>
        <w:t xml:space="preserve">Esta tabla aloja el modo mantención, la habilitación del pago en línea, el período de vigencia de las cotizaciones, el porcentaje de anticipo, el máximo de horas diarias por empleado y el umbral de desviación de costo. Toda modificación genera además un registro en auditoria, conforme a RF-ADM-07.</w:t>
      </w:r>
    </w:p>
    <w:p>
      <w:pPr>
        <w:pStyle w:val="Heading3"/>
        <w:keepNext/>
      </w:pPr>
      <w:r>
        <w:t xml:space="preserve">aviso_sitio</w:t>
      </w:r>
    </w:p>
    <w:p>
      <w:pPr>
        <w:spacing w:after="120"/>
        <w:jc w:val="both"/>
      </w:pPr>
      <w:r>
        <w:t xml:space="preserve">Mensaje informativo publicado en la aplicación web, administrado desde la aplicación de escritorio.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id_aviso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aviso.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creó o modificó el aviso.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titulo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Título del aviso.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cuerpo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text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Contenido del aviso.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Informativo, advertencia o mantención.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vigente_desde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Inicio de publicación.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vigente_hasta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Término de publicación. Nulo indica publicación sin término.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aviso se publica.</w:t>
            </w:r>
          </w:p>
        </w:tc>
      </w:tr>
    </w:tbl>
    <w:p>
      <w:pPr>
        <w:spacing w:after="60"/>
      </w:pPr>
    </w:p>
    <w:p>
      <w:pPr>
        <w:pStyle w:val="Heading3"/>
        <w:keepNext/>
      </w:pPr>
      <w:r>
        <w:t xml:space="preserve">feriado</w:t>
      </w:r>
    </w:p>
    <w:p>
      <w:pPr>
        <w:spacing w:after="120"/>
        <w:jc w:val="both"/>
      </w:pPr>
      <w:r>
        <w:t xml:space="preserve">Día feriado legal obtenido del servicio externo, utilizado en el cálculo de plazos en días hábiles.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id_feriado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feriado.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del feriado.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Denominación oficial.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Civil, religioso o regional.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obtenido_en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consulta al servicio externo.</w:t>
            </w:r>
          </w:p>
        </w:tc>
      </w:tr>
    </w:tbl>
    <w:p>
      <w:pPr>
        <w:spacing w:after="60"/>
      </w:pPr>
    </w:p>
    <w:p>
      <w:pPr>
        <w:spacing w:after="160" w:before="80"/>
      </w:pPr>
      <w:r>
        <w:rPr>
          <w:i/>
          <w:iCs/>
          <w:color w:val="44546A"/>
          <w:sz w:val="19"/>
          <w:szCs w:val="19"/>
        </w:rPr>
        <w:t xml:space="preserve">El almacenamiento local de los feriados permite calcular plazos aun cuando el servicio externo no se encuentre disponible. La tabla se sincroniza mediante la tarea programada diaria.</w:t>
      </w:r>
    </w:p>
    <w:p>
      <w:pPr>
        <w:pStyle w:val="Heading3"/>
        <w:keepNext/>
      </w:pPr>
      <w:r>
        <w:t xml:space="preserve">log_integracion</w:t>
      </w:r>
    </w:p>
    <w:p>
      <w:pPr>
        <w:spacing w:after="120"/>
        <w:jc w:val="both"/>
      </w:pPr>
      <w:r>
        <w:t xml:space="preserve">Registro de llamadas a servicios externos. Da cumplimiento a RF-INT-01.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id_log</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servicio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Servicio invocado.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endpoint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varchar(255)</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Recurso invocado.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metodo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Método HTTP utilizado.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codigo_respuesta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 estado retornado.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latencia_ms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Tiempo de respuesta en milisegundos.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exitoso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Resultado de la llamada.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mensaje_error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varchar(500)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Detalle del error, cuando corresponde.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llamada.</w:t>
            </w:r>
          </w:p>
        </w:tc>
      </w:tr>
    </w:tbl>
    <w:p>
      <w:pPr>
        <w:spacing w:after="60"/>
      </w:pP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7. Modelo de clases</w:t>
      </w:r>
    </w:p>
    <w:p>
      <w:pPr>
        <w:spacing w:after="120"/>
        <w:jc w:val="both"/>
      </w:pPr>
      <w:r>
        <w:t xml:space="preserve">Los diagramas de clases representan los modelos Django que implementan las tablas anteriores. Cada clase corresponde a una tabla; sus atributos se expresan con los tipos de Python, las claves foráneas se representan como asociaciones dirigidas con su multiplicidad y nombre de atributo, y los valores admitidos de las columnas enumeradas se muestran como enumeraciones. Se incluyen las propiedades calculadas (estereotipo «property») y los métodos de negocio propios de cada clase; los métodos subrayados son de clase.</w:t>
      </w:r>
    </w:p>
    <w:p>
      <w:pPr>
        <w:spacing w:after="120"/>
        <w:jc w:val="both"/>
      </w:pPr>
      <w:r>
        <w:t xml:space="preserve">Los atributos heredados de las clases base no se repiten en las subclases. Las clases en gris pertenecen a otro módulo y se muestran sólo como referencia.</w:t>
      </w:r>
    </w:p>
    <w:p>
      <w:pPr>
        <w:pStyle w:val="Heading2"/>
      </w:pPr>
      <w:r>
        <w:t xml:space="preserve">7.1 Clases base y organización en paquetes</w:t>
      </w:r>
    </w:p>
    <w:p>
      <w:pPr>
        <w:keepNext/>
        <w:spacing w:before="120"/>
        <w:jc w:val="center"/>
      </w:pPr>
      <w:r>
        <w:drawing>
          <wp:inline distT="0" distB="0" distL="0" distR="0">
            <wp:extent cx="8229600" cy="2400300"/>
            <wp:effectExtent t="0" r="0" b="0" l="0"/>
            <wp:docPr id="1" name="Figura 10. Clases base abstractas compartidas (apps.common)." descr="Figura 10. Clases base abstractas compartidas (apps.common)." title="Figura 10. Clases base abstractas compartidas (apps.com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229600" cy="2400300"/>
                    </a:xfrm>
                    <a:prstGeom prst="rect">
                      <a:avLst/>
                    </a:prstGeom>
                  </pic:spPr>
                </pic:pic>
              </a:graphicData>
            </a:graphic>
          </wp:inline>
        </w:drawing>
      </w:r>
    </w:p>
    <w:p>
      <w:pPr>
        <w:spacing w:after="200"/>
        <w:jc w:val="center"/>
      </w:pPr>
      <w:r>
        <w:rPr>
          <w:i/>
          <w:iCs/>
          <w:color w:val="44546A"/>
          <w:sz w:val="18"/>
          <w:szCs w:val="18"/>
        </w:rPr>
        <w:t xml:space="preserve">Figura 10. Clases base abstractas compartidas (apps.common).</w:t>
      </w:r>
    </w:p>
    <w:p>
      <w:pPr>
        <w:keepNext/>
        <w:spacing w:before="120"/>
        <w:jc w:val="center"/>
      </w:pPr>
      <w:r>
        <w:drawing>
          <wp:inline distT="0" distB="0" distL="0" distR="0">
            <wp:extent cx="6457950" cy="5124450"/>
            <wp:effectExtent t="0" r="0" b="0" l="0"/>
            <wp:docPr id="1" name="Figura 11. Dependencias entre los módulos del modelo, derivadas de sus claves foráneas." descr="Figura 11. Dependencias entre los módulos del modelo, derivadas de sus claves foráneas." title="Figura 11. Dependencias entre los módulos del modelo, derivadas de sus claves forá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57950" cy="5124450"/>
                    </a:xfrm>
                    <a:prstGeom prst="rect">
                      <a:avLst/>
                    </a:prstGeom>
                  </pic:spPr>
                </pic:pic>
              </a:graphicData>
            </a:graphic>
          </wp:inline>
        </w:drawing>
      </w:r>
    </w:p>
    <w:p>
      <w:pPr>
        <w:spacing w:after="200"/>
        <w:jc w:val="center"/>
      </w:pPr>
      <w:r>
        <w:rPr>
          <w:i/>
          <w:iCs/>
          <w:color w:val="44546A"/>
          <w:sz w:val="18"/>
          <w:szCs w:val="18"/>
        </w:rPr>
        <w:t xml:space="preserve">Figura 11. Dependencias entre los módulos del modelo, derivadas de sus claves foráneas.</w:t>
      </w:r>
    </w:p>
    <w:p>
      <w:pPr>
        <w:pStyle w:val="Heading2"/>
      </w:pPr>
      <w:r>
        <w:t xml:space="preserve">7.2 Seguridad y auditoría</w:t>
      </w:r>
    </w:p>
    <w:p>
      <w:pPr>
        <w:keepNext/>
        <w:spacing w:before="120"/>
        <w:jc w:val="center"/>
      </w:pPr>
      <w:r>
        <w:drawing>
          <wp:inline distT="0" distB="0" distL="0" distR="0">
            <wp:extent cx="8229600" cy="4619625"/>
            <wp:effectExtent t="0" r="0" b="0" l="0"/>
            <wp:docPr id="1" name="Figura 12. Diagrama de clases del dominio de seguridad y auditoría." descr="Figura 12. Diagrama de clases del dominio de seguridad y auditoría." title="Figura 12. Diagrama de clases del dominio de seguridad y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229600" cy="4619625"/>
                    </a:xfrm>
                    <a:prstGeom prst="rect">
                      <a:avLst/>
                    </a:prstGeom>
                  </pic:spPr>
                </pic:pic>
              </a:graphicData>
            </a:graphic>
          </wp:inline>
        </w:drawing>
      </w:r>
    </w:p>
    <w:p>
      <w:pPr>
        <w:spacing w:after="200"/>
        <w:jc w:val="center"/>
      </w:pPr>
      <w:r>
        <w:rPr>
          <w:i/>
          <w:iCs/>
          <w:color w:val="44546A"/>
          <w:sz w:val="18"/>
          <w:szCs w:val="18"/>
        </w:rPr>
        <w:t xml:space="preserve">Figura 12. Diagrama de clases del dominio de seguridad y auditoría.</w:t>
      </w:r>
    </w:p>
    <w:p>
      <w:pPr>
        <w:pStyle w:val="Heading2"/>
      </w:pPr>
      <w:r>
        <w:t xml:space="preserve">7.3 Clientes</w:t>
      </w:r>
    </w:p>
    <w:p>
      <w:pPr>
        <w:keepNext/>
        <w:spacing w:before="120"/>
        <w:jc w:val="center"/>
      </w:pPr>
      <w:r>
        <w:drawing>
          <wp:inline distT="0" distB="0" distL="0" distR="0">
            <wp:extent cx="6391275" cy="5124450"/>
            <wp:effectExtent t="0" r="0" b="0" l="0"/>
            <wp:docPr id="1" name="Figura 13. Diagrama de clases del dominio de clientes." descr="Figura 13. Diagrama de clases del dominio de clientes." title="Figura 13. Diagrama de clases del dominio d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391275" cy="5124450"/>
                    </a:xfrm>
                    <a:prstGeom prst="rect">
                      <a:avLst/>
                    </a:prstGeom>
                  </pic:spPr>
                </pic:pic>
              </a:graphicData>
            </a:graphic>
          </wp:inline>
        </w:drawing>
      </w:r>
    </w:p>
    <w:p>
      <w:pPr>
        <w:spacing w:after="200"/>
        <w:jc w:val="center"/>
      </w:pPr>
      <w:r>
        <w:rPr>
          <w:i/>
          <w:iCs/>
          <w:color w:val="44546A"/>
          <w:sz w:val="18"/>
          <w:szCs w:val="18"/>
        </w:rPr>
        <w:t xml:space="preserve">Figura 13. Diagrama de clases del dominio de clientes.</w:t>
      </w:r>
    </w:p>
    <w:p>
      <w:pPr>
        <w:pStyle w:val="Heading2"/>
      </w:pPr>
      <w:r>
        <w:t xml:space="preserve">7.4 Catálogo de productos</w:t>
      </w:r>
    </w:p>
    <w:p>
      <w:pPr>
        <w:keepNext/>
        <w:spacing w:before="120"/>
        <w:jc w:val="center"/>
      </w:pPr>
      <w:r>
        <w:drawing>
          <wp:inline distT="0" distB="0" distL="0" distR="0">
            <wp:extent cx="8229600" cy="3438525"/>
            <wp:effectExtent t="0" r="0" b="0" l="0"/>
            <wp:docPr id="1" name="Figura 14. Diagrama de clases del dominio de catálogo de productos." descr="Figura 14. Diagrama de clases del dominio de catálogo de productos." title="Figura 14. Diagrama de clases del dominio de catálogo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229600" cy="3438525"/>
                    </a:xfrm>
                    <a:prstGeom prst="rect">
                      <a:avLst/>
                    </a:prstGeom>
                  </pic:spPr>
                </pic:pic>
              </a:graphicData>
            </a:graphic>
          </wp:inline>
        </w:drawing>
      </w:r>
    </w:p>
    <w:p>
      <w:pPr>
        <w:spacing w:after="200"/>
        <w:jc w:val="center"/>
      </w:pPr>
      <w:r>
        <w:rPr>
          <w:i/>
          <w:iCs/>
          <w:color w:val="44546A"/>
          <w:sz w:val="18"/>
          <w:szCs w:val="18"/>
        </w:rPr>
        <w:t xml:space="preserve">Figura 14. Diagrama de clases del dominio de catálogo de productos.</w:t>
      </w:r>
    </w:p>
    <w:p>
      <w:pPr>
        <w:pStyle w:val="Heading2"/>
      </w:pPr>
      <w:r>
        <w:t xml:space="preserve">7.5 Proceso comercial</w:t>
      </w:r>
    </w:p>
    <w:p>
      <w:pPr>
        <w:keepNext/>
        <w:spacing w:before="120"/>
        <w:jc w:val="center"/>
      </w:pPr>
      <w:r>
        <w:drawing>
          <wp:inline distT="0" distB="0" distL="0" distR="0">
            <wp:extent cx="5238750" cy="5124450"/>
            <wp:effectExtent t="0" r="0" b="0" l="0"/>
            <wp:docPr id="1" name="Figura 15. Diagrama de clases del dominio de proceso comercial." descr="Figura 15. Diagrama de clases del dominio de proceso comercial." title="Figura 15. Diagrama de clases del dominio de proceso come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5124450"/>
                    </a:xfrm>
                    <a:prstGeom prst="rect">
                      <a:avLst/>
                    </a:prstGeom>
                  </pic:spPr>
                </pic:pic>
              </a:graphicData>
            </a:graphic>
          </wp:inline>
        </w:drawing>
      </w:r>
    </w:p>
    <w:p>
      <w:pPr>
        <w:spacing w:after="200"/>
        <w:jc w:val="center"/>
      </w:pPr>
      <w:r>
        <w:rPr>
          <w:i/>
          <w:iCs/>
          <w:color w:val="44546A"/>
          <w:sz w:val="18"/>
          <w:szCs w:val="18"/>
        </w:rPr>
        <w:t xml:space="preserve">Figura 15. Diagrama de clases del dominio de proceso comercial.</w:t>
      </w:r>
    </w:p>
    <w:p>
      <w:pPr>
        <w:pStyle w:val="Heading2"/>
      </w:pPr>
      <w:r>
        <w:t xml:space="preserve">7.6 Ejecución productiva</w:t>
      </w:r>
    </w:p>
    <w:p>
      <w:pPr>
        <w:keepNext/>
        <w:spacing w:before="120"/>
        <w:jc w:val="center"/>
      </w:pPr>
      <w:r>
        <w:drawing>
          <wp:inline distT="0" distB="0" distL="0" distR="0">
            <wp:extent cx="7886700" cy="5124450"/>
            <wp:effectExtent t="0" r="0" b="0" l="0"/>
            <wp:docPr id="1" name="Figura 16. Diagrama de clases del dominio de ejecución productiva." descr="Figura 16. Diagrama de clases del dominio de ejecución productiva." title="Figura 16. Diagrama de clases del dominio de ejecución pro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886700" cy="5124450"/>
                    </a:xfrm>
                    <a:prstGeom prst="rect">
                      <a:avLst/>
                    </a:prstGeom>
                  </pic:spPr>
                </pic:pic>
              </a:graphicData>
            </a:graphic>
          </wp:inline>
        </w:drawing>
      </w:r>
    </w:p>
    <w:p>
      <w:pPr>
        <w:spacing w:after="200"/>
        <w:jc w:val="center"/>
      </w:pPr>
      <w:r>
        <w:rPr>
          <w:i/>
          <w:iCs/>
          <w:color w:val="44546A"/>
          <w:sz w:val="18"/>
          <w:szCs w:val="18"/>
        </w:rPr>
        <w:t xml:space="preserve">Figura 16. Diagrama de clases del dominio de ejecución productiva.</w:t>
      </w:r>
    </w:p>
    <w:p>
      <w:pPr>
        <w:pStyle w:val="Heading2"/>
      </w:pPr>
      <w:r>
        <w:t xml:space="preserve">7.7 Inventario</w:t>
      </w:r>
    </w:p>
    <w:p>
      <w:pPr>
        <w:keepNext/>
        <w:spacing w:before="120"/>
        <w:jc w:val="center"/>
      </w:pPr>
      <w:r>
        <w:drawing>
          <wp:inline distT="0" distB="0" distL="0" distR="0">
            <wp:extent cx="8229600" cy="4286250"/>
            <wp:effectExtent t="0" r="0" b="0" l="0"/>
            <wp:docPr id="1" name="Figura 17. Diagrama de clases del dominio de inventario." descr="Figura 17. Diagrama de clases del dominio de inventario." title="Figura 17. Diagrama de clases del dominio d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229600" cy="4286250"/>
                    </a:xfrm>
                    <a:prstGeom prst="rect">
                      <a:avLst/>
                    </a:prstGeom>
                  </pic:spPr>
                </pic:pic>
              </a:graphicData>
            </a:graphic>
          </wp:inline>
        </w:drawing>
      </w:r>
    </w:p>
    <w:p>
      <w:pPr>
        <w:spacing w:after="200"/>
        <w:jc w:val="center"/>
      </w:pPr>
      <w:r>
        <w:rPr>
          <w:i/>
          <w:iCs/>
          <w:color w:val="44546A"/>
          <w:sz w:val="18"/>
          <w:szCs w:val="18"/>
        </w:rPr>
        <w:t xml:space="preserve">Figura 17. Diagrama de clases del dominio de inventario.</w:t>
      </w:r>
    </w:p>
    <w:p>
      <w:pPr>
        <w:pStyle w:val="Heading2"/>
      </w:pPr>
      <w:r>
        <w:t xml:space="preserve">7.8 Control de calidad</w:t>
      </w:r>
    </w:p>
    <w:p>
      <w:pPr>
        <w:keepNext/>
        <w:spacing w:before="120"/>
        <w:jc w:val="center"/>
      </w:pPr>
      <w:r>
        <w:drawing>
          <wp:inline distT="0" distB="0" distL="0" distR="0">
            <wp:extent cx="5848350" cy="5124450"/>
            <wp:effectExtent t="0" r="0" b="0" l="0"/>
            <wp:docPr id="1" name="Figura 18. Diagrama de clases del dominio de control de calidad." descr="Figura 18. Diagrama de clases del dominio de control de calidad." title="Figura 18. Diagrama de clases del dominio de control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48350" cy="5124450"/>
                    </a:xfrm>
                    <a:prstGeom prst="rect">
                      <a:avLst/>
                    </a:prstGeom>
                  </pic:spPr>
                </pic:pic>
              </a:graphicData>
            </a:graphic>
          </wp:inline>
        </w:drawing>
      </w:r>
    </w:p>
    <w:p>
      <w:pPr>
        <w:spacing w:after="200"/>
        <w:jc w:val="center"/>
      </w:pPr>
      <w:r>
        <w:rPr>
          <w:i/>
          <w:iCs/>
          <w:color w:val="44546A"/>
          <w:sz w:val="18"/>
          <w:szCs w:val="18"/>
        </w:rPr>
        <w:t xml:space="preserve">Figura 18. Diagrama de clases del dominio de control de calidad.</w:t>
      </w:r>
    </w:p>
    <w:p>
      <w:pPr>
        <w:pStyle w:val="Heading2"/>
      </w:pPr>
      <w:r>
        <w:t xml:space="preserve">7.9 Pagos y moneda</w:t>
      </w:r>
    </w:p>
    <w:p>
      <w:pPr>
        <w:keepNext/>
        <w:spacing w:before="120"/>
        <w:jc w:val="center"/>
      </w:pPr>
      <w:r>
        <w:drawing>
          <wp:inline distT="0" distB="0" distL="0" distR="0">
            <wp:extent cx="5562600" cy="5124450"/>
            <wp:effectExtent t="0" r="0" b="0" l="0"/>
            <wp:docPr id="1" name="Figura 19. Diagrama de clases del dominio de pagos y moneda." descr="Figura 19. Diagrama de clases del dominio de pagos y moneda." title="Figura 19. Diagrama de clases del dominio de pagos y mon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62600" cy="5124450"/>
                    </a:xfrm>
                    <a:prstGeom prst="rect">
                      <a:avLst/>
                    </a:prstGeom>
                  </pic:spPr>
                </pic:pic>
              </a:graphicData>
            </a:graphic>
          </wp:inline>
        </w:drawing>
      </w:r>
    </w:p>
    <w:p>
      <w:pPr>
        <w:spacing w:after="200"/>
        <w:jc w:val="center"/>
      </w:pPr>
      <w:r>
        <w:rPr>
          <w:i/>
          <w:iCs/>
          <w:color w:val="44546A"/>
          <w:sz w:val="18"/>
          <w:szCs w:val="18"/>
        </w:rPr>
        <w:t xml:space="preserve">Figura 19. Diagrama de clases del dominio de pagos y moneda.</w:t>
      </w:r>
    </w:p>
    <w:p>
      <w:pPr>
        <w:pStyle w:val="Heading2"/>
      </w:pPr>
      <w:r>
        <w:t xml:space="preserve">7.10 Configuración, canal web e integraciones</w:t>
      </w:r>
    </w:p>
    <w:p>
      <w:pPr>
        <w:keepNext/>
        <w:spacing w:before="120"/>
        <w:jc w:val="center"/>
      </w:pPr>
      <w:r>
        <w:drawing>
          <wp:inline distT="0" distB="0" distL="0" distR="0">
            <wp:extent cx="8229600" cy="3533775"/>
            <wp:effectExtent t="0" r="0" b="0" l="0"/>
            <wp:docPr id="1" name="Figura 20. Diagrama de clases del dominio de configuración, canal web e integraciones." descr="Figura 20. Diagrama de clases del dominio de configuración, canal web e integraciones." title="Figura 20. Diagrama de clases del dominio de configuración, canal web e integ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229600" cy="3533775"/>
                    </a:xfrm>
                    <a:prstGeom prst="rect">
                      <a:avLst/>
                    </a:prstGeom>
                  </pic:spPr>
                </pic:pic>
              </a:graphicData>
            </a:graphic>
          </wp:inline>
        </w:drawing>
      </w:r>
    </w:p>
    <w:p>
      <w:pPr>
        <w:spacing w:after="200"/>
        <w:jc w:val="center"/>
      </w:pPr>
      <w:r>
        <w:rPr>
          <w:i/>
          <w:iCs/>
          <w:color w:val="44546A"/>
          <w:sz w:val="18"/>
          <w:szCs w:val="18"/>
        </w:rPr>
        <w:t xml:space="preserve">Figura 20. Diagrama de clases del dominio de configuración, canal web e integraciones.</w:t>
      </w:r>
    </w:p>
    <w:p>
      <w:pPr>
        <w:pStyle w:val="Heading2"/>
      </w:pPr>
      <w:r>
        <w:t xml:space="preserve">7.11 Responsabilidades de negocio en las clases</w:t>
      </w:r>
    </w:p>
    <w:p>
      <w:pPr>
        <w:spacing w:after="120"/>
        <w:jc w:val="both"/>
      </w:pPr>
      <w:r>
        <w:t xml:space="preserve">Los métodos y propiedades de los modelos concentran las reglas que dependen exclusivamente de los datos de la propia entidad. Las operaciones que coordinan varias entidades —por ejemplo, generar la orden de compra al aceptar una cotización o confirmar la orden al pagarse el anticipo— residen en los módulos de servicio de cada aplicación.</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6600"/>
      </w:tblGrid>
      <w:tr>
        <w:trPr>
          <w:tblHeader/>
        </w:trPr>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Clase</w:t>
            </w:r>
          </w:p>
        </w:tc>
        <w:tc>
          <w:tcPr>
            <w:tcW w:type="dxa" w:w="3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Método o propiedad</w:t>
            </w:r>
          </w:p>
        </w:tc>
        <w:tc>
          <w:tcPr>
            <w:tcW w:type="dxa" w:w="6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Responsabilidad</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registrar_intento_fallido, levantar_bloqueo_vencido</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Bloqueo temporal tras intentos fallidos y desbloqueo automático (RF-SEG-04).</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Cotizacion</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calcular_vencimiento, recalcular_total, esta_vigente, requiere_aprobacion</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Vigencia de la oferta (RN-04), total en UF y aprobación por descuento.</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CotizacionLinea</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calcular_precio</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 unitario a partir de costo de materiales, horas hombre y margen.</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OrdenCompra</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monto_anticipo_uf, monto_saldo_uf</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División del total en anticipo y saldo (RN-15).</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OrdenTrabajo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recalcular_costo_real, recalcular_avance, desviacion_pct, puede_cerrarse</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real, avance, desviación de costo (RN-11) y condición de cierre (RN-12).</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tarifa_vigente_a</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Tarifa aplicable a una fecha (RN-10, RN-17).</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MovimientoInventario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stock_actual</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Saldo calculado por agregación de movimientos.</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PuntoControl</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evaluar</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Conformidad de un valor medido contra la tolerancia.</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ControlCalidad</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actualizar_estado, puntos_pendientes</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del control según los resultados registrados.</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NoConformidad</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cerrar</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Cierre con acción correctiva y usuario responsable.</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DocumentoCobro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calcular_monto_clp, esta_vencido, total_pagado_clp</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Conversión a pesos con UF congelada y estado del cobro.</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TransaccionPago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conciliar, monto_coincide</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Conciliación del pago informado por la pasarela.</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ParametroSistema</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valor_tipado</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Conversión del valor almacenado a su tipo de dato.</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AvisoSitio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esta_publicado</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Publicación según período de vigencia y estado.</w:t>
            </w:r>
          </w:p>
        </w:tc>
      </w:tr>
    </w:tbl>
    <w:p>
      <w:pPr>
        <w:spacing w:after="60"/>
      </w:pPr>
    </w:p>
    <w:p>
      <w:pPr>
        <w:sectPr>
          <w:headerReference w:type="default" r:id="rId9"/>
          <w:footerReference w:type="default" r:id="rId10"/>
          <w:pgSz w:w="15840" w:h="12240" w:orient="landscape"/>
          <w:pgMar w:top="1440" w:right="1440" w:bottom="1440" w:left="1440" w:header="708" w:footer="708" w:gutter="0"/>
          <w:pgNumType/>
          <w:docGrid w:linePitch="360"/>
        </w:sectPr>
      </w:pPr>
    </w:p>
    <w:p>
      <w:pPr>
        <w:pStyle w:val="Heading1"/>
      </w:pPr>
      <w:r>
        <w:t xml:space="preserve">8. Justificación de normalización</w:t>
      </w:r>
    </w:p>
    <w:p>
      <w:pPr>
        <w:spacing w:after="120"/>
        <w:jc w:val="both"/>
      </w:pPr>
      <w:r>
        <w:t xml:space="preserve">El modelo alcanza la tercera forma normal. A continuación se justifica el cumplimiento de cada forma.</w:t>
      </w:r>
    </w:p>
    <w:p>
      <w:pPr>
        <w:pStyle w:val="Heading2"/>
      </w:pPr>
      <w:r>
        <w:t xml:space="preserve">8.1 Primera forma normal</w:t>
      </w:r>
    </w:p>
    <w:p>
      <w:pPr>
        <w:spacing w:after="120"/>
        <w:jc w:val="both"/>
      </w:pPr>
      <w:r>
        <w:t xml:space="preserve">Todos los atributos son atómicos y no existen grupos repetitivos. Las situaciones que habrían vulnerado esta forma se resolvieron mediante tablas independientes:</w:t>
      </w:r>
    </w:p>
    <w:p>
      <w:pPr>
        <w:pStyle w:val="ListParagraph"/>
        <w:numPr>
          <w:ilvl w:val="0"/>
          <w:numId w:val="2"/>
        </w:numPr>
        <w:spacing w:after="60"/>
      </w:pPr>
      <w:r>
        <w:t xml:space="preserve">Los contactos y direcciones de un cliente residen en tablas propias.</w:t>
      </w:r>
    </w:p>
    <w:p>
      <w:pPr>
        <w:pStyle w:val="ListParagraph"/>
        <w:numPr>
          <w:ilvl w:val="0"/>
          <w:numId w:val="2"/>
        </w:numPr>
        <w:spacing w:after="60"/>
      </w:pPr>
      <w:r>
        <w:t xml:space="preserve">La especificación técnica de una solicitud reside en solicitud_especificacion, en lugar de un conjunto fijo de columnas.</w:t>
      </w:r>
    </w:p>
    <w:p>
      <w:pPr>
        <w:pStyle w:val="ListParagraph"/>
        <w:numPr>
          <w:ilvl w:val="0"/>
          <w:numId w:val="2"/>
        </w:numPr>
        <w:spacing w:after="60"/>
      </w:pPr>
      <w:r>
        <w:t xml:space="preserve">Las líneas de cotización y de orden de compra residen en tablas de detalle.</w:t>
      </w:r>
    </w:p>
    <w:p>
      <w:pPr>
        <w:spacing w:after="120"/>
        <w:jc w:val="both"/>
      </w:pPr>
      <w:r>
        <w:t xml:space="preserve">Se emplean columnas jsonb en auditoria y en transaccion_pago. Corresponden a capturas de estado y respuestas de servicios externos que se consultan como bloque de evidencia, no por atributo individual, por lo que no constituyen grupos repetitivos del modelo de negocio.</w:t>
      </w:r>
    </w:p>
    <w:p>
      <w:pPr>
        <w:pStyle w:val="Heading2"/>
      </w:pPr>
      <w:r>
        <w:t xml:space="preserve">8.2 Segunda forma normal</w:t>
      </w:r>
    </w:p>
    <w:p>
      <w:pPr>
        <w:spacing w:after="120"/>
        <w:jc w:val="both"/>
      </w:pPr>
      <w:r>
        <w:t xml:space="preserve">En la implementación, ninguna tabla tiene clave primaria compuesta, por lo que no pueden existir dependencias parciales respecto de la clave primaria. Igualmente se verificó que en las cuatro tablas de relación los atributos propios dependan del par completo declarado como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Tabla</w:t>
            </w:r>
          </w:p>
        </w:tc>
        <w:tc>
          <w:tcPr>
            <w:tcW w:type="dxa" w:w="6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Verificación</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rol_permiso</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otorgado_en depende de la combinación de rol y permiso, no de ninguno por separado.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usuario_rol</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asignado_en depende de la combinación de usuario y rol.</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modelo_parametro</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valor_defecto y obligatorio dependen de la combinación de modelo y parámetro. La obligatoriedad general reside en parametro_tecnico.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solicitud_especificacion</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valor depende de la combinación de solicitud y parámetro.</w:t>
            </w:r>
          </w:p>
        </w:tc>
      </w:tr>
    </w:tbl>
    <w:p>
      <w:pPr>
        <w:spacing w:after="60"/>
      </w:pPr>
    </w:p>
    <w:p>
      <w:pPr>
        <w:pStyle w:val="Heading2"/>
      </w:pPr>
      <w:r>
        <w:t xml:space="preserve">8.3 Tercera forma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Situación potencial</w:t>
            </w:r>
          </w:p>
        </w:tc>
        <w:tc>
          <w:tcPr>
            <w:tcW w:type="dxa" w:w="5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Resolución adoptada</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Nombre de la región como atributo de la dirección</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La dirección referencia a comuna y la comuna a region. El nombre de la región no se replica.</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Precio del material como atributo de material</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precio reside en precio_material, versionado por vigencia.</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Tarifa como atributo del empleado</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La tarifa reside en tarifa_hora_hombre, versionada por vigencia.</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Nombre del estado como atributo del documento</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documento referencia a estado_documento; el nombre no se replica en el documento ni en el historial.</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Stock actual como atributo de material</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 obtiene por agregación sobre movimiento_inventario.</w:t>
            </w:r>
          </w:p>
        </w:tc>
      </w:tr>
    </w:tbl>
    <w:p>
      <w:pPr>
        <w:spacing w:after="60"/>
      </w:pPr>
    </w:p>
    <w:p>
      <w:pPr>
        <w:pStyle w:val="Heading2"/>
      </w:pPr>
      <w:r>
        <w:t xml:space="preserve">8.4 Redundancias controladas</w:t>
      </w:r>
    </w:p>
    <w:p>
      <w:pPr>
        <w:spacing w:after="120"/>
        <w:jc w:val="both"/>
      </w:pPr>
      <w:r>
        <w:t xml:space="preserve">El modelo incorpora redundancias deliberadas de una misma naturaleza: la conservación de un valor histórico que no debe alterarse ante cambios posteriores.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Campo</w:t>
            </w:r>
          </w:p>
        </w:tc>
        <w:tc>
          <w:tcPr>
            <w:tcW w:type="dxa" w:w="5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Justificación</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cotizacion.valor_uf y fecha_valor_uf</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valor de la UF aplicado queda congelado en el documento, conforme a RN-03.</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documento_cobro.valor_uf y monto_clp</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monto en pesos queda fijado a la fecha de emisión del cobro.</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consumo_material.costo_unitario_uf</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costo del material al momento del consumo queda congelado; el costo real de órdenes cerradas no varía con nuevos precios.</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registro_hora_hombre.valor_hora_uf</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La tarifa aplicada queda congelada en el registro, conforme a RN-10.</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orden_trabajo.costo_real_uf y avance_pct</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Valores calculados que se mantienen materializados y se recalculan ante cada registro de consumo u hora.</w:t>
            </w:r>
          </w:p>
        </w:tc>
      </w:tr>
    </w:tbl>
    <w:p>
      <w:pPr>
        <w:spacing w:after="60"/>
      </w:pPr>
    </w:p>
    <w:p>
      <w:pPr>
        <w:spacing w:after="120"/>
        <w:jc w:val="both"/>
      </w:pPr>
      <w:r>
        <w:t xml:space="preserve">Estas redundancias no vulneran la tercera forma normal: los valores congelados son datos propios del documento en el momento de su emisión y no dependen del registro de origen.</w:t>
      </w:r>
    </w:p>
    <w:p>
      <w:pPr>
        <w:pStyle w:val="Heading1"/>
        <w:pageBreakBefore/>
      </w:pPr>
      <w:r>
        <w:t xml:space="preserve">9. Integridad, índices e implementación</w:t>
      </w:r>
    </w:p>
    <w:p>
      <w:pPr>
        <w:pStyle w:val="Heading2"/>
      </w:pPr>
      <w:r>
        <w:t xml:space="preserve">9.1 Restricciones de integridad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Restricción</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Implementación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Claves foráneas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91 claves foráneas declaradas en PostgreSQL. La política de borrado se aplica en el ORM: PROTECT en 67 relaciones hacia entidades de negocio, CASCADE en 22 relaciones hacia tablas de detalle y de relación, y SET_NULL en 2 referencias opcionales.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Unicidad simple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Códigos, números correlativos, RUT, correos y nombres de catálogo.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Unicidad compuesta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Tablas de relación; cotizacion (numero, version); indicador_economico (codigo, fecha); estado_documento (tipo_documento, codigo); tablas versionadas (entidad, vigente_desde); secuencias de tareas y puntos de control; comuna (region, nombre).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Verificación (CHECK)</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Cantidades, horas y montos positivos o no negativos; descuento entre 0 y 100; además, los enteros sin signo generan su propia verificación de no negatividad.</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Vigencias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Un único registro vigente por entidad, garantizado por la capa de servicio al cerrar la vigencia anterior.</w:t>
            </w:r>
          </w:p>
        </w:tc>
      </w:tr>
    </w:tbl>
    <w:p>
      <w:pPr>
        <w:spacing w:after="60"/>
      </w:pPr>
    </w:p>
    <w:p>
      <w:pPr>
        <w:pStyle w:val="Heading2"/>
      </w:pPr>
      <w:r>
        <w:t xml:space="preserve">9.2 Índices</w:t>
      </w:r>
    </w:p>
    <w:p>
      <w:pPr>
        <w:spacing w:after="120"/>
        <w:jc w:val="both"/>
      </w:pPr>
      <w:r>
        <w:t xml:space="preserve">Django crea automáticamente un índice por cada clave foránea y por cada restricción de unicidad. Adicionalmente se declararon los siguientes índices compuestos para las consultas de mayor frecuencia: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Índice</w:t>
            </w:r>
          </w:p>
        </w:tc>
        <w:tc>
          <w:tcPr>
            <w:tcW w:type="dxa" w:w="3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Columnas</w:t>
            </w:r>
          </w:p>
        </w:tc>
        <w:tc>
          <w:tcPr>
            <w:tcW w:type="dxa" w:w="3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Propósito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idx_mov_material_bodega</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movimiento_inventario (id_material, id_bodega)</w:t>
            </w:r>
          </w:p>
        </w:tc>
        <w:tc>
          <w:tcPr>
            <w:tcW w:type="dxa" w:w="3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Cálculo de stock y consulta de kardex.</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idx_aud_filtro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auditoria (id_usuario, entidad, fecha_hora)</w:t>
            </w:r>
          </w:p>
        </w:tc>
        <w:tc>
          <w:tcPr>
            <w:tcW w:type="dxa" w:w="3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Filtrado de la bitácora exigido por RF-SEG-09.</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idx_hh_tarea_empleado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registro_hora_hombre (id_tarea, id_empleado)</w:t>
            </w:r>
          </w:p>
        </w:tc>
        <w:tc>
          <w:tcPr>
            <w:tcW w:type="dxa" w:w="3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Cálculo de costo real y de avance.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idx_indicador_busqueda</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indicador_economico (codigo, fecha DESC)</w:t>
            </w:r>
          </w:p>
        </w:tc>
        <w:tc>
          <w:tcPr>
            <w:tcW w:type="dxa" w:w="3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Obtención del último valor conocido de cada indicador.</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idx_log_servicio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log_integracion (servicio, fecha_hora DESC)</w:t>
            </w:r>
          </w:p>
        </w:tc>
        <w:tc>
          <w:tcPr>
            <w:tcW w:type="dxa" w:w="3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Monitoreo de cada integración externa.</w:t>
            </w:r>
          </w:p>
        </w:tc>
      </w:tr>
    </w:tbl>
    <w:p>
      <w:pPr>
        <w:spacing w:after="60"/>
      </w:pPr>
    </w:p>
    <w:p>
      <w:pPr>
        <w:pStyle w:val="Heading2"/>
      </w:pPr>
      <w:r>
        <w:t xml:space="preserve">9.3 Implementación en Django</w:t>
      </w:r>
    </w:p>
    <w:p>
      <w:pPr>
        <w:pStyle w:val="ListParagraph"/>
        <w:numPr>
          <w:ilvl w:val="0"/>
          <w:numId w:val="2"/>
        </w:numPr>
        <w:spacing w:after="60"/>
      </w:pPr>
      <w:r>
        <w:t xml:space="preserve">Los nueve dominios se implementan como aplicaciones Django independientes (apps.seguridad, apps.clientes, apps.catalogo, apps.comercial, apps.produccion, apps.inventario, apps.calidad, apps.pagos y apps.configuracion).</w:t>
      </w:r>
    </w:p>
    <w:p>
      <w:pPr>
        <w:pStyle w:val="ListParagraph"/>
        <w:numPr>
          <w:ilvl w:val="0"/>
          <w:numId w:val="2"/>
        </w:numPr>
        <w:spacing w:after="60"/>
      </w:pPr>
      <w:r>
        <w:t xml:space="preserve">Los nombres de tablas y columnas se fijan explícitamente (db_table y db_column) para que el esquema conserve la nomenclatura del modelo y no la que el ORM generaría por defecto.</w:t>
      </w:r>
    </w:p>
    <w:p>
      <w:pPr>
        <w:pStyle w:val="ListParagraph"/>
        <w:numPr>
          <w:ilvl w:val="0"/>
          <w:numId w:val="2"/>
        </w:numPr>
        <w:spacing w:after="60"/>
      </w:pPr>
      <w:r>
        <w:t xml:space="preserve">Las tablas de relación con atributos propios se declaran como modelos explícitos con restricción de unicidad compuesta.</w:t>
      </w:r>
    </w:p>
    <w:p>
      <w:pPr>
        <w:pStyle w:val="ListParagraph"/>
        <w:numPr>
          <w:ilvl w:val="0"/>
          <w:numId w:val="2"/>
        </w:numPr>
        <w:spacing w:after="60"/>
      </w:pPr>
      <w:r>
        <w:t xml:space="preserve">La escritura de historiales y auditoría se realiza en la capa de servicio, de modo que quede cubierta cualquiera sea la interfaz que origine la operación: aplicación de escritorio, web o tarea programada.</w:t>
      </w:r>
    </w:p>
    <w:p>
      <w:pPr>
        <w:pStyle w:val="ListParagraph"/>
        <w:numPr>
          <w:ilvl w:val="0"/>
          <w:numId w:val="2"/>
        </w:numPr>
        <w:spacing w:after="60"/>
      </w:pPr>
      <w:r>
        <w:t xml:space="preserve">El filtrado por cliente exigido por RN-16 se implementa en la capa de servicio y en los permisos de la API, no en la plantilla.</w:t>
      </w:r>
    </w:p>
    <w:p>
      <w:pPr>
        <w:pStyle w:val="ListParagraph"/>
        <w:numPr>
          <w:ilvl w:val="0"/>
          <w:numId w:val="2"/>
        </w:numPr>
        <w:spacing w:after="60"/>
      </w:pPr>
      <w:r>
        <w:t xml:space="preserve">El esquema se versiona mediante migraciones; el archivo esquema_sitrafo.sql del repositorio es la exportación del esquema desplegado y el diccionario se regenera desde los modelos.</w:t>
      </w:r>
    </w:p>
    <w:p>
      <w:pPr>
        <w:pStyle w:val="Heading1"/>
        <w:pageBreakBefore/>
      </w:pPr>
      <w:r>
        <w:t xml:space="preserve">10. Trazabilidad entre requerimientos y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5060"/>
      </w:tblGrid>
      <w:tr>
        <w:trPr>
          <w:tblHeader/>
        </w:trPr>
        <w:tc>
          <w:tcPr>
            <w:tcW w:type="dxa" w:w="2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Dominio</w:t>
            </w:r>
          </w:p>
        </w:tc>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Requerimientos</w:t>
            </w:r>
          </w:p>
        </w:tc>
        <w:tc>
          <w:tcPr>
            <w:tcW w:type="dxa" w:w="50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Tablas</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Seguridad y auditoría</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RF-SEG-01 a 10, RF-ADM-03, RF-ADM-07</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permiso, rol_permiso, usuario, usuario_rol, auditoria</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RF-CLI-01 a 07</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region, comuna, cliente, contacto_cliente, direccion_cliente</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 de productos</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RF-CAT-01 a 09</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familia_producto, modelo_producto, parametro_tecnico, valor_parametro, modelo_parametro, precio_base_modelo, bom_modelo, tarea_estandar_modelo</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Proceso comercial</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RF-COM-01 a 17</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estado_documento, solicitud_presupuesto, solicitud_especificacion, solicitud_historial, cotizacion, cotizacion_linea, cotizacion_historial, orden_compra, orden_compra_linea, orden_compra_historial</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Ejecución productiva</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RF-OT-01 a 11</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tarifa_hora_hombre, orden_trabajo, orden_trabajo_historial, tarea_ot, consumo_material, registro_hora_hombre</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Inventario</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RF-INV-01 a 08</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categoria_material, material, proveedor, bodega, precio_material, movimiento_inventario</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 de calidad</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RF-CAL-01 a 05</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protocolo_calidad, punto_control, control_calidad, resultado_control, no_conformidad</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Pagos y moneda</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RF-PAG-01 a 06</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indicador_economico, documento_cobro, transaccion_pago</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Configuración, canal web e integraciones</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RF-ADM-01 a 07, RF-INT-01 a 03</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parametro_sistema, aviso_sitio, feriado, log_integracion</w:t>
            </w:r>
          </w:p>
        </w:tc>
      </w:tr>
    </w:tbl>
    <w:p>
      <w:pPr>
        <w:spacing w:after="60"/>
      </w:pPr>
    </w:p>
    <w:p>
      <w:pPr>
        <w:pStyle w:val="Heading1"/>
        <w:pageBreakBefore/>
      </w:pPr>
      <w:r>
        <w:t xml:space="preserve">11. Control de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300"/>
        <w:gridCol w:w="4560"/>
      </w:tblGrid>
      <w:tr>
        <w:trPr>
          <w:tblHeader/>
        </w:trPr>
        <w:tc>
          <w:tcPr>
            <w:tcW w:type="dxa" w:w="1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Versión</w:t>
            </w:r>
          </w:p>
        </w:tc>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Fecha</w:t>
            </w:r>
          </w:p>
        </w:tc>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Autor</w:t>
            </w:r>
          </w:p>
        </w:tc>
        <w:tc>
          <w:tcPr>
            <w:tcW w:type="dxa" w:w="4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Descripción del cambio</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Fase 1</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Versión inicial de la Fase 1, para validación con el docente.</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2.0</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08-10-2026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Actualización a la implementación: diccionario y diagramas generados desde el código, registro de cambios (sección 2) e incorporación del modelo de clases (sección 7).</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2.1</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Aprobación del control de calidad (id_aprobado_por, aprobado_en y estado aprobado en control_calidad), rangos y valor fijado por el modelo en parametro_tecnico, y nuevo estado de la orden de trabajo «Liberada por calidad».</w:t>
            </w:r>
          </w:p>
        </w:tc>
      </w:tr>
    </w:tbl>
    <w:p>
      <w:pPr>
        <w:spacing w:after="60"/>
      </w:pP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MER-01 Modelo de Datos, Diccionario y Modelo de Clases · v2.1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MER-01 Modelo de Datos, Diccionario y Modelo de Clases · v2.1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MER-01 Modelo de Datos, Diccionario y Modelo de Clases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549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onsolas" w:cs="Consolas" w:eastAsia="Consolas" w:hAnsi="Consolas"/>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fe2c94c368208d46b62f41106c5d3f49c15c9a6c.png"/><Relationship Id="rId14" Type="http://schemas.openxmlformats.org/officeDocument/2006/relationships/image" Target="media/46692f4af6cc2012088e2b6a16761389e227ab1b.png"/><Relationship Id="rId15" Type="http://schemas.openxmlformats.org/officeDocument/2006/relationships/image" Target="media/357f48b8a97fe73aec3a2f5f82e02d78ed9254cb.png"/><Relationship Id="rId16" Type="http://schemas.openxmlformats.org/officeDocument/2006/relationships/image" Target="media/8f039d134a01c7e0cc61304a9a59d069963cb781.png"/><Relationship Id="rId17" Type="http://schemas.openxmlformats.org/officeDocument/2006/relationships/image" Target="media/ab79ebaae165416bc0610211b42633c65256c348.png"/><Relationship Id="rId18" Type="http://schemas.openxmlformats.org/officeDocument/2006/relationships/image" Target="media/14c6b8ee1bac8947d813d1fd4e2bf92912c7f20d.png"/><Relationship Id="rId19" Type="http://schemas.openxmlformats.org/officeDocument/2006/relationships/image" Target="media/f809f0075c4e518f9b1eafe740f1096829f09e48.png"/><Relationship Id="rId20" Type="http://schemas.openxmlformats.org/officeDocument/2006/relationships/image" Target="media/b6e9ad19ee6e1c65f2929212ae27141dcd9ce040.png"/><Relationship Id="rId21" Type="http://schemas.openxmlformats.org/officeDocument/2006/relationships/image" Target="media/0bf3c30540964cb38eef4058d9fc05c9ddf77259.png"/><Relationship Id="rId22" Type="http://schemas.openxmlformats.org/officeDocument/2006/relationships/image" Target="media/c9ac8dbbd4fbaebfeb445409e4df09c7641a2ce5.png"/><Relationship Id="rId23" Type="http://schemas.openxmlformats.org/officeDocument/2006/relationships/image" Target="media/1d71cb56789de69f28832a1b3fe37cba01acd0d2.png"/><Relationship Id="rId24" Type="http://schemas.openxmlformats.org/officeDocument/2006/relationships/image" Target="media/a16369d1ae1c14c632c8dba603c51fb1faeb1b61.png"/><Relationship Id="rId25" Type="http://schemas.openxmlformats.org/officeDocument/2006/relationships/image" Target="media/97c356d76675b39dde00d695eb42867dbc4f45f9.png"/><Relationship Id="rId26" Type="http://schemas.openxmlformats.org/officeDocument/2006/relationships/image" Target="media/30e46b594f47dc346c681db7929adf676d87e74a.png"/><Relationship Id="rId27" Type="http://schemas.openxmlformats.org/officeDocument/2006/relationships/image" Target="media/11b8522d437953cd6e49f7b4526c1abe4c90132a.png"/><Relationship Id="rId28" Type="http://schemas.openxmlformats.org/officeDocument/2006/relationships/image" Target="media/fec45c77c54e3b41de9496b5d81f814e348462a3.png"/><Relationship Id="rId29" Type="http://schemas.openxmlformats.org/officeDocument/2006/relationships/image" Target="media/50fa3c4240ede2a694bdf6f547929b6f7220d0a7.png"/><Relationship Id="rId30" Type="http://schemas.openxmlformats.org/officeDocument/2006/relationships/image" Target="media/db8aff585321d497aa5e4d879ae834555ccfaad1.png"/><Relationship Id="rId31" Type="http://schemas.openxmlformats.org/officeDocument/2006/relationships/image" Target="media/7a8890f87dc330068656b044799ae6f0201a94fa.png"/><Relationship Id="rId32" Type="http://schemas.openxmlformats.org/officeDocument/2006/relationships/image" Target="media/7fcfd17f7bc8c26e1f4deb07c035f3c051c219c3.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MER-01  ·  Versión 2.1</dc:title>
  <dc:creator>Benjamín Delgado Bravo</dc:creator>
  <cp:lastModifiedBy>Un-named</cp:lastModifiedBy>
  <cp:revision>1</cp:revision>
  <dcterms:created xsi:type="dcterms:W3CDTF">2026-10-11T01:58:27.404Z</dcterms:created>
  <dcterms:modified xsi:type="dcterms:W3CDTF">2026-10-11T01:58:27.410Z</dcterms:modified>
</cp:coreProperties>
</file>

<file path=docProps/custom.xml><?xml version="1.0" encoding="utf-8"?>
<Properties xmlns="http://schemas.openxmlformats.org/officeDocument/2006/custom-properties" xmlns:vt="http://schemas.openxmlformats.org/officeDocument/2006/docPropsVTypes"/>
</file>