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jc w:val="center"/>
      </w:pPr>
      <w:r>
        <w:rPr>
          <w:b/>
          <w:bCs/>
          <w:color w:val="2E5496"/>
          <w:sz w:val="64"/>
          <w:szCs w:val="64"/>
        </w:rPr>
        <w:t xml:space="preserve">SITRAFO</w:t>
      </w:r>
    </w:p>
    <w:p>
      <w:pPr>
        <w:jc w:val="center"/>
      </w:pPr>
      <w:r>
        <w:rPr>
          <w:color w:val="44546A"/>
          <w:sz w:val="26"/>
          <w:szCs w:val="26"/>
        </w:rPr>
        <w:t xml:space="preserve">Sistema Integral de Gestión Comercial y Productiva</w:t>
      </w:r>
    </w:p>
    <w:p>
      <w:pPr>
        <w:spacing w:after="400"/>
        <w:jc w:val="center"/>
      </w:pPr>
      <w:r>
        <w:rPr>
          <w:color w:val="44546A"/>
          <w:sz w:val="26"/>
          <w:szCs w:val="26"/>
        </w:rPr>
        <w:t xml:space="preserve">para Fabricación de Transformadores Eléctricos</w:t>
      </w:r>
    </w:p>
    <w:p>
      <w:pPr>
        <w:jc w:val="center"/>
      </w:pPr>
      <w:r>
        <w:rPr>
          <w:b/>
          <w:bCs/>
          <w:sz w:val="32"/>
          <w:szCs w:val="32"/>
        </w:rPr>
        <w:t xml:space="preserve">MOCKUP DE INTERFACES</w:t>
      </w:r>
    </w:p>
    <w:p>
      <w:pPr>
        <w:spacing w:after="500"/>
        <w:jc w:val="center"/>
      </w:pPr>
      <w:r>
        <w:rPr>
          <w:color w:val="2E5496"/>
          <w:sz w:val="26"/>
          <w:szCs w:val="26"/>
        </w:rPr>
        <w:t xml:space="preserve">MOC-01  ·  Versión 1.1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Proyecto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SITRAFO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Documento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MOC-01 — Mockup de interfaces (alta fidelidad)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Documentos antecedentes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CU-01 v2.2; EVI-01 v1.3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Pantallas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17 del portal web, 23 de la aplicación de escritorio con 10 diálogos, y 2 correos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Asignatura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Capstone — Proyecto APT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Institución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Duoc UC, Sede Puente Alto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Líder de Proyecto / Product Owner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Benjamín Delgado Bravo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Scrum Master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Camila Olivares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Desarrollador / Calidad de Producto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Milko Soto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 de octubre de 2026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Tabla de contenidos</w:t>
      </w:r>
    </w:p>
    <w:sdt>
      <w:sdtPr>
        <w:alias w:val="Tabla de contenido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Propósito y alcance</w:t>
      </w:r>
    </w:p>
    <w:p>
      <w:pPr>
        <w:spacing w:after="120"/>
        <w:jc w:val="both"/>
      </w:pPr>
      <w:r>
        <w:t xml:space="preserve">Este documento presenta el mockup de alta fidelidad de SITRAFO: el diseño de cada pantalla de sus dos interfaces —el portal web del cliente y la aplicación de escritorio de los usuarios internos— y la navegación entre ellas. En la Fase 1 las interfaces quedaron definidas como «vistas asociadas» a cada caso de uso del CU-01; en la Fase 2 esas vistas se construyeron, por lo que el mockup se presenta directamente con las pantallas implementadas, en lugar de bocetos.</w:t>
      </w:r>
    </w:p>
    <w:p>
      <w:pPr>
        <w:spacing w:after="120"/>
        <w:jc w:val="both"/>
      </w:pPr>
      <w:r>
        <w:t xml:space="preserve">Cada pantalla indica el actor que la usa, su ruta o panel, los casos de uso que materializa (según el CU-01 v2.2) y sus elementos principales. Las capturas provienen de dos fuentes, indicadas en cada figura: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Fuente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Producción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 publicado en https://sitrafo.onrender.com y aplicación SITRAFO.exe conectada a él, con el flujo completo de un pedido (las mismas capturas del EVI-01), tomadas el 8 y 9 de octubre de 2026.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Demostración local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mismo código del repositorio ejecutado en un equipo de desarrollo con los datos de demostración del sistema (comandos cargar_demo y cargar_demo_produccion), para cubrir las pantallas que el flujo de producción no mostraba. La barra de estado de estas capturas indica el servidor local. Las pantallas y diálogos agregados en la versión 1.1 (bandeja de pendientes, familias, parámetros técnicos, bodegas, contactos, anulación de horas, aprobación del control de calidad y perfil del cliente) se capturaron así el 10 de octubre de 2026.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2. Lineamientos de diseño</w:t>
      </w:r>
    </w:p>
    <w:p>
      <w:pPr>
        <w:spacing w:after="120"/>
        <w:jc w:val="both"/>
      </w:pPr>
      <w:r>
        <w:t xml:space="preserve">Las dos interfaces tienen identidades visuales distintas porque atienden a públicos distintos: el portal está pensado para el cliente externo y la aplicación de escritorio para la operación diaria de la empresa.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760"/>
      </w:tblGrid>
      <w:tr>
        <w:trPr>
          <w:tblHeader/>
        </w:trPr>
        <w:tc>
          <w:tcPr>
            <w:tcW w:type="dxa" w:w="1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Aspecto</w:t>
            </w:r>
          </w:p>
        </w:tc>
        <w:tc>
          <w:tcPr>
            <w:tcW w:type="dxa" w:w="3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Portal web del cliente</w:t>
            </w:r>
          </w:p>
        </w:tc>
        <w:tc>
          <w:tcPr>
            <w:tcW w:type="dxa" w:w="37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Aplicación de escritorio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Tecnología</w:t>
            </w:r>
          </w:p>
        </w:tc>
        <w:tc>
          <w:tcPr>
            <w:tcW w:type="dxa" w:w="3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Plantillas Django con Bootstrap 5 y una hoja de estilos propia (static/css/sitrafo.css)</w:t>
            </w:r>
          </w:p>
        </w:tc>
        <w:tc>
          <w:tcPr>
            <w:tcW w:type="dxa" w:w="37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PySide6 (Qt) con una hoja de estilos central (escritorio/estilos.py)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Colores principales</w:t>
            </w:r>
          </w:p>
        </w:tc>
        <w:tc>
          <w:tcPr>
            <w:tcW w:type="dxa" w:w="3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Grafito #1B242B (barra superior y encabezados), cobre #8A4B24 (acciones principales), papel #EEF0EE (fondo)</w:t>
            </w:r>
          </w:p>
        </w:tc>
        <w:tc>
          <w:tcPr>
            <w:tcW w:type="dxa" w:w="37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Azul #1F3864 (menú lateral y encabezados de tabla), azul #2E5496 (botones), gris #F5F7FA (fondo)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Colores de estado</w:t>
            </w:r>
          </w:p>
        </w:tc>
        <w:tc>
          <w:tcPr>
            <w:tcW w:type="dxa" w:w="3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Conforme #2F6B4F, falla #8C2F39, tensión #E8B00A (alertas)</w:t>
            </w:r>
          </w:p>
        </w:tc>
        <w:tc>
          <w:tcPr>
            <w:tcW w:type="dxa" w:w="37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Verde para acciones de avance, rojo para anular o desestimar, filas rojas bajo el stock mínimo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Tipografía</w:t>
            </w:r>
          </w:p>
        </w:tc>
        <w:tc>
          <w:tcPr>
            <w:tcW w:type="dxa" w:w="3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Archivo (Google Fonts)</w:t>
            </w:r>
          </w:p>
        </w:tc>
        <w:tc>
          <w:tcPr>
            <w:tcW w:type="dxa" w:w="37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 del sistema operativo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Estructura</w:t>
            </w:r>
          </w:p>
        </w:tc>
        <w:tc>
          <w:tcPr>
            <w:tcW w:type="dxa" w:w="3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Barra superior con Catálogo, Solicitudes, Cotizaciones y Pedidos; contenido centrado en tarjetas con encabezado oscuro</w:t>
            </w:r>
          </w:p>
        </w:tc>
        <w:tc>
          <w:tcPr>
            <w:tcW w:type="dxa" w:w="37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Menú lateral según los permisos del rol; panel central con tabla maestra, detalle inferior y botones de acción al pie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Mensajes</w:t>
            </w:r>
          </w:p>
        </w:tc>
        <w:tc>
          <w:tcPr>
            <w:tcW w:type="dxa" w:w="3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Avisos en la parte superior de la página y confirmaciones del navegador antes de acciones irreversibles</w:t>
            </w:r>
          </w:p>
        </w:tc>
        <w:tc>
          <w:tcPr>
            <w:tcW w:type="dxa" w:w="37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Cuadros de diálogo de confirmación, de error con el motivo y de éxito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Criterios comunes: los montos se muestran en UF y en pesos con la UF congelada del documento; los estados se presentan con su nombre de negocio; los botones de acciones que el rol no puede ejecutar aparecen deshabilitados u ocultos; y toda acción irreversible —aceptar, anular, cerrar, emitir— pide confirmación.</w:t>
      </w:r>
    </w:p>
    <w:p>
      <w:pPr>
        <w:pStyle w:val="Heading1"/>
        <w:pageBreakBefore/>
      </w:pPr>
      <w:r>
        <w:t xml:space="preserve">3. Mapa de navegación</w:t>
      </w:r>
    </w:p>
    <w:p>
      <w:pPr>
        <w:pStyle w:val="Heading2"/>
      </w:pPr>
      <w:r>
        <w:t xml:space="preserve">3.1 Portal web del cliente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6400800"/>
            <wp:effectExtent t="0" r="0" b="0" l="0"/>
            <wp:docPr id="1" name="Figura 1. Mapa de navegación del portal web." descr="Figura 1. Mapa de navegación del portal web." title="Figura 1. Mapa de navegación del portal web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1. Mapa de navegación del portal web.</w:t>
      </w:r>
    </w:p>
    <w:p>
      <w:pPr>
        <w:spacing w:after="120"/>
        <w:jc w:val="both"/>
      </w:pPr>
      <w:r>
        <w:t xml:space="preserve">Las páginas, salvo acceso, registro, recuperación de contraseña y política de privacidad, exigen sesión iniciada. El cliente sólo ve los documentos de su empresa (RN-16).</w:t>
      </w:r>
    </w:p>
    <w:p>
      <w:pPr>
        <w:pStyle w:val="Heading2"/>
      </w:pPr>
      <w:r>
        <w:t xml:space="preserve">3.2 Aplicación de escritorio</w:t>
      </w:r>
    </w:p>
    <w:p>
      <w:pPr>
        <w:spacing w:after="120"/>
        <w:jc w:val="both"/>
      </w:pPr>
      <w:r>
        <w:t xml:space="preserve">Tras el ingreso, la ventana principal muestra en el menú lateral sólo los paneles que la matriz de permisos habilita para el rol. El operario de taller no tiene menú: entra directamente a la ventana Taller.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Paneles del menú (además de Inicio)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Catálogo, Clientes, Solicitudes, Órdenes de compra, Órdenes de trabajo, Empleados, No conformidades, Protocolos de calidad, Inventario, Proveedores, Canal web, Reportes, Integraciones, Avisos del sitio, Usuarios y roles, Matriz de permisos, Auditoría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Ejecutivo comercial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Catálogo, Clientes, Solicitudes, Cotizaciones, Órdenes de compra, Órdenes de trabajo, No conformidades, Canal web, Reportes, Avisos del sitio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Jefe de producción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Catálogo, Clientes, Solicitudes, Cotizaciones, Órdenes de compra, Órdenes de trabajo, Empleados, Control de calidad, No conformidades, Protocolos de calidad, Inventario, Proveedores, Reportes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Inspector de calidad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Catálogo, Órdenes de trabajo, Control de calidad, No conformidades, Protocolos de calidad, Reportes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Encargado de bodega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Órdenes de trabajo, Inventario, Proveedores, Reportes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Operario de taller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Sin menú: ventana Taller</w:t>
            </w:r>
          </w:p>
        </w:tc>
      </w:tr>
    </w:tbl>
    <w:p>
      <w:pPr>
        <w:spacing w:after="60"/>
      </w:pPr>
    </w:p>
    <w:p>
      <w:pPr>
        <w:spacing w:after="160" w:before="80"/>
      </w:pPr>
      <w:r>
        <w:rPr>
          <w:i/>
          <w:iCs/>
          <w:color w:val="44546A"/>
          <w:sz w:val="19"/>
          <w:szCs w:val="19"/>
        </w:rPr>
        <w:t xml:space="preserve">Menús obtenidos al ingresar con cada rol en la aplicación, con la matriz de permisos inicial del sistema.</w:t>
      </w:r>
    </w:p>
    <w:p>
      <w:pPr>
        <w:pStyle w:val="Heading1"/>
        <w:pageBreakBefore/>
      </w:pPr>
      <w:r>
        <w:t xml:space="preserve">4. Pantallas del portal web</w:t>
      </w:r>
    </w:p>
    <w:p>
      <w:pPr>
        <w:pStyle w:val="Heading3"/>
        <w:keepNext/>
      </w:pPr>
      <w:r>
        <w:t xml:space="preserve">W-01 — Acceso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057525"/>
            <wp:effectExtent t="0" r="0" b="0" l="0"/>
            <wp:docPr id="1" name="Figura 2. W-01 Acceso." descr="Figura 2. W-01 Acceso." title="Figura 2. W-01 Ac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2. W-01 Acceso.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/acceso/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CU-SEG-01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Producción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Nombre de acceso y contraseña, enlace de recuperación y enlace para crear una cuenta. Tras cinco intentos fallidos la cuenta se bloquea temporalmente.</w:t>
      </w:r>
    </w:p>
    <w:p>
      <w:pPr>
        <w:pStyle w:val="Heading3"/>
        <w:keepNext/>
      </w:pPr>
      <w:r>
        <w:t xml:space="preserve">W-02 — Crear cuenta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Figura 3. W-02 Crear cuenta." descr="Figura 3. W-02 Crear cuenta." title="Figura 3. W-02 Crear cuen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3. W-02 Crear cuenta.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/registro/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CU-CLI-05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Datos de la empresa (RUT con dígito verificador, razón social, tipo de persona, giro) y de acceso, con la aceptación obligatoria de la política de privacidad.</w:t>
      </w:r>
    </w:p>
    <w:p>
      <w:pPr>
        <w:pStyle w:val="Heading3"/>
        <w:keepNext/>
      </w:pPr>
      <w:r>
        <w:t xml:space="preserve">W-03 — Recuperar contraseña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391025" cy="2743200"/>
            <wp:effectExtent t="0" r="0" b="0" l="0"/>
            <wp:docPr id="1" name="Figura 4. W-03 Recuperar contraseña." descr="Figura 4. W-03 Recuperar contraseña." title="Figura 4. W-03 Recuperar contraseñ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4. W-03 Recuperar contraseña.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/clave/recuperar/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CU-SEG-04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El cliente indica su correo y recibe un enlace de un solo uso, válido por una hora.</w:t>
      </w:r>
    </w:p>
    <w:p>
      <w:pPr>
        <w:pStyle w:val="Heading3"/>
        <w:keepNext/>
      </w:pPr>
      <w:r>
        <w:t xml:space="preserve">W-04 — Inicio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Figura 5. W-04 Inicio." descr="Figura 5. W-04 Inicio." title="Figura 5. W-04 Inic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5. W-04 Inicio.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CU-COM-12, CU-OT-09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Línea de etapas del pedido (solicitud, cotización, orden de compra, fabricación, entrega) con la cantidad de documentos en cada una, accesos rápidos y las últimas cotizaciones.</w:t>
      </w:r>
    </w:p>
    <w:p>
      <w:pPr>
        <w:pStyle w:val="Heading3"/>
        <w:keepNext/>
      </w:pPr>
      <w:r>
        <w:t xml:space="preserve">W-05 — Catálogo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429250" cy="3933825"/>
            <wp:effectExtent t="0" r="0" b="0" l="0"/>
            <wp:docPr id="1" name="Figura 6. W-05 Catálogo." descr="Figura 6. W-05 Catálogo." title="Figura 6. W-05 Catálog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6. W-05 Catálogo.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/catalogo/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CU-CAT-07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Tarjetas de los modelos publicados con su especificación de referencia y precio base, búsqueda, filtro por familia y filtros por especificación técnica.</w:t>
      </w:r>
    </w:p>
    <w:p>
      <w:pPr>
        <w:pStyle w:val="Heading3"/>
        <w:keepNext/>
      </w:pPr>
      <w:r>
        <w:t xml:space="preserve">W-06 — Ficha del modelo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391025" cy="2743200"/>
            <wp:effectExtent t="0" r="0" b="0" l="0"/>
            <wp:docPr id="1" name="Figura 7. W-06 Ficha del modelo." descr="Figura 7. W-06 Ficha del modelo." title="Figura 7. W-06 Ficha del model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7. W-06 Ficha del modelo.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/catalogo/&lt;id&gt;/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CU-CAT-07, CU-CAT-08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Especificación completa del modelo, precio base referencial, botón para pedir un presupuesto con el modelo preseleccionado y descarga de la ficha técnica en PDF.</w:t>
      </w:r>
    </w:p>
    <w:p>
      <w:pPr>
        <w:pStyle w:val="Heading3"/>
        <w:keepNext/>
      </w:pPr>
      <w:r>
        <w:t xml:space="preserve">W-07 — Pedir un presupuesto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086100"/>
            <wp:effectExtent t="0" r="0" b="0" l="0"/>
            <wp:docPr id="1" name="Figura 8. W-07 Pedir un presupuesto." descr="Figura 8. W-07 Pedir un presupuesto." title="Figura 8. W-07 Pedir un presupues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8. W-07 Pedir un presupuesto.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/solicitar/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CU-COM-01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Producción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Bloque del pedido (modelo, unidades, fecha deseada, dirección de instalación) y bloque de especificación técnica generado con los parámetros registrados.</w:t>
      </w:r>
    </w:p>
    <w:p>
      <w:pPr>
        <w:pStyle w:val="Heading3"/>
        <w:keepNext/>
      </w:pPr>
      <w:r>
        <w:t xml:space="preserve">W-08 — Solicitudes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686300" cy="2924175"/>
            <wp:effectExtent t="0" r="0" b="0" l="0"/>
            <wp:docPr id="1" name="Figura 9. W-08 Solicitudes." descr="Figura 9. W-08 Solicitudes." title="Figura 9. W-08 Solicitu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9. W-08 Solicitudes.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/mis-solicitudes/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CU-COM-01, CU-COM-12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Tarjeta por solicitud con su número, estado, unidades, fecha deseada y especificación indicada.</w:t>
      </w:r>
    </w:p>
    <w:p>
      <w:pPr>
        <w:pStyle w:val="Heading3"/>
        <w:keepNext/>
      </w:pPr>
      <w:r>
        <w:t xml:space="preserve">W-09 — Cotizaciones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800475" cy="2381250"/>
            <wp:effectExtent t="0" r="0" b="0" l="0"/>
            <wp:docPr id="1" name="Figura 10. W-09 Cotizaciones." descr="Figura 10. W-09 Cotizaciones." title="Figura 10. W-09 Cotiza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10. W-09 Cotizaciones.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/mis-cotizaciones/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CU-COM-08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Listado con número y versión, fecha de emisión, total en UF y en pesos, vencimiento con días restantes y estado.</w:t>
      </w:r>
    </w:p>
    <w:p>
      <w:pPr>
        <w:pStyle w:val="Heading3"/>
        <w:keepNext/>
      </w:pPr>
      <w:r>
        <w:t xml:space="preserve">W-10 — Detalle de cotización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095625"/>
            <wp:effectExtent t="0" r="0" b="0" l="0"/>
            <wp:docPr id="1" name="Figura 11. W-10 Detalle de cotización." descr="Figura 11. W-10 Detalle de cotización." title="Figura 11. W-10 Detalle de cotiz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11. W-10 Detalle de cotización.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/cotizacion/&lt;id&gt;/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CU-COM-08, CU-COM-12, CU-COM-15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Producción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Líneas, total en UF y en pesos con la UF congelada, vencimiento, plazo, entrega comprometida, descuento, historial de estados y las acciones Aceptar o Rechazar, con confirmación previa.</w:t>
      </w:r>
    </w:p>
    <w:p>
      <w:pPr>
        <w:pStyle w:val="Heading3"/>
        <w:keepNext/>
      </w:pPr>
      <w:r>
        <w:t xml:space="preserve">W-11 — Pedidos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800475" cy="2381250"/>
            <wp:effectExtent t="0" r="0" b="0" l="0"/>
            <wp:docPr id="1" name="Figura 12. W-11 Pedidos." descr="Figura 12. W-11 Pedidos." title="Figura 12. W-11 Pedi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12. W-11 Pedidos.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/mis-pedidos/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CU-PAG-06, CU-OT-09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Cada orden de compra con su total, anticipo y saldo, y sus órdenes de trabajo con el porcentaje de avance y el enlace de seguimiento.</w:t>
      </w:r>
    </w:p>
    <w:p>
      <w:pPr>
        <w:pStyle w:val="Heading3"/>
        <w:keepNext/>
      </w:pPr>
      <w:r>
        <w:t xml:space="preserve">W-12 — Documento de cobro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105150"/>
            <wp:effectExtent t="0" r="0" b="0" l="0"/>
            <wp:docPr id="1" name="Figura 13. W-12 Documento de cobro." descr="Figura 13. W-12 Documento de cobro." title="Figura 13. W-12 Documento de cobr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13. W-12 Documento de cobro.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/cobro/&lt;id&gt;/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CU-PAG-02, CU-PAG-06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Producción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Monto en UF, UF aplicada, emisión y vencimiento, total en pesos fijado, monto en dólares con el dólar observado, intentos de pago y botón «Pagar con PayPal».</w:t>
      </w:r>
    </w:p>
    <w:p>
      <w:pPr>
        <w:pStyle w:val="Heading3"/>
        <w:keepNext/>
      </w:pPr>
      <w:r>
        <w:t xml:space="preserve">W-13 — Pago registrado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086100"/>
            <wp:effectExtent t="0" r="0" b="0" l="0"/>
            <wp:docPr id="1" name="Figura 14. W-13 Pago registrado." descr="Figura 14. W-13 Pago registrado." title="Figura 14. W-13 Pago registr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14. W-13 Pago registrado.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/cobro/&lt;id&gt;/ (retorno de PayPal)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CU-PAG-02, CU-PAG-03, CU-PAG-04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Producción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Mensaje de pago registrado, documento en estado Pagado e intento aprobado con la referencia de la transacción de PayPal.</w:t>
      </w:r>
    </w:p>
    <w:p>
      <w:pPr>
        <w:pStyle w:val="Heading3"/>
        <w:keepNext/>
      </w:pPr>
      <w:r>
        <w:t xml:space="preserve">W-14 — Seguimiento de fabricación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72050" cy="3105150"/>
            <wp:effectExtent t="0" r="0" b="0" l="0"/>
            <wp:docPr id="1" name="Figura 15. W-14 Seguimiento de fabricación." descr="Figura 15. W-14 Seguimiento de fabricación." title="Figura 15. W-14 Seguimiento de fabric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15. W-14 Seguimiento de fabricación.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/seguimiento/&lt;id&gt;/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CU-OT-09, CU-CAL-06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Avance de la orden de trabajo, estado, inicio, etapas con su término estimado e historial de estados.</w:t>
      </w:r>
    </w:p>
    <w:p>
      <w:pPr>
        <w:pStyle w:val="Heading3"/>
        <w:keepNext/>
      </w:pPr>
      <w:r>
        <w:t xml:space="preserve">W-15 — Mi cuenta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Figura 16. W-15 Mi cuenta." descr="Figura 16. W-15 Mi cuenta." title="Figura 16. W-15 Mi cuen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16. W-15 Mi cuenta.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/perfil/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CU-CLI-07, CU-CLI-03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Datos de acceso y de la empresa, con los botones Cambiar contraseña y Editar datos, y gestión de las direcciones de instalación (agregar, editar y eliminar).</w:t>
      </w:r>
    </w:p>
    <w:p>
      <w:pPr>
        <w:pStyle w:val="Heading3"/>
        <w:keepNext/>
      </w:pPr>
      <w:r>
        <w:t xml:space="preserve">W-16 — Datos de la empresa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2886075"/>
            <wp:effectExtent t="0" r="0" b="0" l="0"/>
            <wp:docPr id="1" name="Figura 17. W-16 Datos de la empresa." descr="Figura 17. W-16 Datos de la empresa." title="Figura 17. W-16 Datos de la empres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17. W-16 Datos de la empresa.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/perfil/empresa/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CU-CLI-07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Edición de razón social, nombre de fantasía, giro y correo de la cuenta. El RUT y el tipo de persona no se modifican desde el portal; el cambio queda en la bitácora de auditoría.</w:t>
      </w:r>
    </w:p>
    <w:p>
      <w:pPr>
        <w:pStyle w:val="Heading3"/>
        <w:keepNext/>
      </w:pPr>
      <w:r>
        <w:t xml:space="preserve">W-17 — Cambiar contraseña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igura 18. W-17 Cambiar contraseña." descr="Figura 18. W-17 Cambiar contraseña." title="Figura 18. W-17 Cambiar contraseñ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18. W-17 Cambiar contraseña.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/perfil/clave/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CU-CLI-07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Contraseña actual y la nueva dos veces, con un mínimo de 10 caracteres y mensajes de error en español. La sesión se mantiene abierta tras el cambio, que queda en la bitácora.</w:t>
      </w:r>
    </w:p>
    <w:p>
      <w:pPr>
        <w:pStyle w:val="Heading1"/>
        <w:pageBreakBefore/>
      </w:pPr>
      <w:r>
        <w:t xml:space="preserve">5. Pantallas de la aplicación de escritorio</w:t>
      </w:r>
    </w:p>
    <w:p>
      <w:pPr>
        <w:pStyle w:val="Heading3"/>
        <w:keepNext/>
      </w:pPr>
      <w:r>
        <w:t xml:space="preserve">E-01 — Ingreso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2400300" cy="2114550"/>
            <wp:effectExtent t="0" r="0" b="0" l="0"/>
            <wp:docPr id="1" name="Figura 19. E-01 Ingreso." descr="Figura 19. E-01 Ingreso." title="Figura 19. E-01 Ingr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19. E-01 Ingreso.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Usuarios internos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Ventana de acceso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CU-SEG-01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Usuario y contraseña, servidor al que se conecta la aplicación y botón para cambiarlo. Las cuentas de cliente web no pueden ingresar.</w:t>
      </w:r>
    </w:p>
    <w:p>
      <w:pPr>
        <w:pStyle w:val="Heading3"/>
        <w:keepNext/>
      </w:pPr>
      <w:r>
        <w:t xml:space="preserve">E-02 — Inicio y bandeja de pendientes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05225"/>
            <wp:effectExtent t="0" r="0" b="0" l="0"/>
            <wp:docPr id="1" name="Figura 20. E-02 Inicio y bandeja de pendientes." descr="Figura 20. E-02 Inicio y bandeja de pendientes." title="Figura 20. E-02 Inicio y bandeja de pendi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20. E-02 Inicio y bandeja de pendientes.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Usuarios internos (ejemplo: Jefe de producción)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Inicio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CU-REP-04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Menú lateral con los paneles del rol y la sesión activa. El inicio muestra «Mis pendientes»: lo que el rol debe atender según sus permisos y el estado de los documentos (por ejemplo, cerrar una orden liberada por calidad, aprobar una cotización o reponer un material). Los prioritarios se marcan en naranja, el menú muestra la cantidad —«Inicio (1)»— y «Ir al panel» abre la sección con el documento seleccionado. La lista se recalcula cada dos minutos.</w:t>
      </w:r>
    </w:p>
    <w:p>
      <w:pPr>
        <w:pStyle w:val="Heading3"/>
        <w:keepNext/>
      </w:pPr>
      <w:r>
        <w:t xml:space="preserve">E-03 — Catálogo de productos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05225"/>
            <wp:effectExtent t="0" r="0" b="0" l="0"/>
            <wp:docPr id="1" name="Figura 21. E-03 Catálogo de productos." descr="Figura 21. E-03 Catálogo de productos." title="Figura 21. E-03 Catálogo de produc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21. E-03 Catálogo de productos.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Administrador; Jefe de producción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Catálogo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CU-CAT-02 a CU-CAT-06, CU-ADM-06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Modelos con familia, precio y estado de publicación; botones Nuevo modelo, Editar, Materiales y tareas, Familias, Parámetros técnicos y Publicar o retirar.</w:t>
      </w:r>
    </w:p>
    <w:p>
      <w:pPr>
        <w:pStyle w:val="Heading3"/>
        <w:keepNext/>
      </w:pPr>
      <w:r>
        <w:t xml:space="preserve">E-03a — Familias de productos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657600" cy="2400300"/>
            <wp:effectExtent t="0" r="0" b="0" l="0"/>
            <wp:docPr id="1" name="Figura 22. E-03a Familias de productos." descr="Figura 22. E-03a Familias de productos." title="Figura 22. E-03a Familias de produc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22. E-03a Familias de productos.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Catálogo → Familias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CU-CAT-01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Alta y edición de familias. Una familia no se elimina: se desactiva, y sólo si ya no tiene modelos vigentes; puede reactivarse.</w:t>
      </w:r>
    </w:p>
    <w:p>
      <w:pPr>
        <w:pStyle w:val="Heading3"/>
        <w:keepNext/>
      </w:pPr>
      <w:r>
        <w:t xml:space="preserve">E-03b — Parámetros técnicos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143500" cy="2400300"/>
            <wp:effectExtent t="0" r="0" b="0" l="0"/>
            <wp:docPr id="1" name="Figura 23. E-03b Parámetros técnicos." descr="Figura 23. E-03b Parámetros técnicos." title="Figura 23. E-03b Parámetros técnic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23. E-03b Parámetros técnicos.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Catálogo → Parámetros técnicos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CU-CAT-03, CU-ADM-04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Campos de la especificación técnica que el cliente completa en la web, con su tipo, obligatoriedad, rango o valores y si están en uso. Un parámetro en uso no se elimina.</w:t>
      </w:r>
    </w:p>
    <w:p>
      <w:pPr>
        <w:pStyle w:val="Heading3"/>
        <w:keepNext/>
      </w:pPr>
      <w:r>
        <w:t xml:space="preserve">E-03c — Editar parámetro de lista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2971800" cy="3019425"/>
            <wp:effectExtent t="0" r="0" b="0" l="0"/>
            <wp:docPr id="1" name="Figura 24. E-03c Editar parámetro de lista." descr="Figura 24. E-03c Editar parámetro de lista." title="Figura 24. E-03c Editar parámetro de lis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24. E-03c Editar parámetro de lista.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Parámetros técnicos → Editar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CU-CAT-03, CU-ADM-04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Para un parámetro de lista se administran sus valores: agregar, retirar o restituir. La casilla «Lo fija el modelo de referencia» obliga a que el valor pedido coincida con el del modelo.</w:t>
      </w:r>
    </w:p>
    <w:p>
      <w:pPr>
        <w:pStyle w:val="Heading3"/>
        <w:keepNext/>
      </w:pPr>
      <w:r>
        <w:t xml:space="preserve">E-03d — Editar parámetro numérico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048000" cy="1676400"/>
            <wp:effectExtent t="0" r="0" b="0" l="0"/>
            <wp:docPr id="1" name="Figura 25. E-03d Editar parámetro numérico." descr="Figura 25. E-03d Editar parámetro numérico." title="Figura 25. E-03d Editar parámetro numéric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25. E-03d Editar parámetro numérico.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Parámetros técnicos → Editar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CU-CAT-03, CU-ADM-04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Para un parámetro numérico se define el rango aceptable (mínimo y máximo), que la web y la API validan al recibir una solicitud. El código no cambia y el tipo queda fijo si el parámetro ya está en uso.</w:t>
      </w:r>
    </w:p>
    <w:p>
      <w:pPr>
        <w:pStyle w:val="Heading3"/>
        <w:keepNext/>
      </w:pPr>
      <w:r>
        <w:t xml:space="preserve">E-04 — Clientes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05225"/>
            <wp:effectExtent t="0" r="0" b="0" l="0"/>
            <wp:docPr id="1" name="Figura 26. E-04 Clientes." descr="Figura 26. E-04 Clientes." title="Figura 26. E-04 Cli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26. E-04 Clientes.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Ejecutivo comercial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CU-CLI-01, CU-CLI-02, CU-CLI-06, CU-ADM-03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Búsqueda por RUT o razón social y acceso a la ficha e historial del cliente, con sus contactos, direcciones, documentos y cuentas web.</w:t>
      </w:r>
    </w:p>
    <w:p>
      <w:pPr>
        <w:pStyle w:val="Heading3"/>
        <w:keepNext/>
      </w:pPr>
      <w:r>
        <w:t xml:space="preserve">E-04a — Ficha del cliente: contactos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33950" cy="2743200"/>
            <wp:effectExtent t="0" r="0" b="0" l="0"/>
            <wp:docPr id="1" name="Figura 27. E-04a Ficha del cliente: contactos." descr="Figura 27. E-04a Ficha del cliente: contactos." title="Figura 27. E-04a Ficha del cliente: contac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27. E-04a Ficha del cliente: contactos.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Ejecutivo comercial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Clientes → Ficha e historial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CU-CLI-02, CU-CLI-03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Pestañas de contactos, direcciones, historial de documentos y cuentas web. Contactos y direcciones se agregan, editan y eliminan; si un registro ya está referenciado por un documento, el sistema impide eliminarlo.</w:t>
      </w:r>
    </w:p>
    <w:p>
      <w:pPr>
        <w:pStyle w:val="Heading3"/>
        <w:keepNext/>
      </w:pPr>
      <w:r>
        <w:t xml:space="preserve">E-04b — Editar contacto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2514600" cy="1323975"/>
            <wp:effectExtent t="0" r="0" b="0" l="0"/>
            <wp:docPr id="1" name="Figura 28. E-04b Editar contacto." descr="Figura 28. E-04b Editar contacto." title="Figura 28. E-04b Editar conta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28. E-04b Editar contacto.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Ejecutivo comercial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Ficha e historial → Contactos → Editar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CU-CLI-02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Nombre, cargo, correo y teléfono. Sólo un contacto es principal: al marcar uno, el anterior deja de serlo, y es el que recibe los correos del sistema.</w:t>
      </w:r>
    </w:p>
    <w:p>
      <w:pPr>
        <w:pStyle w:val="Heading3"/>
        <w:keepNext/>
      </w:pPr>
      <w:r>
        <w:t xml:space="preserve">E-05 — Solicitudes de presupuesto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200400"/>
            <wp:effectExtent t="0" r="0" b="0" l="0"/>
            <wp:docPr id="1" name="Figura 29. E-05 Solicitudes de presupuesto." descr="Figura 29. E-05 Solicitudes de presupuesto." title="Figura 29. E-05 Solicitudes de presupues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29. E-05 Solicitudes de presupuesto.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Ejecutivo comercial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Solicitudes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CU-COM-02, CU-COM-11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Producción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Bandeja de solicitudes con su estado, la especificación técnica de la seleccionada y las acciones Asignarme la solicitud, Elaborar cotización y Desestimar.</w:t>
      </w:r>
    </w:p>
    <w:p>
      <w:pPr>
        <w:pStyle w:val="Heading3"/>
        <w:keepNext/>
      </w:pPr>
      <w:r>
        <w:t xml:space="preserve">E-06 — Elaborar cotización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200400"/>
            <wp:effectExtent t="0" r="0" b="0" l="0"/>
            <wp:docPr id="1" name="Figura 30. E-06 Elaborar cotización." descr="Figura 30. E-06 Elaborar cotización." title="Figura 30. E-06 Elaborar cotiz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30. E-06 Elaborar cotización.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Ejecutivo comercial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Solicitudes → Elaborar cotización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CU-COM-03, CU-COM-04, CU-COM-05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Producción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Costo unitario estimado desglosado, margen, precio, descuento y plazo, con el total en UF y en pesos con la UF del día.</w:t>
      </w:r>
    </w:p>
    <w:p>
      <w:pPr>
        <w:pStyle w:val="Heading3"/>
        <w:keepNext/>
      </w:pPr>
      <w:r>
        <w:t xml:space="preserve">E-07 — Cotizaciones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209925"/>
            <wp:effectExtent t="0" r="0" b="0" l="0"/>
            <wp:docPr id="1" name="Figura 31. E-07 Cotizaciones." descr="Figura 31. E-07 Cotizaciones." title="Figura 31. E-07 Cotiza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31. E-07 Cotizaciones.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Ejecutivo comercial y aprobador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Cotizaciones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CU-COM-06, CU-COM-07, CU-COM-13 a CU-COM-15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Producción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Listado por estado, detalle de líneas e historial, datos congelados (UF, descuento, plazo, vencimiento) y botones que se habilitan según el estado y el usuario: el aprobador ve «Aprobar y emitir» y «Devolver al autor».</w:t>
      </w:r>
    </w:p>
    <w:p>
      <w:pPr>
        <w:pStyle w:val="Heading3"/>
        <w:keepNext/>
      </w:pPr>
      <w:r>
        <w:t xml:space="preserve">E-08 — Órdenes de compra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219450"/>
            <wp:effectExtent t="0" r="0" b="0" l="0"/>
            <wp:docPr id="1" name="Figura 32. E-08 Órdenes de compra." descr="Figura 32. E-08 Órdenes de compra." title="Figura 32. E-08 Órdenes de comp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32. E-08 Órdenes de compra.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Ejecutivo comercial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Órdenes de compra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CU-COM-10, CU-COM-11, CU-COM-16, CU-PAG-06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Producción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Órdenes con cotización de origen, total, estado del anticipo y del saldo, y las acciones Confirmar la orden, Anular y Registrar entrega.</w:t>
      </w:r>
    </w:p>
    <w:p>
      <w:pPr>
        <w:pStyle w:val="Heading3"/>
        <w:keepNext/>
      </w:pPr>
      <w:r>
        <w:t xml:space="preserve">E-09 — Órdenes de trabajo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200400"/>
            <wp:effectExtent t="0" r="0" b="0" l="0"/>
            <wp:docPr id="1" name="Figura 33. E-09 Órdenes de trabajo." descr="Figura 33. E-09 Órdenes de trabajo." title="Figura 33. E-09 Órdenes de trabaj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33. E-09 Órdenes de trabajo.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Jefe de producción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Órdenes de trabajo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CU-OT-02, CU-OT-03, CU-OT-07, CU-OT-08, CU-OT-11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Producción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Órdenes con avance y costo real contra estimado; tareas con responsable, horas y término estimado; panel «Costo y cierre» con lo pendiente para cerrar y acciones de planificación, registro, anulación de horas y cierre. «Cerrar la orden» sólo procede con la orden liberada por calidad.</w:t>
      </w:r>
    </w:p>
    <w:p>
      <w:pPr>
        <w:pStyle w:val="Heading3"/>
        <w:keepNext/>
      </w:pPr>
      <w:r>
        <w:t xml:space="preserve">E-09a — Registrar horas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2628900" cy="1019175"/>
            <wp:effectExtent t="0" r="0" b="0" l="0"/>
            <wp:docPr id="1" name="Figura 34. E-09a Registrar horas." descr="Figura 34. E-09a Registrar horas." title="Figura 34. E-09a Registrar hor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34. E-09a Registrar horas.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Jefe de producción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Órdenes de trabajo → Registrar horas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CU-OT-05, CU-OT-06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Empleado, horas y fecha trabajada. La fecha no puede ser futura ni anterior al inicio de la orden, y se controla el máximo de horas diarias por empleado (parámetro configurable).</w:t>
      </w:r>
    </w:p>
    <w:p>
      <w:pPr>
        <w:pStyle w:val="Heading3"/>
        <w:keepNext/>
      </w:pPr>
      <w:r>
        <w:t xml:space="preserve">E-09b — Anular horas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200400" cy="2057400"/>
            <wp:effectExtent t="0" r="0" b="0" l="0"/>
            <wp:docPr id="1" name="Figura 35. E-09b Anular horas." descr="Figura 35. E-09b Anular horas." title="Figura 35. E-09b Anular hor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35. E-09b Anular horas.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Jefe de producción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Órdenes de trabajo → Anular horas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CU-OT-05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Registros vigentes de la tarea y motivo obligatorio. El registro no se borra: queda anulado, deja de sumar al costo real y la anulación queda en la bitácora.</w:t>
      </w:r>
    </w:p>
    <w:p>
      <w:pPr>
        <w:pStyle w:val="Heading3"/>
        <w:keepNext/>
      </w:pPr>
      <w:r>
        <w:t xml:space="preserve">E-10 — Taller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190875"/>
            <wp:effectExtent t="0" r="0" b="0" l="0"/>
            <wp:docPr id="1" name="Figura 36. E-10 Taller." descr="Figura 36. E-10 Taller." title="Figura 36. E-10 Tall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36. E-10 Taller.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Operario de taller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Ventana Taller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CU-OT-04, CU-OT-05, CU-OT-11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Producción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Vista sin menú, con controles grandes: tareas propias, horas trabajadas hoy, material utilizado con bodega y cantidad, y el botón para marcar la tarea como terminada.</w:t>
      </w:r>
    </w:p>
    <w:p>
      <w:pPr>
        <w:pStyle w:val="Heading3"/>
        <w:keepNext/>
      </w:pPr>
      <w:r>
        <w:t xml:space="preserve">E-11 — Empleados y tarifas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05225"/>
            <wp:effectExtent t="0" r="0" b="0" l="0"/>
            <wp:docPr id="1" name="Figura 37. E-11 Empleados y tarifas." descr="Figura 37. E-11 Empleados y tarifas." title="Figura 37. E-11 Empleados y tarif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37. E-11 Empleados y tarifas.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Empleados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CU-OT-10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Empleados con cargo, tarifa vigente y usuario asociado; acciones Nuevo empleado, Editar y Tarifa.</w:t>
      </w:r>
    </w:p>
    <w:p>
      <w:pPr>
        <w:pStyle w:val="Heading3"/>
        <w:keepNext/>
      </w:pPr>
      <w:r>
        <w:t xml:space="preserve">E-12 — Control de calidad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200400"/>
            <wp:effectExtent t="0" r="0" b="0" l="0"/>
            <wp:docPr id="1" name="Figura 38. E-12 Control de calidad." descr="Figura 38. E-12 Control de calidad." title="Figura 38. E-12 Control de calid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38. E-12 Control de calidad.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Inspector de calidad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Control de calidad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CU-CAL-03, CU-CAL-04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Producción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Órdenes enviadas a calidad, ensayos del protocolo con rango aceptable, última medición y resultado calculado, y el registro de la medición con la severidad si no cumple.</w:t>
      </w:r>
    </w:p>
    <w:p>
      <w:pPr>
        <w:pStyle w:val="Heading3"/>
        <w:keepNext/>
      </w:pPr>
      <w:r>
        <w:t xml:space="preserve">E-12a — Aprobar y liberar la orden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648075"/>
            <wp:effectExtent t="0" r="0" b="0" l="0"/>
            <wp:docPr id="1" name="Figura 39. E-12a Aprobar y liberar la orden." descr="Figura 39. E-12a Aprobar y liberar la orden." title="Figura 39. E-12a Aprobar y liberar la ord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39. E-12a Aprobar y liberar la orden.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Inspector de calidad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Control de calidad → Aprobar y liberar la orden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CU-CAL-07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Con todos los ensayos obligatorios conformes, el inspector aprueba el control. La orden pasa a «Liberada por calidad», producción recibe el aviso por correo y el pendiente «Cerrar la orden» aparece en su inicio.</w:t>
      </w:r>
    </w:p>
    <w:p>
      <w:pPr>
        <w:pStyle w:val="Heading3"/>
        <w:keepNext/>
      </w:pPr>
      <w:r>
        <w:t xml:space="preserve">E-13 — No conformidades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200400"/>
            <wp:effectExtent t="0" r="0" b="0" l="0"/>
            <wp:docPr id="1" name="Figura 40. E-13 No conformidades." descr="Figura 40. E-13 No conformidades." title="Figura 40. E-13 No conformi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40. E-13 No conformidades.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Inspector de calidad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conformidades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CU-CAL-05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Producción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No conformidades abiertas o cerradas con su orden, ensayo, valor medido y severidad, y el cierre con acción correctiva.</w:t>
      </w:r>
    </w:p>
    <w:p>
      <w:pPr>
        <w:pStyle w:val="Heading3"/>
        <w:keepNext/>
      </w:pPr>
      <w:r>
        <w:t xml:space="preserve">E-14 — Protocolos de calidad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05225"/>
            <wp:effectExtent t="0" r="0" b="0" l="0"/>
            <wp:docPr id="1" name="Figura 41. E-14 Protocolos de calidad." descr="Figura 41. E-14 Protocolos de calidad." title="Figura 41. E-14 Protocolos de calid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41. E-14 Protocolos de calidad.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Inspector de calidad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Protocolos de calidad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CU-CAL-01, CU-CAL-02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Protocolos por modelo con versión, norma y cantidad de ensayos, y el detalle de los ensayos con su rango aceptable.</w:t>
      </w:r>
    </w:p>
    <w:p>
      <w:pPr>
        <w:pStyle w:val="Heading3"/>
        <w:keepNext/>
      </w:pPr>
      <w:r>
        <w:t xml:space="preserve">E-15 — Inventario y kardex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200400"/>
            <wp:effectExtent t="0" r="0" b="0" l="0"/>
            <wp:docPr id="1" name="Figura 42. E-15 Inventario y kardex." descr="Figura 42. E-15 Inventario y kardex." title="Figura 42. E-15 Inventario y kardex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42. E-15 Inventario y kardex.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Encargado de bodega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Inventario → Ver kardex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CU-INV-01, CU-INV-04, CU-INV-05, CU-INV-07 a CU-INV-09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Producción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Stock por material con costo promedio, alerta de mínimo y acciones de recepción, ajuste por conteo y devolución; el kardex muestra cada movimiento con su saldo, referencia y usuario.</w:t>
      </w:r>
    </w:p>
    <w:p>
      <w:pPr>
        <w:pStyle w:val="Heading3"/>
        <w:keepNext/>
      </w:pPr>
      <w:r>
        <w:t xml:space="preserve">E-15a — Bodegas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657600" cy="2400300"/>
            <wp:effectExtent t="0" r="0" b="0" l="0"/>
            <wp:docPr id="1" name="Figura 43. E-15a Bodegas." descr="Figura 43. E-15a Bodegas." title="Figura 43. E-15a Bodeg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43. E-15a Bodegas.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Encargado de bodega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Inventario → Bodegas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CU-INV-03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Alta y edición de bodegas (el código no cambia). Una bodega sólo se desactiva cuando ya no tiene stock, y puede reactivarse.</w:t>
      </w:r>
    </w:p>
    <w:p>
      <w:pPr>
        <w:pStyle w:val="Heading3"/>
        <w:keepNext/>
      </w:pPr>
      <w:r>
        <w:t xml:space="preserve">E-16 — Proveedores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05225"/>
            <wp:effectExtent t="0" r="0" b="0" l="0"/>
            <wp:docPr id="1" name="Figura 44. E-16 Proveedores." descr="Figura 44. E-16 Proveedores." title="Figura 44. E-16 Proveed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44. E-16 Proveedores.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Encargado de bodega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Proveedores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CU-INV-02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Proveedores con RUT, razón social y contacto; acciones Nuevo proveedor y Editar.</w:t>
      </w:r>
    </w:p>
    <w:p>
      <w:pPr>
        <w:pStyle w:val="Heading3"/>
        <w:keepNext/>
      </w:pPr>
      <w:r>
        <w:t xml:space="preserve">E-17 — Canal web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05225"/>
            <wp:effectExtent t="0" r="0" b="0" l="0"/>
            <wp:docPr id="1" name="Figura 45. E-17 Canal web." descr="Figura 45. E-17 Canal web." title="Figura 45. E-17 Canal web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45. E-17 Canal web.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Canal web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CU-ADM-01, CU-ADM-02, CU-ADM-08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Interruptores de modo mantención, pago en línea y registro de nuevos clientes, texto del aviso de mantención y tabla de parámetros comerciales y productivos. «Cambiar valor» edita un parámetro validando su rango permitido; el cambio rige desde la siguiente operación y queda en la bitácora.</w:t>
      </w:r>
    </w:p>
    <w:p>
      <w:pPr>
        <w:pStyle w:val="Heading3"/>
        <w:keepNext/>
      </w:pPr>
      <w:r>
        <w:t xml:space="preserve">E-18 — Reportes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200400"/>
            <wp:effectExtent t="0" r="0" b="0" l="0"/>
            <wp:docPr id="1" name="Figura 46. E-18 Reportes." descr="Figura 46. E-18 Reportes." title="Figura 46. E-18 Repor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46. E-18 Reportes.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Administrador, Ejecutivo comercial, Jefe de producción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Reportes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CU-REP-01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Producción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Selector de reporte y período, tabla de resultados y exportación a Excel y PDF.</w:t>
      </w:r>
    </w:p>
    <w:p>
      <w:pPr>
        <w:pStyle w:val="Heading3"/>
        <w:keepNext/>
      </w:pPr>
      <w:r>
        <w:t xml:space="preserve">E-19 — Integraciones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05225"/>
            <wp:effectExtent t="0" r="0" b="0" l="0"/>
            <wp:docPr id="1" name="Figura 47. E-19 Integraciones." descr="Figura 47. E-19 Integraciones." title="Figura 47. E-19 Integra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47. E-19 Integraciones.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Integraciones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CU-REP-02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Registro de las llamadas a servicios externos con servicio, recurso, código, latencia y resultado, filtrable por fallidas o exitosas.</w:t>
      </w:r>
    </w:p>
    <w:p>
      <w:pPr>
        <w:pStyle w:val="Heading3"/>
        <w:keepNext/>
      </w:pPr>
      <w:r>
        <w:t xml:space="preserve">E-20 — Avisos del sitio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05225"/>
            <wp:effectExtent t="0" r="0" b="0" l="0"/>
            <wp:docPr id="1" name="Figura 48. E-20 Avisos del sitio." descr="Figura 48. E-20 Avisos del sitio." title="Figura 48. E-20 Avisos del sit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48. E-20 Avisos del sitio.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Avisos del sitio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CU-ADM-05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Avisos con tipo y ventana de publicación; acciones Nuevo aviso y Retirar aviso.</w:t>
      </w:r>
    </w:p>
    <w:p>
      <w:pPr>
        <w:pStyle w:val="Heading3"/>
        <w:keepNext/>
      </w:pPr>
      <w:r>
        <w:t xml:space="preserve">E-21 — Usuarios y roles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05225"/>
            <wp:effectExtent t="0" r="0" b="0" l="0"/>
            <wp:docPr id="1" name="Figura 49. E-21 Usuarios y roles." descr="Figura 49. E-21 Usuarios y roles." title="Figura 49. E-21 Usuarios y rol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49. E-21 Usuarios y roles.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Usuarios y roles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CU-SEG-02, CU-SEG-04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Usuarios con correo, roles, empleado asociado, estado y último acceso; acciones Nuevo usuario, Editar, Suspender o reactivar y Restablecer clave.</w:t>
      </w:r>
    </w:p>
    <w:p>
      <w:pPr>
        <w:pStyle w:val="Heading3"/>
        <w:keepNext/>
      </w:pPr>
      <w:r>
        <w:t xml:space="preserve">E-22 — Matriz de permisos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05225"/>
            <wp:effectExtent t="0" r="0" b="0" l="0"/>
            <wp:docPr id="1" name="Figura 50. E-22 Matriz de permisos." descr="Figura 50. E-22 Matriz de permisos." title="Figura 50. E-22 Matriz de permis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50. E-22 Matriz de permisos.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Matriz de permisos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CU-SEG-03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Demostración local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Casillas por módulo y operación (leer, crear, actualizar, anular y operaciones especiales) para el rol seleccionado.</w:t>
      </w:r>
    </w:p>
    <w:p>
      <w:pPr>
        <w:pStyle w:val="Heading3"/>
        <w:keepNext/>
      </w:pPr>
      <w:r>
        <w:t xml:space="preserve">E-23 — Bitácora de auditoría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200400"/>
            <wp:effectExtent t="0" r="0" b="0" l="0"/>
            <wp:docPr id="1" name="Figura 51. E-23 Bitácora de auditoría." descr="Figura 51. E-23 Bitácora de auditoría." title="Figura 51. E-23 Bitácora de auditor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51. E-23 Bitácora de auditoría.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Ruta o panel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Auditoría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CU-SEG-05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Fuente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Producción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Registros de solo lectura con fecha, usuario, acción, entidad y origen, con filtros por usuario, acción, entidad y fechas.</w:t>
      </w:r>
    </w:p>
    <w:p>
      <w:pPr>
        <w:pStyle w:val="Heading1"/>
        <w:pageBreakBefore/>
      </w:pPr>
      <w:r>
        <w:t xml:space="preserve">6. Correos al cliente</w:t>
      </w:r>
    </w:p>
    <w:p>
      <w:pPr>
        <w:spacing w:after="120"/>
        <w:jc w:val="both"/>
      </w:pPr>
      <w:r>
        <w:t xml:space="preserve">Los correos comparten una plantilla con encabezado SITRAFO, el resumen del documento y un botón que lleva al portal.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086100"/>
            <wp:effectExtent t="0" r="0" b="0" l="0"/>
            <wp:docPr id="1" name="Figura 52. C-01 Cotización disponible, con el PDF adjunto (CU-COM-07). Fuente: producción." descr="Figura 52. C-01 Cotización disponible, con el PDF adjunto (CU-COM-07). Fuente: producción." title="Figura 52. C-01 Cotización disponible, con el PDF adjunto (CU-COM-07). Fuente: produc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52. C-01 Cotización disponible, con el PDF adjunto (CU-COM-07). Fuente: producción.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076575"/>
            <wp:effectExtent t="0" r="0" b="0" l="0"/>
            <wp:docPr id="1" name="Figura 53. C-02 Pedido listo con el cobro del saldo (CU-OT-08, CU-PAG-01). Fuente: producción." descr="Figura 53. C-02 Pedido listo con el cobro del saldo (CU-OT-08, CU-PAG-01). Fuente: producción." title="Figura 53. C-02 Pedido listo con el cobro del saldo (CU-OT-08, CU-PAG-01). Fuente: produc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53. C-02 Pedido listo con el cobro del saldo (CU-OT-08, CU-PAG-01). Fuente: producción.</w:t>
      </w:r>
    </w:p>
    <w:p>
      <w:pPr>
        <w:pStyle w:val="Heading1"/>
        <w:pageBreakBefore/>
      </w:pPr>
      <w:r>
        <w:t xml:space="preserve">7. Control de versiones del documento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2300"/>
        <w:gridCol w:w="4560"/>
      </w:tblGrid>
      <w:tr>
        <w:trPr>
          <w:tblHeader/>
        </w:trPr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1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</w:t>
            </w:r>
          </w:p>
        </w:tc>
        <w:tc>
          <w:tcPr>
            <w:tcW w:type="dxa" w:w="4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09-10-2026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Benjamín Delgado Bravo</w:t>
            </w:r>
          </w:p>
        </w:tc>
        <w:tc>
          <w:tcPr>
            <w:tcW w:type="dxa" w:w="4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inicial: mockup de alta fidelidad con las pantallas implementadas del portal web y de la aplicación de escritorio.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dxa" w:w="1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10-10-2026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Benjamín Delgado Bravo</w:t>
            </w:r>
          </w:p>
        </w:tc>
        <w:tc>
          <w:tcPr>
            <w:tcW w:type="dxa" w:w="4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Inicio con la bandeja de pendientes; diálogos de familias, parámetros técnicos, contactos, bodegas, registro y anulación de horas, y aprobación del control de calidad; Canal web con «Cambiar valor»; perfil del cliente con edición de datos y cambio de contraseña. Capturas locales del escritorio renovadas.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2"/>
      </w:pBdr>
    </w:pPr>
    <w:r>
      <w:rPr>
        <w:color w:val="44546A"/>
        <w:sz w:val="16"/>
        <w:szCs w:val="16"/>
      </w:rPr>
      <w:t xml:space="preserve">SITRAFO · MOC-01 Mockup de Interfaces ·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2E549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28fd62f11bd98adb1fb76c084d02fb1f5cea0b3.png"/><Relationship Id="rId10" Type="http://schemas.openxmlformats.org/officeDocument/2006/relationships/image" Target="media/4e0b17f18ddf906ce7f5004212d4fb54f0d103ab.png"/><Relationship Id="rId11" Type="http://schemas.openxmlformats.org/officeDocument/2006/relationships/image" Target="media/494764d5a34d47fa408b5252735f65fd45e4e1fd.png"/><Relationship Id="rId12" Type="http://schemas.openxmlformats.org/officeDocument/2006/relationships/image" Target="media/81c14ea20d807e547356ecf186eca7111d87b13f.png"/><Relationship Id="rId13" Type="http://schemas.openxmlformats.org/officeDocument/2006/relationships/image" Target="media/e045c8989db80a74f57a535a3ba76b2ee3a2e368.png"/><Relationship Id="rId14" Type="http://schemas.openxmlformats.org/officeDocument/2006/relationships/image" Target="media/9445feaf984200dbedc5579181981746114d6737.png"/><Relationship Id="rId15" Type="http://schemas.openxmlformats.org/officeDocument/2006/relationships/image" Target="media/78d515c93617c84ff304964a3695f1bb181fbd24.png"/><Relationship Id="rId16" Type="http://schemas.openxmlformats.org/officeDocument/2006/relationships/image" Target="media/1365e8326aff18d3f1df219071e5af1d5de71c60.png"/><Relationship Id="rId17" Type="http://schemas.openxmlformats.org/officeDocument/2006/relationships/image" Target="media/be121dae295ad44b9df9d56a6daaaf67cdea87b6.png"/><Relationship Id="rId18" Type="http://schemas.openxmlformats.org/officeDocument/2006/relationships/image" Target="media/8e772bd509a71dc865c39c815effb0080f64840b.png"/><Relationship Id="rId19" Type="http://schemas.openxmlformats.org/officeDocument/2006/relationships/image" Target="media/c31561ddefedab80a88faf7dba77ea796557de2f.png"/><Relationship Id="rId20" Type="http://schemas.openxmlformats.org/officeDocument/2006/relationships/image" Target="media/9e8885954e51e729bdf96f4c557747b890c7bfd5.png"/><Relationship Id="rId21" Type="http://schemas.openxmlformats.org/officeDocument/2006/relationships/image" Target="media/203772cbc7a8b0f561196e15f23e5ea9bb853ed3.png"/><Relationship Id="rId22" Type="http://schemas.openxmlformats.org/officeDocument/2006/relationships/image" Target="media/0a0761ab7763d464d3574df47ef779fe1c675643.png"/><Relationship Id="rId23" Type="http://schemas.openxmlformats.org/officeDocument/2006/relationships/image" Target="media/424472e2caf798189eabf24ddb24fd9722ef7984.png"/><Relationship Id="rId24" Type="http://schemas.openxmlformats.org/officeDocument/2006/relationships/image" Target="media/5123ba07b477127465d577da95a7467d9354c889.png"/><Relationship Id="rId25" Type="http://schemas.openxmlformats.org/officeDocument/2006/relationships/image" Target="media/f53d481df05f426dce44c71958ecff5d1e2b824c.png"/><Relationship Id="rId26" Type="http://schemas.openxmlformats.org/officeDocument/2006/relationships/image" Target="media/b1d9e201ae2b59e0f9e633a9c1472a16ce458e82.png"/><Relationship Id="rId27" Type="http://schemas.openxmlformats.org/officeDocument/2006/relationships/image" Target="media/f561da6997cd0ffe9ad20d3140e5133ce59f7ab6.png"/><Relationship Id="rId28" Type="http://schemas.openxmlformats.org/officeDocument/2006/relationships/image" Target="media/9ff0c4b8e537bc9069c55ca2ffa332183a7c9f97.png"/><Relationship Id="rId29" Type="http://schemas.openxmlformats.org/officeDocument/2006/relationships/image" Target="media/1c61f219779bc32f17eb7372778f230e1ea2d9bd.png"/><Relationship Id="rId30" Type="http://schemas.openxmlformats.org/officeDocument/2006/relationships/image" Target="media/8e2f2124771f2acb68df5e4920fe94b028d19ce7.png"/><Relationship Id="rId31" Type="http://schemas.openxmlformats.org/officeDocument/2006/relationships/image" Target="media/03cb77988609191eb2953d1c4da9db018dc2318a.png"/><Relationship Id="rId32" Type="http://schemas.openxmlformats.org/officeDocument/2006/relationships/image" Target="media/b20ee6e130ef08c3dbfb96913286ee6c046b52f6.png"/><Relationship Id="rId33" Type="http://schemas.openxmlformats.org/officeDocument/2006/relationships/image" Target="media/414257d45c7cf0a7f95a273dd026b978ee5c09e8.png"/><Relationship Id="rId34" Type="http://schemas.openxmlformats.org/officeDocument/2006/relationships/image" Target="media/584514f7ae47b4f2726637ac85d36ca3ff7614ed.png"/><Relationship Id="rId35" Type="http://schemas.openxmlformats.org/officeDocument/2006/relationships/image" Target="media/257f79d62e9c0e058e283a7e4a792b97b09360ea.png"/><Relationship Id="rId36" Type="http://schemas.openxmlformats.org/officeDocument/2006/relationships/image" Target="media/81ce6197671b04188e27023b5fabd384c1cd10db.png"/><Relationship Id="rId37" Type="http://schemas.openxmlformats.org/officeDocument/2006/relationships/image" Target="media/b205c3ab1799761b588eba3eccc9ce12e7577ad4.png"/><Relationship Id="rId38" Type="http://schemas.openxmlformats.org/officeDocument/2006/relationships/image" Target="media/627a06f8fabec4822b0acc4802a85978d056e5d8.png"/><Relationship Id="rId39" Type="http://schemas.openxmlformats.org/officeDocument/2006/relationships/image" Target="media/4031976a7095edab09548c60ae2abd9864c4c649.png"/><Relationship Id="rId40" Type="http://schemas.openxmlformats.org/officeDocument/2006/relationships/image" Target="media/2f021655c38f7c52e1e886ea232af612c084ac31.png"/><Relationship Id="rId41" Type="http://schemas.openxmlformats.org/officeDocument/2006/relationships/image" Target="media/c2537efdd63e3711b3d9ac22e6203bafd4ebdd43.png"/><Relationship Id="rId42" Type="http://schemas.openxmlformats.org/officeDocument/2006/relationships/image" Target="media/ba9ee81371f32e91bcb6806db8d7cbfea38a2d6f.png"/><Relationship Id="rId43" Type="http://schemas.openxmlformats.org/officeDocument/2006/relationships/image" Target="media/938b6ff72939db6c9ce83f772ef37202b63c8ca6.png"/><Relationship Id="rId44" Type="http://schemas.openxmlformats.org/officeDocument/2006/relationships/image" Target="media/f50b08bc14b51d04ea857b6da236f9d4befd7306.png"/><Relationship Id="rId45" Type="http://schemas.openxmlformats.org/officeDocument/2006/relationships/image" Target="media/06363c229eba5b6c1ccf439248518fe934e55400.png"/><Relationship Id="rId46" Type="http://schemas.openxmlformats.org/officeDocument/2006/relationships/image" Target="media/cb361d9aab24020b75a7f15656c247dff89fac38.png"/><Relationship Id="rId47" Type="http://schemas.openxmlformats.org/officeDocument/2006/relationships/image" Target="media/3fdb2624333cbf6fe51d229951389581091e9f39.png"/><Relationship Id="rId48" Type="http://schemas.openxmlformats.org/officeDocument/2006/relationships/image" Target="media/549fb2c491070b07cf14638425422b165933147d.png"/><Relationship Id="rId49" Type="http://schemas.openxmlformats.org/officeDocument/2006/relationships/image" Target="media/34a544592a55a1fd4fc3e17d2cd0b74197414324.png"/><Relationship Id="rId50" Type="http://schemas.openxmlformats.org/officeDocument/2006/relationships/image" Target="media/1fa0b4450fc60da535c6582ee1397eaa8e1374ba.png"/><Relationship Id="rId51" Type="http://schemas.openxmlformats.org/officeDocument/2006/relationships/image" Target="media/17deaf203e1654dfe00d289feb740457f3a9e2fc.png"/><Relationship Id="rId52" Type="http://schemas.openxmlformats.org/officeDocument/2006/relationships/image" Target="media/0add577391b451f422b52876293170148e4490c3.png"/><Relationship Id="rId53" Type="http://schemas.openxmlformats.org/officeDocument/2006/relationships/image" Target="media/ae21558906b53a1199df25b2c3e017ade8ece244.png"/><Relationship Id="rId54" Type="http://schemas.openxmlformats.org/officeDocument/2006/relationships/image" Target="media/43b19f85c2ea45a4a66238a4fe0148c263a38c0b.png"/><Relationship Id="rId55" Type="http://schemas.openxmlformats.org/officeDocument/2006/relationships/image" Target="media/5bcefe54f1b7fa5becc5e6b4ebae2525ef5729e8.png"/><Relationship Id="rId56" Type="http://schemas.openxmlformats.org/officeDocument/2006/relationships/image" Target="media/8e426efa105abc88d2d03570a6c512aa0f571234.png"/><Relationship Id="rId57" Type="http://schemas.openxmlformats.org/officeDocument/2006/relationships/image" Target="media/95d51c1efc0933296b53a277086c91658e16d88b.png"/><Relationship Id="rId58" Type="http://schemas.openxmlformats.org/officeDocument/2006/relationships/image" Target="media/5b0249c5f929dbbbb8bc790cc87a7f396ccb253b.png"/><Relationship Id="rId59" Type="http://schemas.openxmlformats.org/officeDocument/2006/relationships/image" Target="media/b798b9a92e6e00a302a45d9db6ec990176f436e4.png"/><Relationship Id="rId60" Type="http://schemas.openxmlformats.org/officeDocument/2006/relationships/image" Target="media/8fd734721673df2437396ee915da9536b2d97658.png"/><Relationship Id="rId61" Type="http://schemas.openxmlformats.org/officeDocument/2006/relationships/image" Target="media/68fe06745d76b03c1089642a6d6ae164be827d49.png"/><Relationship Id="rId6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MOC-01  ·  Versión 1.1</dc:title>
  <dc:creator>Benjamín Delgado Bravo</dc:creator>
  <cp:lastModifiedBy>Un-named</cp:lastModifiedBy>
  <cp:revision>1</cp:revision>
  <dcterms:created xsi:type="dcterms:W3CDTF">2026-10-11T02:11:43.827Z</dcterms:created>
  <dcterms:modified xsi:type="dcterms:W3CDTF">2026-10-11T02:11:43.827Z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