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120"/>
        <w:jc w:val="center"/>
        <w:rPr/>
      </w:pPr>
      <w:r>
        <w:rPr>
          <w:rFonts w:eastAsia="Calibri" w:cs="Calibri"/>
          <w:b/>
          <w:bCs/>
          <w:color w:val="1F3864"/>
          <w:sz w:val="56"/>
          <w:szCs w:val="56"/>
        </w:rPr>
        <w:t>SITRAFO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/>
          <w:sz w:val="24"/>
          <w:szCs w:val="24"/>
        </w:rPr>
        <w:t>Sistema Integral de Gestión Comercial y Productiva para Fabricación de Transformadores Eléctricos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/>
          <w:b/>
          <w:bCs/>
          <w:color w:val="1F3864"/>
          <w:sz w:val="32"/>
          <w:szCs w:val="32"/>
        </w:rPr>
        <w:t>INFORME DE VERIFICACIÓN DE CALIDAD DEL PRODUCTO</w:t>
      </w:r>
    </w:p>
    <w:p>
      <w:pPr>
        <w:pStyle w:val="Normal"/>
        <w:spacing w:before="0" w:after="800"/>
        <w:jc w:val="center"/>
        <w:rPr/>
      </w:pPr>
      <w:r>
        <w:rPr>
          <w:rFonts w:eastAsia="Calibri" w:cs="Calibri"/>
          <w:sz w:val="22"/>
          <w:szCs w:val="22"/>
        </w:rPr>
        <w:t>Seguridad (OWASP ZAP) · Prueba de carga · Pruebas de interfaz (Selenium)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/>
          <w:b/>
          <w:bCs/>
          <w:sz w:val="24"/>
          <w:szCs w:val="24"/>
        </w:rPr>
        <w:t>QA-01  ·  Versión 1.0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7"/>
        <w:gridCol w:w="6318"/>
      </w:tblGrid>
      <w:tr>
        <w:trPr>
          <w:tblHeader w:val="true"/>
        </w:trPr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Detalle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Proyecto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SITRAFO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Documento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QA-01 — Informe de verificación de calidad del producto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Asignatura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Capstone — Proyecto APT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Institución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Duoc UC, Sede Puente Alto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Responsable de la ejecución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Benjamín Delgado Bravo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Ítems del sprint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SC-01 Verificación de seguridad · SC-02 Prueba de carga · SC-03 Pruebas automatizadas de interfaz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Requisitos verificados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RNF-03 (seguridad), RNF-06 y RNF-07 (rendimiento y concurrencia), flujo del portal del cliente (HU-01 a HU-06, HU-11)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Versión del sistema probada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Repositorio benjamindelgado-dev/SITRAFO, rama main (commit 416fb86). Último cambio en el código de la aplicación: 2113c62, 10-10-2026.</w:t>
            </w:r>
          </w:p>
        </w:tc>
      </w:tr>
      <w:tr>
        <w:trPr/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Fecha de ejecución</w:t>
            </w:r>
          </w:p>
        </w:tc>
        <w:tc>
          <w:tcPr>
            <w:tcW w:w="63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14-10-2026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Tabla de contenidos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882_2004347065">
            <w:r>
              <w:rPr>
                <w:rStyle w:val="IndexLink"/>
              </w:rPr>
              <w:t>1. Resumen de resultados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84_2004347065">
            <w:r>
              <w:rPr>
                <w:rStyle w:val="IndexLink"/>
              </w:rPr>
              <w:t>2. Ambiente de prueba</w:t>
              <w:tab/>
              <w:t>3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86_2004347065">
            <w:r>
              <w:rPr>
                <w:rStyle w:val="IndexLink"/>
              </w:rPr>
              <w:t>2.1 Limitaciones</w:t>
              <w:tab/>
              <w:t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88_2004347065">
            <w:r>
              <w:rPr>
                <w:rStyle w:val="IndexLink"/>
              </w:rPr>
              <w:t>3. Análisis de seguridad con OWASP ZAP (SC-01)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90_2004347065">
            <w:r>
              <w:rPr>
                <w:rStyle w:val="IndexLink"/>
              </w:rPr>
              <w:t>3.1 Método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92_2004347065">
            <w:r>
              <w:rPr>
                <w:rStyle w:val="IndexLink"/>
              </w:rPr>
              <w:t>3.2 Alertas obtenidas</w:t>
              <w:tab/>
              <w:t>4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94_2004347065">
            <w:r>
              <w:rPr>
                <w:rStyle w:val="IndexLink"/>
              </w:rPr>
              <w:t>3.3 Errores del servidor detectados durante el análisis activo</w:t>
              <w:tab/>
              <w:t>5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896_2004347065">
            <w:r>
              <w:rPr>
                <w:rStyle w:val="IndexLink"/>
              </w:rPr>
              <w:t>3.4 Evaluación según el criterio del repositorio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898_2004347065">
            <w:r>
              <w:rPr>
                <w:rStyle w:val="IndexLink"/>
              </w:rPr>
              <w:t>4. Prueba de carga (SC-02)</w:t>
              <w:tab/>
              <w:t>5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00_2004347065">
            <w:r>
              <w:rPr>
                <w:rStyle w:val="IndexLink"/>
              </w:rPr>
              <w:t>5. Pruebas automatizadas de interfaz con Selenium (SC-03)</w:t>
              <w:tab/>
              <w:t>6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02_2004347065">
            <w:r>
              <w:rPr>
                <w:rStyle w:val="IndexLink"/>
              </w:rPr>
              <w:t>5.1 Evidencias</w:t>
              <w:tab/>
              <w:t>7</w:t>
            </w:r>
          </w:hyperlink>
        </w:p>
        <w:p>
          <w:pPr>
            <w:pStyle w:val="TOC2"/>
            <w:tabs>
              <w:tab w:val="clear" w:pos="8743"/>
              <w:tab w:val="right" w:pos="9025" w:leader="dot"/>
            </w:tabs>
            <w:rPr/>
          </w:pPr>
          <w:hyperlink w:anchor="__RefHeading___Toc904_2004347065">
            <w:r>
              <w:rPr>
                <w:rStyle w:val="IndexLink"/>
              </w:rPr>
              <w:t>5.2 Cómo repetir las pruebas</w:t>
              <w:tab/>
              <w:t>11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06_2004347065">
            <w:r>
              <w:rPr>
                <w:rStyle w:val="IndexLink"/>
              </w:rPr>
              <w:t>6. Hallazgos y acciones correctivas</w:t>
              <w:tab/>
              <w:t>11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08_2004347065">
            <w:r>
              <w:rPr>
                <w:rStyle w:val="IndexLink"/>
              </w:rPr>
              <w:t>7. Anexos</w:t>
              <w:tab/>
              <w:t>11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  <w:rPr/>
          </w:pPr>
          <w:hyperlink w:anchor="__RefHeading___Toc910_2004347065">
            <w:r>
              <w:rPr>
                <w:rStyle w:val="IndexLink"/>
              </w:rPr>
              <w:t>8. Historial de revisiones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882_2004347065"/>
      <w:bookmarkEnd w:id="0"/>
      <w:r>
        <w:rPr>
          <w:rFonts w:eastAsia="Calibri" w:cs="Calibri" w:ascii="Calibri" w:hAnsi="Calibri"/>
        </w:rPr>
        <w:t>1. Resumen de resultados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Este informe registra la ejecución de las tres verificaciones de calidad comprometidas en el plan de la Fase 2 (MET-01, sección 6): el análisis de seguridad con OWASP ZAP, la prueba de carga y las pruebas automatizadas de interfaz con Selenium. Cada verificación se evaluó con el criterio de aceptación que ya estaba definido en el repositorio.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46"/>
        <w:gridCol w:w="3069"/>
        <w:gridCol w:w="2527"/>
        <w:gridCol w:w="1083"/>
      </w:tblGrid>
      <w:tr>
        <w:trPr>
          <w:tblHeader w:val="true"/>
        </w:trPr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Verificación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Estado</w:t>
            </w:r>
          </w:p>
        </w:tc>
      </w:tr>
      <w:tr>
        <w:trPr/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Seguridad (OWASP ZAP)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Sin alertas de riesgo Alto; las Medias se corrigen o se justifican (docs/analisis_owasp_zap.md)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 alerta Alta, verificada como falso positivo. 3 Medias: 1 a corregir (CSP), 1 justificada (CORS en estáticos) y 1 que corresponde a un error 500 a corregir.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CUMPLE con observaciones</w:t>
            </w:r>
          </w:p>
        </w:tc>
      </w:tr>
      <w:tr>
        <w:trPr/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Prueba de carga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Percentil 95 ≤ 2,0 s y sin errores con 30 usuarios concurrentes (scripts/prueba_carga.py)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Percentil 95: 1,209 s y 1,272 s en dos corridas; 0 errores en 1.200 peticiones.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CUMPLE</w:t>
            </w:r>
          </w:p>
        </w:tc>
      </w:tr>
      <w:tr>
        <w:trPr/>
        <w:tc>
          <w:tcPr>
            <w:tcW w:w="23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Pruebas de interfaz (Selenium)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Todos los casos del flujo del cliente aprobados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16 de 16 casos aprobados.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CUMPLE</w:t>
            </w:r>
          </w:p>
        </w:tc>
      </w:tr>
    </w:tbl>
    <w:p>
      <w:pPr>
        <w:pStyle w:val="Normal"/>
        <w:spacing w:lineRule="exact" w:line="276"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  <w:b/>
          <w:bCs/>
        </w:rPr>
        <w:t xml:space="preserve">Hallazgos que requieren corrección: </w:t>
      </w:r>
      <w:r>
        <w:rPr>
          <w:rFonts w:eastAsia="Calibri" w:cs="Calibri"/>
        </w:rPr>
        <w:t>dos validaciones de entrada que provocan errores 500 (H-01 y H-02), la falta de la cabecera Content-Security-Policy (H-03), la cookie csrftoken sin HttpOnly (H-05) y una mejora de capacidad para el ingreso concurrente (H-06). Ninguno permite leer ni modificar datos de otro usuario. El detalle está en la sección 6.</w:t>
      </w:r>
    </w:p>
    <w:p>
      <w:pPr>
        <w:pStyle w:val="Heading1"/>
        <w:rPr/>
      </w:pPr>
      <w:bookmarkStart w:id="1" w:name="__RefHeading___Toc884_2004347065"/>
      <w:bookmarkEnd w:id="1"/>
      <w:r>
        <w:rPr>
          <w:rFonts w:eastAsia="Calibri" w:cs="Calibri" w:ascii="Calibri" w:hAnsi="Calibri"/>
        </w:rPr>
        <w:t>2. Ambiente de prueba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Las pruebas se ejecutaron sobre una réplica local del ambiente productivo, levantada desde el código del repositorio con la misma configuración que usa Render: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/>
        </w:rPr>
        <w:t>Código: rama main del repositorio, carpeta Aplicacion/sitrafo, sin modificaciones.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Configuración: config.settings.prod (DEBUG desactivado, HTTPS obligatorio, HSTS, cookies seguras, X-Frame-Options DENY). Solo se agregó el host local y el correo por consola, porque no hay clave de Brevo en el ambiente de prueba.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Servidor: gunicorn con el mismo comando de inicio de render.yaml (1 proceso, timeout de 60 s), con HTTPS mediante un certificado local autofirmado.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Base de datos: PostgreSQL 16, cargada con los comandos del README (estados, parámetros, caso de demostración, roles con usuarios de demostración y datos del taller). Cada verificación usó una base nueva.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Herramientas: OWASP ZAP 2.16.1 (Automation Framework), Python 3.13 con requests, Selenium 4.51 con Chromium 141 y pytest 8.3.</w:t>
      </w:r>
    </w:p>
    <w:p>
      <w:pPr>
        <w:pStyle w:val="Heading2"/>
        <w:rPr/>
      </w:pPr>
      <w:bookmarkStart w:id="2" w:name="__RefHeading___Toc886_2004347065"/>
      <w:bookmarkEnd w:id="2"/>
      <w:r>
        <w:rPr>
          <w:rFonts w:eastAsia="Calibri" w:cs="Calibri" w:ascii="Calibri" w:hAnsi="Calibri"/>
        </w:rPr>
        <w:t>2.1 Limitaciones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Las pruebas no se ejecutaron sobre https://sitrafo.onrender.com: el ambiente de prueba no tiene salida a Internet hacia ese dominio. La réplica usa el mismo código, la misma configuración de producción y el mismo comando de servidor, pero no reproduce la red ni el hardware de Render. Para la entrega final se recomienda repetir el análisis pasivo de ZAP y la prueba de carga contra Render con los comandos de docs/analisis_owasp_zap.md y scripts/prueba_carga.py.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Tampoco hubo acceso a mindicador.cl, PayPal ni Brevo. Se cargaron valores de prueba para la UF (40.150), la UTM y el dólar; por eso la prueba 12 verifica el aviso controlado ante la caída de PayPal y no el pago completo.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Los tiempos de la prueba de carga dependen del equipo donde corre el servidor; la réplica tiene 2 núcleos y 7 GB de memoria.</w:t>
      </w:r>
    </w:p>
    <w:p>
      <w:pPr>
        <w:pStyle w:val="Heading1"/>
        <w:rPr/>
      </w:pPr>
      <w:bookmarkStart w:id="3" w:name="__RefHeading___Toc888_2004347065"/>
      <w:bookmarkEnd w:id="3"/>
      <w:r>
        <w:rPr>
          <w:rFonts w:eastAsia="Calibri" w:cs="Calibri" w:ascii="Calibri" w:hAnsi="Calibri"/>
        </w:rPr>
        <w:t>3. Análisis de seguridad con OWASP ZAP (SC-01)</w:t>
      </w:r>
    </w:p>
    <w:p>
      <w:pPr>
        <w:pStyle w:val="Heading2"/>
        <w:rPr/>
      </w:pPr>
      <w:bookmarkStart w:id="4" w:name="__RefHeading___Toc890_2004347065"/>
      <w:bookmarkEnd w:id="4"/>
      <w:r>
        <w:rPr>
          <w:rFonts w:eastAsia="Calibri" w:cs="Calibri" w:ascii="Calibri" w:hAnsi="Calibri"/>
        </w:rPr>
        <w:t>3.1 Método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Se siguió la guía docs/analisis_owasp_zap.md del repositorio, ampliada con un análisis activo y con sesión iniciada para cubrir las páginas protegidas: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Portal web, primera pasada: araña (spider), análisis pasivo y análisis activo de 25 minutos como máximo, con la sesión del cliente de demostración (maipo).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Portal web, segunda pasada: igual que la primera, agregando la cookie csrftoken para que ZAP también atacara los formularios POST (registro, solicitud, perfil, direcciones, recuperación de clave).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API REST: semilla con los 29 recursos del enrutador /api/v1/ (listado y detalle), araña, análisis pasivo y activo con el token JWT del administrador.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Se excluyeron las rutas que cierran la sesión o cambian la clave (/salir/, /perfil/clave/, /eliminar/), para que el análisis no se desconectara a sí mismo.</w:t>
      </w:r>
    </w:p>
    <w:p>
      <w:pPr>
        <w:pStyle w:val="Heading2"/>
        <w:rPr/>
      </w:pPr>
      <w:bookmarkStart w:id="5" w:name="__RefHeading___Toc892_2004347065"/>
      <w:bookmarkEnd w:id="5"/>
      <w:r>
        <w:rPr>
          <w:rFonts w:eastAsia="Calibri" w:cs="Calibri" w:ascii="Calibri" w:hAnsi="Calibri"/>
        </w:rPr>
        <w:t>3.2 Alertas obtenidas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73"/>
        <w:gridCol w:w="2887"/>
        <w:gridCol w:w="1083"/>
        <w:gridCol w:w="1084"/>
        <w:gridCol w:w="2799"/>
      </w:tblGrid>
      <w:tr>
        <w:trPr>
          <w:tblHeader w:val="true"/>
        </w:trPr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Alerta (ZAP)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Portal web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API REST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Evaluación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8CBA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Alto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8CBAD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Inyección SQL (SQLite, basada en tiempo)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8CBA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8CBAD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8CBAD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Falso positivo verificado (sección 3.4). No requiere corrección.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Falta la cabecera Content-Security-Policy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36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15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Corregir: hallazgo H-03.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Desbordamiento de búfer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Falso positivo: es el error 500 de /catalogo/ (H-01). Se corrige con H-01.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Configuración entre dominios (CORS) en /static/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Justificada: WhiteNoise permite cualquier origen solo para archivos estáticos públicos, sin cookies ni datos.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Bajo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Cookie csrftoken sin HttpOnly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33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Corregir: hallazgo H-05 (ningún script lee la cookie).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Informativo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Atributo HTML controlado por el usuario (posible XSS)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36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18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Sin riesgo: los valores se reflejan escapados por las plantillas de Django; ZAP no logró inyectar código.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Informativo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Revisar directivas Cache-Control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30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59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Registrada.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Informativo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Respuesta de gestión de sesión identificada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72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9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Registrada.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Informativo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Solicitud de autenticación identificada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Registrada.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Informativo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Comentarios sospechosos en bootstrap.bundle.min.js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Registrada: comentario de la librería Bootstrap, no del sistema.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Informativo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Formulario aceptado por GET en lugar de POST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Registrada: /registro/ responde el formulario vacío ante GET; no procesa datos.</w:t>
            </w:r>
          </w:p>
        </w:tc>
      </w:tr>
      <w:tr>
        <w:trPr/>
        <w:tc>
          <w:tcPr>
            <w:tcW w:w="11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Informativo</w:t>
            </w: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Variación del User-Agent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828</w:t>
            </w:r>
          </w:p>
        </w:tc>
        <w:tc>
          <w:tcPr>
            <w:tcW w:w="1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924</w:t>
            </w:r>
          </w:p>
        </w:tc>
        <w:tc>
          <w:tcPr>
            <w:tcW w:w="2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Registrada: el sistema responde igual a cualquier navegador.</w:t>
            </w:r>
          </w:p>
        </w:tc>
      </w:tr>
    </w:tbl>
    <w:p>
      <w:pPr>
        <w:pStyle w:val="Normal"/>
        <w:spacing w:lineRule="exact" w:line="276" w:before="0" w:after="12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Portal web: análisis con la sesión del cliente de demostración. API REST: análisis con el token JWT del administrador. Las cifras son la cantidad de instancias que reportó ZAP.</w:t>
      </w:r>
    </w:p>
    <w:p>
      <w:pPr>
        <w:pStyle w:val="Heading2"/>
        <w:rPr/>
      </w:pPr>
      <w:bookmarkStart w:id="6" w:name="__RefHeading___Toc894_2004347065"/>
      <w:bookmarkEnd w:id="6"/>
      <w:r>
        <w:rPr>
          <w:rFonts w:eastAsia="Calibri" w:cs="Calibri" w:ascii="Calibri" w:hAnsi="Calibri"/>
        </w:rPr>
        <w:t>3.3 Errores del servidor detectados durante el análisis activo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Además de las alertas, se revisó el registro del servidor mientras ZAP enviaba entradas maliciosas. Ninguna entrada logró leer o modificar datos, pero dos validaciones faltantes provocan errores 500: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24"/>
        <w:gridCol w:w="2709"/>
        <w:gridCol w:w="4693"/>
      </w:tblGrid>
      <w:tr>
        <w:trPr>
          <w:tblHeader w:val="true"/>
        </w:trPr>
        <w:tc>
          <w:tcPr>
            <w:tcW w:w="16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Ruta</w:t>
            </w:r>
          </w:p>
        </w:tc>
        <w:tc>
          <w:tcPr>
            <w:tcW w:w="2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Entrada que lo provoca</w:t>
            </w:r>
          </w:p>
        </w:tc>
        <w:tc>
          <w:tcPr>
            <w:tcW w:w="4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Causa</w:t>
            </w:r>
          </w:p>
        </w:tc>
      </w:tr>
      <w:tr>
        <w:trPr/>
        <w:tc>
          <w:tcPr>
            <w:tcW w:w="16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GET /catalogo/</w:t>
            </w:r>
          </w:p>
        </w:tc>
        <w:tc>
          <w:tcPr>
            <w:tcW w:w="2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familia=c:/Windows/system.ini (cualquier valor no numérico)</w:t>
            </w:r>
          </w:p>
        </w:tc>
        <w:tc>
          <w:tcPr>
            <w:tcW w:w="4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apps/web/views.py, función catalogo: el parámetro familia se pasa directo a filter(familia_id=...) sin validar que sea un número. Django lanza ValueError y responde 500. ZAP lo informó como «Buffer Overflow».</w:t>
            </w:r>
          </w:p>
        </w:tc>
      </w:tr>
      <w:tr>
        <w:trPr/>
        <w:tc>
          <w:tcPr>
            <w:tcW w:w="16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POST /acceso/</w:t>
            </w:r>
          </w:p>
        </w:tc>
        <w:tc>
          <w:tcPr>
            <w:tcW w:w="27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Nombre de acceso con un carácter nulo (%00)</w:t>
            </w:r>
          </w:p>
        </w:tc>
        <w:tc>
          <w:tcPr>
            <w:tcW w:w="46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apps/web/forms.py, LoginForm.clean: busca el usuario con self.data (el texto sin validar) en lugar de cleaned_data. PostgreSQL rechaza el carácter nulo y la vista responde 500.</w:t>
            </w:r>
          </w:p>
        </w:tc>
      </w:tr>
    </w:tbl>
    <w:p>
      <w:pPr>
        <w:pStyle w:val="Heading2"/>
        <w:rPr/>
      </w:pPr>
      <w:bookmarkStart w:id="7" w:name="__RefHeading___Toc896_2004347065"/>
      <w:bookmarkEnd w:id="7"/>
      <w:r>
        <w:rPr>
          <w:rFonts w:eastAsia="Calibri" w:cs="Calibri" w:ascii="Calibri" w:hAnsi="Calibri"/>
        </w:rPr>
        <w:t>3.4 Evaluación según el criterio del repositorio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Alertas de riesgo Alto: la única (inyección SQL basada en tiempo) es un falso positivo. Se repitió manualmente la petición en el formulario de recuperación de clave con el valor normal y con las dos cargas de ZAP, seis veces cada una: la mediana fue de 13 ms en los tres casos. Además, la base guardó las cargas como texto literal (por ejemplo, la calle «Av. Concha y Toro WAITFOR DELAY '0:0:15' --»), lo que confirma que las consultas usan parámetros del ORM. La diferencia de tiempos que vio ZAP se debió a la cola del único proceso del servidor mientras atendía el propio análisis. La función randomblob, además, no existe en PostgreSQL.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Alertas de riesgo Medio: la falta de Content-Security-Policy se corrige (H-03); la configuración entre dominios en /static/ se justifica; el «Buffer Overflow» es el error 500 de H-01.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Alertas Bajas e Informativas: quedan registradas en la tabla 3.2; la de la cookie csrftoken se corrige (H-05) porque no tiene costo.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Ninguna prueba de inyección SQL, XSS, recorrido de rutas ni inclusión de archivos logró leer o modificar datos. Las protecciones que la guía del repositorio declara (CSRF, X-Frame-Options, HTTPS y HSTS, cookies seguras, autorización por rol) se observaron activas en las respuestas.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Conclusión: cumple el criterio de aceptación, con las correcciones H-01 a H-03 y H-05 pendientes para el Sprint 2.</w:t>
      </w:r>
    </w:p>
    <w:p>
      <w:pPr>
        <w:pStyle w:val="Heading1"/>
        <w:rPr/>
      </w:pPr>
      <w:bookmarkStart w:id="8" w:name="__RefHeading___Toc898_2004347065"/>
      <w:bookmarkEnd w:id="8"/>
      <w:r>
        <w:rPr>
          <w:rFonts w:eastAsia="Calibri" w:cs="Calibri" w:ascii="Calibri" w:hAnsi="Calibri"/>
        </w:rPr>
        <w:t>4. Prueba de carga (SC-02)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Se ejecutó el script scripts/prueba_carga.py del repositorio, sin modificaciones, con sus parámetros por defecto: cada usuario virtual obtiene un token JWT y recorre de forma alternada las rutas públicas del portal y tres listados de la API.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61"/>
        <w:gridCol w:w="4964"/>
      </w:tblGrid>
      <w:tr>
        <w:trPr>
          <w:tblHeader w:val="true"/>
        </w:trPr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Medida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Valor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Comando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python scripts/prueba_carga.py --url https://localhost:8443 --usuarios 30 --peticiones 20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Rutas recorridas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/acceso/, /privacidad/, /api/v1/modelos/, /api/v1/cotizaciones/, /api/v1/ordenes-compra/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Peticiones totales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600 por corrida (2 corridas)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Rendimiento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17,2 y 16,8 peticiones por segundo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Mediana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0,868 s y 0,899 s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Percentil 95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1,209 s y 1,272 s (umbral: 2,0 s)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Máximo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18,604 s y 18,700 s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Errores (5xx o sin respuesta)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 de 1.200 (0,0 %)</w:t>
            </w:r>
          </w:p>
        </w:tc>
      </w:tr>
      <w:tr>
        <w:trPr/>
        <w:tc>
          <w:tcPr>
            <w:tcW w:w="4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Respuestas del servidor</w:t>
            </w:r>
          </w:p>
        </w:tc>
        <w:tc>
          <w:tcPr>
            <w:tcW w:w="49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Todas las peticiones respondieron 200, incluidos los 60 ingresos a la API.</w:t>
            </w:r>
          </w:p>
        </w:tc>
      </w:tr>
    </w:tbl>
    <w:p>
      <w:pPr>
        <w:pStyle w:val="Normal"/>
        <w:spacing w:lineRule="exact" w:line="276"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  <w:b/>
          <w:bCs/>
        </w:rPr>
        <w:t xml:space="preserve">Resultado: </w:t>
      </w:r>
      <w:r>
        <w:rPr>
          <w:rFonts w:eastAsia="Calibri" w:cs="Calibri"/>
        </w:rPr>
        <w:t>CUMPLE en ambas corridas: el percentil 95 quedó bajo 2 segundos y no hubo errores.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El máximo de unos 18 segundos corresponde a las primeras peticiones, que esperan mientras el único proceso del servidor valida las 30 contraseñas del inicio de la prueba (cada validación usa un hash costoso a propósito). Pasado ese momento, los tiempos se estabilizan bajo un segundo.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Si la memoria del plan de Render lo permite, levantar gunicorn con 2 procesos reduciría esa espera cuando muchos usuarios ingresan a la vez (hallazgo H-06).</w:t>
      </w:r>
    </w:p>
    <w:p>
      <w:pPr>
        <w:pStyle w:val="Heading1"/>
        <w:rPr/>
      </w:pPr>
      <w:bookmarkStart w:id="9" w:name="__RefHeading___Toc900_2004347065"/>
      <w:bookmarkEnd w:id="9"/>
      <w:r>
        <w:rPr>
          <w:rFonts w:eastAsia="Calibri" w:cs="Calibri" w:ascii="Calibri" w:hAnsi="Calibri"/>
        </w:rPr>
        <w:t>5. Pruebas automatizadas de interfaz con Selenium (SC-03)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Se automatizó el recorrido del cliente en el portal web, de extremo a extremo, con Selenium WebDriver y pytest. Las pruebas se ejecutan en orden sobre una base recién cargada con los comandos de demostración del README y guardan una captura de cada paso.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1"/>
        <w:gridCol w:w="4333"/>
        <w:gridCol w:w="2707"/>
        <w:gridCol w:w="1444"/>
      </w:tblGrid>
      <w:tr>
        <w:trPr>
          <w:tblHeader w:val="true"/>
        </w:trPr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N.º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Caso de prueba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Requisito o regla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01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Una página del cliente sin sesión redirige al formulario de acceso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RF-SEG · control de acceso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02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Una clave incorrecta no da acceso y muestra un mensaje de error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RF-SEG-04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03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Con credenciales válidas se llega al inicio con los datos de la empresa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HU-02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04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El catálogo lista los modelos y el filtro por familia acota el resultado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HU-01 · RF-CAT-08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05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La ficha del modelo muestra su especificación y se descarga en PDF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HU-01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06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Una solicitud sin la especificación obligatoria se rechaza con errores por campo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HU-03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07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Una potencia distinta a la del modelo elegido se rechaza con su causa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HU-03 · validación de rangos técnicos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08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Una solicitud completa queda registrada como Recibida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HU-03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09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La cotización por responder muestra montos en UF y se descarga en PDF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HU-04 · RN-03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Aceptar la cotización genera automáticamente la orden de compra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HU-05 · HU-06 · RN-06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La nueva orden tiene su documento de cobro del anticipo en pesos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HU-11 · RF-PAG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Si PayPal no responde, el sistema lo informa y no muestra un error 500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HU-11 · RF-PAG-06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13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El cliente sigue el avance de su orden de trabajo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HU-07 · seguimiento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14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Un documento inexistente o ajeno responde 404 sin exponer datos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Autorización por cliente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15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En un teléfono (390 px) el menú se colapsa y no hay desborde horizontal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RNF de usabilidad (diseño responsivo)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  <w:tr>
        <w:trPr/>
        <w:tc>
          <w:tcPr>
            <w:tcW w:w="5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43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Al cerrar sesión, las páginas del cliente vuelven a pedir acceso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RF-SEG-07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Aprobado</w:t>
            </w:r>
          </w:p>
        </w:tc>
      </w:tr>
    </w:tbl>
    <w:p>
      <w:pPr>
        <w:pStyle w:val="Normal"/>
        <w:spacing w:lineRule="exact" w:line="276" w:before="0" w:after="12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  <w:b/>
          <w:bCs/>
        </w:rPr>
        <w:t xml:space="preserve">Resultado: </w:t>
      </w:r>
      <w:r>
        <w:rPr>
          <w:rFonts w:eastAsia="Calibri" w:cs="Calibri"/>
        </w:rPr>
        <w:t>16 de 16 casos aprobados en 28 segundos, sin fallas.</w:t>
      </w:r>
    </w:p>
    <w:p>
      <w:pPr>
        <w:pStyle w:val="Heading2"/>
        <w:rPr/>
      </w:pPr>
      <w:bookmarkStart w:id="10" w:name="__RefHeading___Toc902_2004347065"/>
      <w:bookmarkEnd w:id="10"/>
      <w:r>
        <w:rPr>
          <w:rFonts w:eastAsia="Calibri" w:cs="Calibri" w:ascii="Calibri" w:hAnsi="Calibri"/>
        </w:rPr>
        <w:t>5.1 Evidencias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971800"/>
            <wp:effectExtent l="0" t="0" r="0" b="0"/>
            <wp:docPr id="1" name="03_inicio_cliente.png" descr="Prueba 03 · Inicio del cliente después de ingresar&#10;Prueba 03 · Inicio del cliente después de ingres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3_inicio_cliente.png" descr="Prueba 03 · Inicio del cliente después de ingresar&#10;Prueba 03 · Inicio del cliente después de ingresa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55555"/>
          <w:sz w:val="18"/>
          <w:szCs w:val="18"/>
        </w:rPr>
        <w:t>Prueba 03 · Inicio del cliente después de ingresar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971800"/>
            <wp:effectExtent l="0" t="0" r="0" b="0"/>
            <wp:docPr id="2" name="07_potencia_distinta_al_modelo.png" descr="Prueba 07 · Rechazo de una potencia que no corresponde al modelo&#10;Prueba 07 · Rechazo de una potencia que no corresponde al 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7_potencia_distinta_al_modelo.png" descr="Prueba 07 · Rechazo de una potencia que no corresponde al modelo&#10;Prueba 07 · Rechazo de una potencia que no corresponde al model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55555"/>
          <w:sz w:val="18"/>
          <w:szCs w:val="18"/>
        </w:rPr>
        <w:t>Prueba 07 · Rechazo de una potencia que no corresponde al modelo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971800"/>
            <wp:effectExtent l="0" t="0" r="0" b="0"/>
            <wp:docPr id="3" name="08b_solicitud_recibida.png" descr="Prueba 08 · Solicitud registrada como Recibida&#10;Prueba 08 · Solicitud registrada como Recib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8b_solicitud_recibida.png" descr="Prueba 08 · Solicitud registrada como Recibida&#10;Prueba 08 · Solicitud registrada como Recibid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55555"/>
          <w:sz w:val="18"/>
          <w:szCs w:val="18"/>
        </w:rPr>
        <w:t>Prueba 08 · Solicitud registrada como Recibida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971800"/>
            <wp:effectExtent l="0" t="0" r="0" b="0"/>
            <wp:docPr id="4" name="10b_orden_de_compra_generada.png" descr="Prueba 10 · Orden de compra OC-2026-0002 generada al aceptar la cotización&#10;Prueba 10 · Orden de compra OC-2026-0002 generada al aceptar la cot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b_orden_de_compra_generada.png" descr="Prueba 10 · Orden de compra OC-2026-0002 generada al aceptar la cotización&#10;Prueba 10 · Orden de compra OC-2026-0002 generada al aceptar la cotizació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55555"/>
          <w:sz w:val="18"/>
          <w:szCs w:val="18"/>
        </w:rPr>
        <w:t>Prueba 10 · Orden de compra OC-2026-0002 generada al aceptar la cotización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971800"/>
            <wp:effectExtent l="0" t="0" r="0" b="0"/>
            <wp:docPr id="5" name="12_pago_sin_pasarela.png" descr="Prueba 12 · Aviso controlado cuando la pasarela de pago no responde&#10;Prueba 12 · Aviso controlado cuando la pasarela de pago no respo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2_pago_sin_pasarela.png" descr="Prueba 12 · Aviso controlado cuando la pasarela de pago no responde&#10;Prueba 12 · Aviso controlado cuando la pasarela de pago no respond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55555"/>
          <w:sz w:val="18"/>
          <w:szCs w:val="18"/>
        </w:rPr>
        <w:t>Prueba 12 · Aviso controlado cuando la pasarela de pago no responde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9639300"/>
            <wp:effectExtent l="0" t="0" r="0" b="0"/>
            <wp:docPr id="6" name="15_vista_movil.png" descr="Prueba 15 · Pedidos en un teléfono de 390 px&#10;Prueba 15 · Pedidos en un teléfono de 39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_vista_movil.png" descr="Prueba 15 · Pedidos en un teléfono de 390 px&#10;Prueba 15 · Pedidos en un teléfono de 390 px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3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i/>
          <w:iCs/>
          <w:color w:val="555555"/>
          <w:sz w:val="18"/>
          <w:szCs w:val="18"/>
        </w:rPr>
        <w:t>Prueba 15 · Pedidos en un teléfono de 390 px</w:t>
      </w:r>
    </w:p>
    <w:p>
      <w:pPr>
        <w:pStyle w:val="Heading2"/>
        <w:rPr/>
      </w:pPr>
      <w:bookmarkStart w:id="11" w:name="__RefHeading___Toc904_2004347065"/>
      <w:bookmarkEnd w:id="11"/>
      <w:r>
        <w:rPr>
          <w:rFonts w:eastAsia="Calibri" w:cs="Calibri" w:ascii="Calibri" w:hAnsi="Calibri"/>
        </w:rPr>
        <w:t>5.2 Cómo repetir las pruebas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Código: carpeta pruebas_interfaz (conftest.py y test_portal_cliente.py), con instrucciones en su README.md.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Instalar: pip install selenium pytest requests pytest-html, y tener Google Chrome.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Levantar el sistema con una base recién cargada con los comandos de demostración del README, porque la prueba 10 acepta la cotización COT-2026-0001.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Ejecutar: pytest -v --html=reporte_selenium.html --self-contained-html, con SITRAFO_URL apuntando al sistema (por defecto http://localhost:8000).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/>
        </w:rPr>
        <w:t>No ejecutar contra el ambiente productivo: las pruebas crean solicitudes y aceptan una cotización.</w:t>
      </w:r>
    </w:p>
    <w:p>
      <w:pPr>
        <w:pStyle w:val="Heading1"/>
        <w:rPr/>
      </w:pPr>
      <w:bookmarkStart w:id="12" w:name="__RefHeading___Toc906_2004347065"/>
      <w:bookmarkEnd w:id="12"/>
      <w:r>
        <w:rPr>
          <w:rFonts w:eastAsia="Calibri" w:cs="Calibri" w:ascii="Calibri" w:hAnsi="Calibri"/>
        </w:rPr>
        <w:t>6. Hallazgos y acciones correctivas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Los hallazgos alimentan la tarea «Corregir hallazgos de severidad alta y media» del ítem SC-01 del Sprint 2.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22"/>
        <w:gridCol w:w="2707"/>
        <w:gridCol w:w="993"/>
        <w:gridCol w:w="4603"/>
      </w:tblGrid>
      <w:tr>
        <w:trPr>
          <w:tblHeader w:val="true"/>
        </w:trPr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Hallazgo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Acción propuesta</w:t>
            </w:r>
          </w:p>
        </w:tc>
      </w:tr>
      <w:tr>
        <w:trPr/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H-01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Error 500 en /catalogo/ cuando el filtro familia no es un número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Medio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En apps/web/views.py, filtrar solo si el valor es numérico: «if familia and familia.isdigit():». Agregar una prueba unitaria con un valor de texto.</w:t>
            </w:r>
          </w:p>
        </w:tc>
      </w:tr>
      <w:tr>
        <w:trPr/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H-02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Error 500 en el ingreso web con un carácter nulo en el nombre de acceso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Medio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En LoginForm.clean, buscar el usuario con self.cleaned_data.get("username") (que Django ya validó) en lugar de self.data, y omitir la búsqueda si no viene.</w:t>
            </w:r>
          </w:p>
        </w:tc>
      </w:tr>
      <w:tr>
        <w:trPr/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H-03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Falta la cabecera Content-Security-Policy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Medio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FFE699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Agregar la cabecera desde un middleware o con django-csp: default-src 'self'; script-src 'self'; style-src 'self' 'unsafe-inline'; img-src 'self' data:; frame-ancestors 'none'. Antes, mover a un archivo .js el script en línea de templates/web/direccion_form.html.</w:t>
            </w:r>
          </w:p>
        </w:tc>
      </w:tr>
      <w:tr>
        <w:trPr/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H-04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CORS abierto en /static/ (WhiteNoise)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Bajo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Aceptado y justificado: son archivos públicos sin datos ni cookies. No requiere cambio.</w:t>
            </w:r>
          </w:p>
        </w:tc>
      </w:tr>
      <w:tr>
        <w:trPr/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H-05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Cookie csrftoken sin HttpOnly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Bajo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Agregar CSRF_COOKIE_HTTPONLY = True en config/settings/prod.py; ningún script del sistema lee esa cookie.</w:t>
            </w:r>
          </w:p>
        </w:tc>
      </w:tr>
      <w:tr>
        <w:trPr/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H-06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Espera de hasta 18 s cuando 30 usuarios ingresan al mismo tiempo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Bajo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Agregar --workers 2 (o la variable WEB_CONCURRENCY) al startCommand de render.yaml y repetir la prueba de carga contra Render.</w:t>
            </w:r>
          </w:p>
        </w:tc>
      </w:tr>
      <w:tr>
        <w:trPr/>
        <w:tc>
          <w:tcPr>
            <w:tcW w:w="7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H-07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El formato de los montos depende del idioma del navegador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Bajo</w:t>
            </w:r>
          </w:p>
        </w:tc>
        <w:tc>
          <w:tcPr>
            <w:tcW w:w="46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E2EFDA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Con un navegador en inglés los montos aparecen como $4,737,630. Definir LANGUAGES = [("es-cl", "Español (Chile)")] en config/settings/base.py para que siempre se use el formato chileno.</w:t>
            </w:r>
          </w:p>
        </w:tc>
      </w:tr>
    </w:tbl>
    <w:p>
      <w:pPr>
        <w:pStyle w:val="Heading1"/>
        <w:rPr/>
      </w:pPr>
      <w:bookmarkStart w:id="13" w:name="__RefHeading___Toc908_2004347065"/>
      <w:bookmarkEnd w:id="13"/>
      <w:r>
        <w:rPr>
          <w:rFonts w:eastAsia="Calibri" w:cs="Calibri" w:ascii="Calibri" w:hAnsi="Calibri"/>
        </w:rPr>
        <w:t>7. Anexos</w:t>
      </w:r>
    </w:p>
    <w:p>
      <w:pPr>
        <w:pStyle w:val="Normal"/>
        <w:spacing w:lineRule="exact" w:line="276" w:before="0" w:after="120"/>
        <w:rPr/>
      </w:pPr>
      <w:r>
        <w:rPr>
          <w:rFonts w:eastAsia="Calibri" w:cs="Calibri"/>
        </w:rPr>
        <w:t>Los archivos de evidencia acompañan a este informe en la carpeta del repositorio: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90"/>
        <w:gridCol w:w="5235"/>
      </w:tblGrid>
      <w:tr>
        <w:trPr>
          <w:tblHeader w:val="true"/>
        </w:trPr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Contenido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reporte_zap_web_pasada1.html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 de ZAP del portal web (sesión del cliente)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reporte_zap_web_pasada2.html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 de ZAP del portal web con formularios POST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reporte_zap_api.html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 de ZAP de la API REST (token del administrador)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verificacion_inyeccion_sql.txt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Repetición manual de la alerta de inyección SQL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reporte_carga_corrida1.txt y reporte_carga_corrida2.txt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Salida de scripts/prueba_carga.py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reporte_selenium.html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Reporte de pytest de las 16 pruebas de interfaz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capturas/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Captura de cada paso de las pruebas de interfaz</w:t>
            </w:r>
          </w:p>
        </w:tc>
      </w:tr>
      <w:tr>
        <w:trPr/>
        <w:tc>
          <w:tcPr>
            <w:tcW w:w="3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pruebas_interfaz/</w:t>
            </w:r>
          </w:p>
        </w:tc>
        <w:tc>
          <w:tcPr>
            <w:tcW w:w="52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Código de las pruebas de Selenium y su README</w:t>
            </w:r>
          </w:p>
        </w:tc>
      </w:tr>
    </w:tbl>
    <w:p>
      <w:pPr>
        <w:pStyle w:val="Heading1"/>
        <w:rPr/>
      </w:pPr>
      <w:bookmarkStart w:id="14" w:name="__RefHeading___Toc910_2004347065"/>
      <w:bookmarkEnd w:id="14"/>
      <w:r>
        <w:rPr>
          <w:rFonts w:eastAsia="Calibri" w:cs="Calibri" w:ascii="Calibri" w:hAnsi="Calibri"/>
        </w:rPr>
        <w:t>8. Historial de revisiones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53"/>
        <w:gridCol w:w="904"/>
        <w:gridCol w:w="4513"/>
        <w:gridCol w:w="2255"/>
      </w:tblGrid>
      <w:tr>
        <w:trPr>
          <w:tblHeader w:val="true"/>
        </w:trPr>
        <w:tc>
          <w:tcPr>
            <w:tcW w:w="1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2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color="auto" w:fill="DCE4EF" w:val="clea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/>
                <w:bCs/>
                <w:sz w:val="19"/>
                <w:szCs w:val="19"/>
              </w:rPr>
              <w:t>Autor</w:t>
            </w:r>
          </w:p>
        </w:tc>
      </w:tr>
      <w:tr>
        <w:trPr/>
        <w:tc>
          <w:tcPr>
            <w:tcW w:w="1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14-10-2026</w:t>
            </w:r>
          </w:p>
        </w:tc>
        <w:tc>
          <w:tcPr>
            <w:tcW w:w="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1.0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Primera versión: análisis OWASP ZAP, prueba de carga y pruebas de interfaz con Selenium.</w:t>
            </w:r>
          </w:p>
        </w:tc>
        <w:tc>
          <w:tcPr>
            <w:tcW w:w="22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sz w:val="19"/>
                <w:szCs w:val="19"/>
              </w:rPr>
              <w:t>Benjamín Delgado Bravo</w:t>
            </w:r>
          </w:p>
        </w:tc>
      </w:tr>
    </w:tbl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F7F7F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Calibri" w:cs="Calibri"/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color w:val="7F7F7F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eastAsia="Calibri" w:cs="Calibri"/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Calibri" w:cs="Calibri"/>
        <w:color w:val="7F7F7F"/>
        <w:sz w:val="16"/>
        <w:szCs w:val="16"/>
      </w:rPr>
      <w:t>SITRAFO · Informe de verificación de calidad del producto · QA-01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Calibri" w:cs="Calibri"/>
        <w:color w:val="7F7F7F"/>
        <w:sz w:val="16"/>
        <w:szCs w:val="16"/>
      </w:rPr>
      <w:t>SITRAFO · Informe de verificación de calidad del producto · QA-01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Calibri" w:hAnsi="Calibri" w:eastAsia="Calibri" w:cs="Calibri"/>
      <w:b/>
      <w:bCs/>
      <w:color w:val="1F3864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02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74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2026-10-14T04:10:00Z</dcterms:created>
  <dc:creator>Benjamín Delgado Bravo</dc:creator>
  <dc:description/>
  <dc:language>en-US</dc:language>
  <cp:lastModifiedBy/>
  <dcterms:modified xsi:type="dcterms:W3CDTF">2026-10-14T01:10:39Z</dcterms:modified>
  <cp:revision>2</cp:revision>
  <dc:subject/>
  <dc:title>SITRAFO QA-01 Informe de verificación de calidad</dc:title>
</cp:coreProperties>
</file>