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DIAGRAMAS DE SECUENCIA</w:t>
      </w:r>
    </w:p>
    <w:p>
      <w:pPr>
        <w:spacing w:after="500"/>
        <w:jc w:val="center"/>
      </w:pPr>
      <w:r>
        <w:rPr>
          <w:color w:val="2E5496"/>
          <w:sz w:val="26"/>
          <w:szCs w:val="26"/>
        </w:rPr>
        <w:t xml:space="preserve">SEC-01  ·  Versión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SEC-01 — Diagramas de secuencia de los flujos principales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CU-01 Modelo de casos de uso v2.3; MER-01 v2.1</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Diagramas incluidos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11</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Fuente</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Código del repositorio SITRAFO (Fase 2)</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19 de octubre de 2026</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alcance</w:t>
      </w:r>
    </w:p>
    <w:p>
      <w:pPr>
        <w:spacing w:after="120"/>
        <w:jc w:val="both"/>
      </w:pPr>
      <w:r>
        <w:t xml:space="preserve">El presente documento describe, mediante diagramas de secuencia UML, la interacción entre los actores, las interfaces y los componentes internos de SITRAFO en los flujos principales del sistema. Complementa el modelo de casos de uso (CU-01), que describe qué hace el sistema, mostrando cómo lo hace: qué componente recibe cada petición, qué servicio aplica cada regla de negocio, qué se persiste en la base de datos y cuándo se consulta un servicio externo.</w:t>
      </w:r>
    </w:p>
    <w:p>
      <w:pPr>
        <w:spacing w:after="120"/>
        <w:jc w:val="both"/>
      </w:pPr>
      <w:r>
        <w:t xml:space="preserve">Los diagramas se elaboraron a partir del código del repositorio, por lo que cada mensaje corresponde a una ruta, vista, servicio o método existente. Los nombres de funciones y rutas se conservan tal como aparecen en el código para facilitar su trazabilidad.</w:t>
      </w:r>
    </w:p>
    <w:p>
      <w:pPr>
        <w:pStyle w:val="Heading1"/>
        <w:pageBreakBefore/>
      </w:pPr>
      <w:r>
        <w:t xml:space="preserve">2. Notación y componentes</w:t>
      </w:r>
    </w:p>
    <w:p>
      <w:pPr>
        <w:spacing w:after="120"/>
        <w:jc w:val="both"/>
      </w:pPr>
      <w:r>
        <w:t xml:space="preserve">Se emplean los estereotipos de Jacobson para los participantes: las fronteras (boundary) representan interfaces —pantallas de la aplicación de escritorio, vistas web y endpoints de la API—; los controles (control) representan servicios con lógica de negocio; las entidades (entity) representan modelos de dominio; y el cilindro representa la base de datos PostgreSQL. Los recuadros agrupan los componentes que se ejecutan en un mismo nodo y los participantes fuera de ellos son servicios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Elemento</w:t>
            </w:r>
          </w:p>
        </w:tc>
        <w:tc>
          <w:tcPr>
            <w:tcW w:type="dxa" w:w="6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Significado</w:t>
            </w:r>
          </w:p>
        </w:tc>
      </w:tr>
      <w:tr>
        <w:trPr>
          <w:cantSplit/>
        </w:trPr>
        <w:tc>
          <w:tcPr>
            <w:tcW w:type="dxa" w:w="2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Flecha continua</w:t>
            </w:r>
          </w:p>
        </w:tc>
        <w:tc>
          <w:tcPr>
            <w:tcW w:type="dxa" w:w="6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Mensaje o llamada síncrona.</w:t>
            </w:r>
          </w:p>
        </w:tc>
      </w:tr>
      <w:tr>
        <w:trPr>
          <w:cantSplit/>
        </w:trPr>
        <w:tc>
          <w:tcPr>
            <w:tcW w:type="dxa" w:w="2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Flecha punteada</w:t>
            </w:r>
          </w:p>
        </w:tc>
        <w:tc>
          <w:tcPr>
            <w:tcW w:type="dxa" w:w="6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Respuesta.</w:t>
            </w:r>
          </w:p>
        </w:tc>
      </w:tr>
      <w:tr>
        <w:trPr>
          <w:cantSplit/>
        </w:trPr>
        <w:tc>
          <w:tcPr>
            <w:tcW w:type="dxa" w:w="2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alt / else</w:t>
            </w:r>
          </w:p>
        </w:tc>
        <w:tc>
          <w:tcPr>
            <w:tcW w:type="dxa" w:w="6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Caminos alternativos según una condición.</w:t>
            </w:r>
          </w:p>
        </w:tc>
      </w:tr>
      <w:tr>
        <w:trPr>
          <w:cantSplit/>
        </w:trPr>
        <w:tc>
          <w:tcPr>
            <w:tcW w:type="dxa" w:w="2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opt</w:t>
            </w:r>
          </w:p>
        </w:tc>
        <w:tc>
          <w:tcPr>
            <w:tcW w:type="dxa" w:w="6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Fragmento que ocurre sólo si se cumple la condición.</w:t>
            </w:r>
          </w:p>
        </w:tc>
      </w:tr>
      <w:tr>
        <w:trPr>
          <w:cantSplit/>
        </w:trPr>
        <w:tc>
          <w:tcPr>
            <w:tcW w:type="dxa" w:w="2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loop</w:t>
            </w:r>
          </w:p>
        </w:tc>
        <w:tc>
          <w:tcPr>
            <w:tcW w:type="dxa" w:w="6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Fragmento que se repite por cada elemento indicado.</w:t>
            </w:r>
          </w:p>
        </w:tc>
      </w:tr>
      <w:tr>
        <w:trPr>
          <w:cantSplit/>
        </w:trPr>
        <w:tc>
          <w:tcPr>
            <w:tcW w:type="dxa" w:w="2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group transacción atómica</w:t>
            </w:r>
          </w:p>
        </w:tc>
        <w:tc>
          <w:tcPr>
            <w:tcW w:type="dxa" w:w="6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Operaciones que se confirman o revierten juntas (transaction.atomic de Django).</w:t>
            </w:r>
          </w:p>
        </w:tc>
      </w:tr>
      <w:tr>
        <w:trPr>
          <w:cantSplit/>
        </w:trPr>
        <w:tc>
          <w:tcPr>
            <w:tcW w:type="dxa" w:w="2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on_commit</w:t>
            </w:r>
          </w:p>
        </w:tc>
        <w:tc>
          <w:tcPr>
            <w:tcW w:type="dxa" w:w="6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Acción que se ejecuta sólo después de confirmada la transacción, como el envío de correos.</w:t>
            </w:r>
          </w:p>
        </w:tc>
      </w:tr>
    </w:tbl>
    <w:p>
      <w:pPr>
        <w:spacing w:after="60"/>
      </w:pPr>
    </w:p>
    <w:p>
      <w:pPr>
        <w:pStyle w:val="Heading2"/>
      </w:pPr>
      <w:r>
        <w:t xml:space="preserve">2.1 Componentes que participan en los flujos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Componente</w:t>
            </w:r>
          </w:p>
        </w:tc>
        <w:tc>
          <w:tcPr>
            <w:tcW w:type="dxa" w:w="2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Tecnología</w:t>
            </w:r>
          </w:p>
        </w:tc>
        <w:tc>
          <w:tcPr>
            <w:tcW w:type="dxa" w:w="4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Responsabilidad</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PySide6, ClienteAPI (requests)</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de los usuarios internos. Nunca accede a la base de datos: toda operación pasa por la API REST.</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REST Framework, JWT (simplejwt)</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Punto único de acceso a los datos para el escritorio. Autoriza cada operación con PermisoPorRol.</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pública</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REST Framework, clave de API (X-API-Key), drf-spectacular</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Servicios para terceros y para el portal: seguimiento de pedidos y cotizador. Autoriza por clave y servicio, limita a 60 consultas por minuto y registra cada consulta.</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web del cliente</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(plantillas), Bootstrap 5</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del cliente. Usa los mismos servicios de negocio que la API, con filtrado por cliente (RN-16).</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Servicios de negocio</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Módulos services de cada aplicación</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Concentran las reglas, de modo que el resultado no depende de la interfaz que origina la operación.</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16 en Render</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Persistencia de las 54 tablas del modelo.</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mindicador.cl</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 pública</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Valores de UF, UTM y dólar observado.</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de feriados</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Nager.Date</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Feriados legales de Chile para el cálculo de días hábiles.</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 v2 (sandbox)</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Pasarela de pago en línea.</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Brevo</w:t>
            </w:r>
          </w:p>
        </w:tc>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transaccional v3</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Envío de correos al cliente.</w:t>
            </w:r>
          </w:p>
        </w:tc>
      </w:tr>
    </w:tbl>
    <w:p>
      <w:pPr>
        <w:spacing w:after="60"/>
      </w:pPr>
    </w:p>
    <w:p>
      <w:pPr>
        <w:pStyle w:val="Heading1"/>
        <w:pageBreakBefore/>
      </w:pPr>
      <w:r>
        <w:t xml:space="preserve">3. Índice de diagramas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200"/>
        <w:gridCol w:w="25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Código</w:t>
            </w:r>
          </w:p>
        </w:tc>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w:t>
            </w:r>
          </w:p>
        </w:tc>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 principal</w:t>
            </w:r>
          </w:p>
        </w:tc>
        <w:tc>
          <w:tcPr>
            <w:tcW w:type="dxa" w:w="2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Trazabilidad</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SEC-01</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Ingreso a la aplicación de escritorio</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interno</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RF-SEG-04, RNF-04</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SEC-02</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 de presupuesto desde la web</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 RN-16</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SEC-03</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Elaboración y emisión de la cotización</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CU-COM-03 a 07, RN-03, RN-05, RN-08</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SEC-04</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Aceptación y generación automática de la orden de compra</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CU-COM-08, RN-06, RN-15</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SEC-05</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 del anticipo y confirmación automática de la orden</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CU-PAG-02, RN-07</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SEC-06</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Generación y ejecución de la orden de trabajo</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operario</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CU-OT-01, CU-OT-04 a 06, RN-09, RN-10</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SEC-07</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de calidad y cierre de la orden de trabajo</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 jefe de producción</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CU-CAL-03, CU-CAL-05, CU-CAL-07, CU-OT-07, CU-OT-08, RN-11, RN-12</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SEC-08</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Tareas automáticas diarias</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Planificador (Cron Job)</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RF-PAG-03, RF-PAG-05, RF-COM-12, RF-INT-01 a 03</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SEC-09</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Administración del canal web desde el escritorio</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 RF-ADM-02, RF-ADM-07</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SEC-10</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 del seguimiento de un pedido por la API pública</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o sistema externo</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CU-REP-06, RF-OT-12, RF-INT-04, RN-16</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SEC-11</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Estimación de precio por la API del cotizador</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o sistema externo</w:t>
            </w:r>
          </w:p>
        </w:tc>
        <w:tc>
          <w:tcPr>
            <w:tcW w:type="dxa" w:w="2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CU-REP-07, RF-COM-18, RF-INT-04, RN-03, RN-08</w:t>
            </w:r>
          </w:p>
        </w:tc>
      </w:tr>
    </w:tbl>
    <w:p>
      <w:pPr>
        <w:spacing w:after="60"/>
      </w:pPr>
    </w:p>
    <w:p>
      <w:pPr>
        <w:pStyle w:val="Heading1"/>
        <w:pageBreakBefore/>
      </w:pPr>
      <w:r>
        <w:t xml:space="preserve">4. Diagramas de secuencia</w:t>
      </w:r>
    </w:p>
    <w:p>
      <w:pPr>
        <w:pStyle w:val="Heading2"/>
      </w:pPr>
      <w:r>
        <w:t xml:space="preserve">4.1 SEC-01 — Ingreso a la aplicación de escritorio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Autenticar a un usuario interno en la aplicación de escritorio y cargar sus permisos efectivos.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interno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usuario existe, es interno y tiene al menos un rol asignado.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Sesión abierta con identidad y permisos cargados, último acceso registrado e intentos reiniciados.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RF-SEG-04, RNF-04</w:t>
            </w:r>
          </w:p>
        </w:tc>
      </w:tr>
    </w:tbl>
    <w:p>
      <w:pPr>
        <w:spacing w:after="60"/>
      </w:pPr>
    </w:p>
    <w:p>
      <w:pPr>
        <w:spacing w:after="120"/>
        <w:jc w:val="both"/>
      </w:pPr>
      <w:r>
        <w:t xml:space="preserve">Aspectos relevantes del flujo:</w:t>
      </w:r>
    </w:p>
    <w:p>
      <w:pPr>
        <w:pStyle w:val="ListParagraph"/>
        <w:numPr>
          <w:ilvl w:val="0"/>
          <w:numId w:val="2"/>
        </w:numPr>
        <w:spacing w:after="60"/>
      </w:pPr>
      <w:r>
        <w:t xml:space="preserve">El escritorio envía las credenciales a IngresoConControl, que antes de validar levanta un bloqueo temporal vencido.</w:t>
      </w:r>
    </w:p>
    <w:p>
      <w:pPr>
        <w:pStyle w:val="ListParagraph"/>
        <w:numPr>
          <w:ilvl w:val="0"/>
          <w:numId w:val="2"/>
        </w:numPr>
        <w:spacing w:after="60"/>
      </w:pPr>
      <w:r>
        <w:t xml:space="preserve">Una cuenta suspendida o bloqueada no recibe token. Cada contraseña incorrecta suma un intento y, al llegar al máximo configurado, la cuenta se bloquea temporalmente.</w:t>
      </w:r>
    </w:p>
    <w:p>
      <w:pPr>
        <w:pStyle w:val="ListParagraph"/>
        <w:numPr>
          <w:ilvl w:val="0"/>
          <w:numId w:val="2"/>
        </w:numPr>
        <w:spacing w:after="60"/>
      </w:pPr>
      <w:r>
        <w:t xml:space="preserve">Con el token emitido, el escritorio consulta /auth/yo/ para mostrar sólo los paneles que el rol autoriza; la API vuelve a verificar cada operación.</w:t>
      </w:r>
    </w:p>
    <w:p>
      <w:pPr>
        <w:pStyle w:val="ListParagraph"/>
        <w:numPr>
          <w:ilvl w:val="0"/>
          <w:numId w:val="2"/>
        </w:numPr>
        <w:spacing w:after="60"/>
      </w:pPr>
      <w:r>
        <w:t xml:space="preserve">Si el token de acceso vence, el cliente lo renueva una vez y reintenta; al cerrar sesión el token de renovación queda revocado.</w:t>
      </w:r>
    </w:p>
    <w:p>
      <w:pPr>
        <w:sectPr>
          <w:headerReference w:type="default" r:id="rId7"/>
          <w:footerReference w:type="default" r:id="rId8"/>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6657975"/>
            <wp:effectExtent t="0" r="0" b="0" l="0"/>
            <wp:docPr id="1" name="Figura 1. Diagrama de secuencia SEC-01: ingreso a la aplicación de escritorio." descr="Figura 1. Diagrama de secuencia SEC-01: ingreso a la aplicación de escritorio." title="Figura 1. Diagrama de secuencia SEC-01: ingreso a la aplicac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6657975"/>
                    </a:xfrm>
                    <a:prstGeom prst="rect">
                      <a:avLst/>
                    </a:prstGeom>
                  </pic:spPr>
                </pic:pic>
              </a:graphicData>
            </a:graphic>
          </wp:inline>
        </w:drawing>
      </w:r>
    </w:p>
    <w:p>
      <w:pPr>
        <w:spacing w:after="200"/>
        <w:jc w:val="center"/>
      </w:pPr>
      <w:r>
        <w:rPr>
          <w:i/>
          <w:iCs/>
          <w:color w:val="44546A"/>
          <w:sz w:val="18"/>
          <w:szCs w:val="18"/>
        </w:rPr>
        <w:t xml:space="preserve">Figura 1. Diagrama de secuencia SEC-01: ingreso a la aplicación de escritorio.</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2"/>
      </w:pPr>
      <w:r>
        <w:t xml:space="preserve">4.2 SEC-02 — Solicitud de presupuesto desde la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una solicitud de presupuesto con la especificación técnica requerida por el cliente.</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tiene una cuenta web activa y el sitio no está en mantención.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 en estado recibida, visible para el área comercial en el escritorio.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 RN-16</w:t>
            </w:r>
          </w:p>
        </w:tc>
      </w:tr>
    </w:tbl>
    <w:p>
      <w:pPr>
        <w:spacing w:after="60"/>
      </w:pPr>
    </w:p>
    <w:p>
      <w:pPr>
        <w:spacing w:after="120"/>
        <w:jc w:val="both"/>
      </w:pPr>
      <w:r>
        <w:t xml:space="preserve">Aspectos relevantes del flujo:</w:t>
      </w:r>
    </w:p>
    <w:p>
      <w:pPr>
        <w:pStyle w:val="ListParagraph"/>
        <w:numPr>
          <w:ilvl w:val="0"/>
          <w:numId w:val="2"/>
        </w:numPr>
        <w:spacing w:after="60"/>
      </w:pPr>
      <w:r>
        <w:t xml:space="preserve">El middleware verifica el modo mantención antes de atender la petición.</w:t>
      </w:r>
    </w:p>
    <w:p>
      <w:pPr>
        <w:pStyle w:val="ListParagraph"/>
        <w:numPr>
          <w:ilvl w:val="0"/>
          <w:numId w:val="2"/>
        </w:numPr>
        <w:spacing w:after="60"/>
      </w:pPr>
      <w:r>
        <w:t xml:space="preserve">El cliente de la solicitud se toma de la sesión y no del formulario (RN-16).</w:t>
      </w:r>
    </w:p>
    <w:p>
      <w:pPr>
        <w:pStyle w:val="ListParagraph"/>
        <w:numPr>
          <w:ilvl w:val="0"/>
          <w:numId w:val="2"/>
        </w:numPr>
        <w:spacing w:after="60"/>
      </w:pPr>
      <w:r>
        <w:t xml:space="preserve">La solicitud, su especificación y su historial se registran en una sola transacción.</w:t>
      </w:r>
    </w:p>
    <w:p>
      <w:pPr>
        <w:pStyle w:val="ListParagraph"/>
        <w:numPr>
          <w:ilvl w:val="0"/>
          <w:numId w:val="2"/>
        </w:numPr>
        <w:spacing w:after="60"/>
      </w:pPr>
      <w:r>
        <w:t xml:space="preserve">Confirmada la transacción, se envía el acuse de recibo por correo mediante Brevo.</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7134225" cy="5391150"/>
            <wp:effectExtent t="0" r="0" b="0" l="0"/>
            <wp:docPr id="1" name="Figura 2. Diagrama de secuencia SEC-02: solicitud de presupuesto desde la web." descr="Figura 2. Diagrama de secuencia SEC-02: solicitud de presupuesto desde la web." title="Figura 2. Diagrama de secuencia SEC-02: solicitud de presupuesto desde l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7134225" cy="5391150"/>
                    </a:xfrm>
                    <a:prstGeom prst="rect">
                      <a:avLst/>
                    </a:prstGeom>
                  </pic:spPr>
                </pic:pic>
              </a:graphicData>
            </a:graphic>
          </wp:inline>
        </w:drawing>
      </w:r>
    </w:p>
    <w:p>
      <w:pPr>
        <w:spacing w:after="200"/>
        <w:jc w:val="center"/>
      </w:pPr>
      <w:r>
        <w:rPr>
          <w:i/>
          <w:iCs/>
          <w:color w:val="44546A"/>
          <w:sz w:val="18"/>
          <w:szCs w:val="18"/>
        </w:rPr>
        <w:t xml:space="preserve">Figura 2. Diagrama de secuencia SEC-02: solicitud de presupuesto desde la web.</w:t>
      </w:r>
    </w:p>
    <w:p>
      <w:pPr>
        <w:sectPr>
          <w:headerReference w:type="default" r:id="rId13"/>
          <w:footerReference w:type="default" r:id="rId14"/>
          <w:pgSz w:w="15840" w:h="12240" w:orient="landscape"/>
          <w:pgMar w:top="1440" w:right="1440" w:bottom="1440" w:left="1440" w:header="708" w:footer="708" w:gutter="0"/>
          <w:pgNumType/>
          <w:docGrid w:linePitch="360"/>
        </w:sectPr>
      </w:pPr>
    </w:p>
    <w:p>
      <w:pPr>
        <w:pStyle w:val="Heading2"/>
      </w:pPr>
      <w:r>
        <w:t xml:space="preserve">4.3 SEC-03 — Elaboración y emisión de la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Elaborar la cotización desde una solicitud, con costeo automático, y emitirla al cliente.</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solicitud está recibida o asignada e indica un modelo del catálogo.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Cotización emitida, visible para el cliente en el portal y enviada por correo.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CU-COM-03 a 07, RN-03, RN-05, RN-08</w:t>
            </w:r>
          </w:p>
        </w:tc>
      </w:tr>
    </w:tbl>
    <w:p>
      <w:pPr>
        <w:spacing w:after="60"/>
      </w:pPr>
    </w:p>
    <w:p>
      <w:pPr>
        <w:spacing w:after="120"/>
        <w:jc w:val="both"/>
      </w:pPr>
      <w:r>
        <w:t xml:space="preserve">Aspectos relevantes del flujo:</w:t>
      </w:r>
    </w:p>
    <w:p>
      <w:pPr>
        <w:pStyle w:val="ListParagraph"/>
        <w:numPr>
          <w:ilvl w:val="0"/>
          <w:numId w:val="2"/>
        </w:numPr>
        <w:spacing w:after="60"/>
      </w:pPr>
      <w:r>
        <w:t xml:space="preserve">El costeo combina la lista de materiales valorizada con el costo vigente, las horas estándar por la tarifa de referencia y el recargo indirecto, y sugiere un precio con el margen.</w:t>
      </w:r>
    </w:p>
    <w:p>
      <w:pPr>
        <w:pStyle w:val="ListParagraph"/>
        <w:numPr>
          <w:ilvl w:val="0"/>
          <w:numId w:val="2"/>
        </w:numPr>
        <w:spacing w:after="60"/>
      </w:pPr>
      <w:r>
        <w:t xml:space="preserve">La cotización nace en borrador con la UF del día congelada (RN-03) y la fecha de entrega calculada en días hábiles con los feriados almacenados (RN-08).</w:t>
      </w:r>
    </w:p>
    <w:p>
      <w:pPr>
        <w:pStyle w:val="ListParagraph"/>
        <w:numPr>
          <w:ilvl w:val="0"/>
          <w:numId w:val="2"/>
        </w:numPr>
        <w:spacing w:after="60"/>
      </w:pPr>
      <w:r>
        <w:t xml:space="preserve">Si el descuento supera el umbral, la cotización pasa por aprobación y la emite otro usuario con permiso de aprobación (RN-05).</w:t>
      </w:r>
    </w:p>
    <w:p>
      <w:pPr>
        <w:pStyle w:val="ListParagraph"/>
        <w:numPr>
          <w:ilvl w:val="0"/>
          <w:numId w:val="2"/>
        </w:numPr>
        <w:spacing w:after="60"/>
      </w:pPr>
      <w:r>
        <w:t xml:space="preserve">Al emitir se actualiza la UF y la vigencia desde la fecha de emisión, y se envía el PDF por correo; si el correo falla, la emisión queda registrada y el panel advierte reenviarlo.</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286375" cy="5391150"/>
            <wp:effectExtent t="0" r="0" b="0" l="0"/>
            <wp:docPr id="1" name="Figura 3. Diagrama de secuencia SEC-03: elaboración y emisión de la cotización." descr="Figura 3. Diagrama de secuencia SEC-03: elaboración y emisión de la cotización." title="Figura 3. Diagrama de secuencia SEC-03: elaboración y emisión de la co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286375" cy="5391150"/>
                    </a:xfrm>
                    <a:prstGeom prst="rect">
                      <a:avLst/>
                    </a:prstGeom>
                  </pic:spPr>
                </pic:pic>
              </a:graphicData>
            </a:graphic>
          </wp:inline>
        </w:drawing>
      </w:r>
    </w:p>
    <w:p>
      <w:pPr>
        <w:spacing w:after="200"/>
        <w:jc w:val="center"/>
      </w:pPr>
      <w:r>
        <w:rPr>
          <w:i/>
          <w:iCs/>
          <w:color w:val="44546A"/>
          <w:sz w:val="18"/>
          <w:szCs w:val="18"/>
        </w:rPr>
        <w:t xml:space="preserve">Figura 3. Diagrama de secuencia SEC-03: elaboración y emisión de la cotización.</w:t>
      </w:r>
    </w:p>
    <w:p>
      <w:pPr>
        <w:sectPr>
          <w:headerReference w:type="default" r:id="rId17"/>
          <w:footerReference w:type="default" r:id="rId18"/>
          <w:pgSz w:w="15840" w:h="12240" w:orient="landscape"/>
          <w:pgMar w:top="1440" w:right="1440" w:bottom="1440" w:left="1440" w:header="708" w:footer="708" w:gutter="0"/>
          <w:pgNumType/>
          <w:docGrid w:linePitch="360"/>
        </w:sectPr>
      </w:pPr>
    </w:p>
    <w:p>
      <w:pPr>
        <w:pStyle w:val="Heading2"/>
      </w:pPr>
      <w:r>
        <w:t xml:space="preserve">4.4 SEC-04 — Aceptación y generación automática de la orden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la aceptación del cliente y generar automáticamente la orden de compra con su anticipo.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está emitida y pertenece al cliente autenticado.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Cotización aceptada, orden de compra pendiente y anticipo por pagar.</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CU-COM-08, RN-06, RN-15</w:t>
            </w:r>
          </w:p>
        </w:tc>
      </w:tr>
    </w:tbl>
    <w:p>
      <w:pPr>
        <w:spacing w:after="60"/>
      </w:pPr>
    </w:p>
    <w:p>
      <w:pPr>
        <w:spacing w:after="120"/>
        <w:jc w:val="both"/>
      </w:pPr>
      <w:r>
        <w:t xml:space="preserve">Aspectos relevantes del flujo:</w:t>
      </w:r>
    </w:p>
    <w:p>
      <w:pPr>
        <w:pStyle w:val="ListParagraph"/>
        <w:numPr>
          <w:ilvl w:val="0"/>
          <w:numId w:val="2"/>
        </w:numPr>
        <w:spacing w:after="60"/>
      </w:pPr>
      <w:r>
        <w:t xml:space="preserve">La vigencia se verifica al confirmar y no sólo al desplegar la página: si venció entre ambos momentos, pasa a vencida.</w:t>
      </w:r>
    </w:p>
    <w:p>
      <w:pPr>
        <w:pStyle w:val="ListParagraph"/>
        <w:numPr>
          <w:ilvl w:val="0"/>
          <w:numId w:val="2"/>
        </w:numPr>
        <w:spacing w:after="60"/>
      </w:pPr>
      <w:r>
        <w:t xml:space="preserve">La aceptación, la orden de compra con sus líneas y el documento de cobro del anticipo se crean en una misma transacción (RN-06, RN-15).</w:t>
      </w:r>
    </w:p>
    <w:p>
      <w:pPr>
        <w:pStyle w:val="ListParagraph"/>
        <w:numPr>
          <w:ilvl w:val="0"/>
          <w:numId w:val="2"/>
        </w:numPr>
        <w:spacing w:after="60"/>
      </w:pPr>
      <w:r>
        <w:t xml:space="preserve">Si no hay valor de UF disponible, la orden se crea igual y el anticipo se emite después con el comando emitir_cobros (RF-INT-03).</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7105650" cy="5391150"/>
            <wp:effectExtent t="0" r="0" b="0" l="0"/>
            <wp:docPr id="1" name="Figura 4. Diagrama de secuencia SEC-04: aceptación y generación automática de la orden de compra." descr="Figura 4. Diagrama de secuencia SEC-04: aceptación y generación automática de la orden de compra." title="Figura 4. Diagrama de secuencia SEC-04: aceptación y generación automática de la orden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7105650" cy="5391150"/>
                    </a:xfrm>
                    <a:prstGeom prst="rect">
                      <a:avLst/>
                    </a:prstGeom>
                  </pic:spPr>
                </pic:pic>
              </a:graphicData>
            </a:graphic>
          </wp:inline>
        </w:drawing>
      </w:r>
    </w:p>
    <w:p>
      <w:pPr>
        <w:spacing w:after="200"/>
        <w:jc w:val="center"/>
      </w:pPr>
      <w:r>
        <w:rPr>
          <w:i/>
          <w:iCs/>
          <w:color w:val="44546A"/>
          <w:sz w:val="18"/>
          <w:szCs w:val="18"/>
        </w:rPr>
        <w:t xml:space="preserve">Figura 4. Diagrama de secuencia SEC-04: aceptación y generación automática de la orden de compra.</w:t>
      </w:r>
    </w:p>
    <w:p>
      <w:pPr>
        <w:sectPr>
          <w:headerReference w:type="default" r:id="rId21"/>
          <w:footerReference w:type="default" r:id="rId22"/>
          <w:pgSz w:w="15840" w:h="12240" w:orient="landscape"/>
          <w:pgMar w:top="1440" w:right="1440" w:bottom="1440" w:left="1440" w:header="708" w:footer="708" w:gutter="0"/>
          <w:pgNumType/>
          <w:docGrid w:linePitch="360"/>
        </w:sectPr>
      </w:pPr>
    </w:p>
    <w:p>
      <w:pPr>
        <w:pStyle w:val="Heading2"/>
      </w:pPr>
      <w:r>
        <w:t xml:space="preserve">4.5 SEC-05 — Pago del anticipo y confirmación automática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Cobrar el anticipo en línea y confirmar la orden de compra sin intervención manual.</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Existe un documento de cobro pendiente y no vencido, y el pago en línea está habilitado.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 pagado, transacción aprobada y conciliada, orden de compra confirmada.</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CU-PAG-02, RN-07</w:t>
            </w:r>
          </w:p>
        </w:tc>
      </w:tr>
    </w:tbl>
    <w:p>
      <w:pPr>
        <w:spacing w:after="60"/>
      </w:pPr>
    </w:p>
    <w:p>
      <w:pPr>
        <w:spacing w:after="120"/>
        <w:jc w:val="both"/>
      </w:pPr>
      <w:r>
        <w:t xml:space="preserve">Aspectos relevantes del flujo:</w:t>
      </w:r>
    </w:p>
    <w:p>
      <w:pPr>
        <w:pStyle w:val="ListParagraph"/>
        <w:numPr>
          <w:ilvl w:val="0"/>
          <w:numId w:val="2"/>
        </w:numPr>
        <w:spacing w:after="60"/>
      </w:pPr>
      <w:r>
        <w:t xml:space="preserve">El monto en pesos se convierte a dólares con el dólar observado almacenado, porque la pasarela opera en USD.</w:t>
      </w:r>
    </w:p>
    <w:p>
      <w:pPr>
        <w:pStyle w:val="ListParagraph"/>
        <w:numPr>
          <w:ilvl w:val="0"/>
          <w:numId w:val="2"/>
        </w:numPr>
        <w:spacing w:after="60"/>
      </w:pPr>
      <w:r>
        <w:t xml:space="preserve">La orden de pago se crea en PayPal con clave de idempotencia; si la pasarela no responde, no se modifica el documento.</w:t>
      </w:r>
    </w:p>
    <w:p>
      <w:pPr>
        <w:pStyle w:val="ListParagraph"/>
        <w:numPr>
          <w:ilvl w:val="0"/>
          <w:numId w:val="2"/>
        </w:numPr>
        <w:spacing w:after="60"/>
      </w:pPr>
      <w:r>
        <w:t xml:space="preserve">Al volver el cliente, se captura el pago bajo bloqueo de fila. Sólo si PayPal confirma y el monto coincide, el documento queda pagado; en otro caso queda pendiente de conciliación o rechazado.</w:t>
      </w:r>
    </w:p>
    <w:p>
      <w:pPr>
        <w:pStyle w:val="ListParagraph"/>
        <w:numPr>
          <w:ilvl w:val="0"/>
          <w:numId w:val="2"/>
        </w:numPr>
        <w:spacing w:after="60"/>
      </w:pPr>
      <w:r>
        <w:t xml:space="preserve">Pagado el anticipo, la orden de compra se confirma automáticamente (RN-07) y se envían el comprobante y el aviso al cliente.</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6267450"/>
            <wp:effectExtent t="0" r="0" b="0" l="0"/>
            <wp:docPr id="1" name="Figura 5. Diagrama de secuencia SEC-05: pago del anticipo y confirmación automática de la orden." descr="Figura 5. Diagrama de secuencia SEC-05: pago del anticipo y confirmación automática de la orden." title="Figura 5. Diagrama de secuencia SEC-05: pago del anticipo y confirmación automática de la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6267450"/>
                    </a:xfrm>
                    <a:prstGeom prst="rect">
                      <a:avLst/>
                    </a:prstGeom>
                  </pic:spPr>
                </pic:pic>
              </a:graphicData>
            </a:graphic>
          </wp:inline>
        </w:drawing>
      </w:r>
    </w:p>
    <w:p>
      <w:pPr>
        <w:spacing w:after="200"/>
        <w:jc w:val="center"/>
      </w:pPr>
      <w:r>
        <w:rPr>
          <w:i/>
          <w:iCs/>
          <w:color w:val="44546A"/>
          <w:sz w:val="18"/>
          <w:szCs w:val="18"/>
        </w:rPr>
        <w:t xml:space="preserve">Figura 5. Diagrama de secuencia SEC-05: pago del anticipo y confirmación automática de la orden.</w:t>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2"/>
      </w:pPr>
      <w:r>
        <w:t xml:space="preserve">4.6 SEC-06 — Generación y ejecución de la orden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Planificar la fabricación y registrar el trabajo del taller con su costo real.</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operario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de compra está confirmada y los modelos tienen tareas estándar.</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Órdenes de trabajo en ejecución con costo real y avance actualizados; inventario descontado.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CU-OT-01, CU-OT-04 a 06, RN-09, RN-10</w:t>
            </w:r>
          </w:p>
        </w:tc>
      </w:tr>
    </w:tbl>
    <w:p>
      <w:pPr>
        <w:spacing w:after="60"/>
      </w:pPr>
    </w:p>
    <w:p>
      <w:pPr>
        <w:spacing w:after="120"/>
        <w:jc w:val="both"/>
      </w:pPr>
      <w:r>
        <w:t xml:space="preserve">Aspectos relevantes del flujo:</w:t>
      </w:r>
    </w:p>
    <w:p>
      <w:pPr>
        <w:pStyle w:val="ListParagraph"/>
        <w:numPr>
          <w:ilvl w:val="0"/>
          <w:numId w:val="2"/>
        </w:numPr>
        <w:spacing w:after="60"/>
      </w:pPr>
      <w:r>
        <w:t xml:space="preserve">Se genera una orden de trabajo por línea de la orden de compra, con las tareas copiadas del modelo y el costo estimado heredado de la cotización.</w:t>
      </w:r>
    </w:p>
    <w:p>
      <w:pPr>
        <w:pStyle w:val="ListParagraph"/>
        <w:numPr>
          <w:ilvl w:val="0"/>
          <w:numId w:val="2"/>
        </w:numPr>
        <w:spacing w:after="60"/>
      </w:pPr>
      <w:r>
        <w:t xml:space="preserve">El registro de horas valoriza con la tarifa vigente a la fecha y controla el máximo diario por empleado (RN-10).</w:t>
      </w:r>
    </w:p>
    <w:p>
      <w:pPr>
        <w:pStyle w:val="ListParagraph"/>
        <w:numPr>
          <w:ilvl w:val="0"/>
          <w:numId w:val="2"/>
        </w:numPr>
        <w:spacing w:after="60"/>
      </w:pPr>
      <w:r>
        <w:t xml:space="preserve">El consumo de material verifica el stock calculado y genera en el mismo hecho el consumo y su movimiento de inventario (RN-09).</w:t>
      </w:r>
    </w:p>
    <w:p>
      <w:pPr>
        <w:pStyle w:val="ListParagraph"/>
        <w:numPr>
          <w:ilvl w:val="0"/>
          <w:numId w:val="2"/>
        </w:numPr>
        <w:spacing w:after="60"/>
      </w:pPr>
      <w:r>
        <w:t xml:space="preserve">Cada registro recalcula el costo real y el avance de la orden de trabajo.</w:t>
      </w:r>
    </w:p>
    <w:p>
      <w:pPr>
        <w:sectPr>
          <w:headerReference w:type="default" r:id="rId27"/>
          <w:footerReference w:type="default" r:id="rId28"/>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05500" cy="7315200"/>
            <wp:effectExtent t="0" r="0" b="0" l="0"/>
            <wp:docPr id="1" name="Figura 6. Diagrama de secuencia SEC-06: generación y ejecución de la orden de trabajo." descr="Figura 6. Diagrama de secuencia SEC-06: generación y ejecución de la orden de trabajo." title="Figura 6. Diagrama de secuencia SEC-06: generación y ejecución de la orden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7315200"/>
                    </a:xfrm>
                    <a:prstGeom prst="rect">
                      <a:avLst/>
                    </a:prstGeom>
                  </pic:spPr>
                </pic:pic>
              </a:graphicData>
            </a:graphic>
          </wp:inline>
        </w:drawing>
      </w:r>
    </w:p>
    <w:p>
      <w:pPr>
        <w:spacing w:after="200"/>
        <w:jc w:val="center"/>
      </w:pPr>
      <w:r>
        <w:rPr>
          <w:i/>
          <w:iCs/>
          <w:color w:val="44546A"/>
          <w:sz w:val="18"/>
          <w:szCs w:val="18"/>
        </w:rPr>
        <w:t xml:space="preserve">Figura 6. Diagrama de secuencia SEC-06: generación y ejecución de la orden de trabajo.</w:t>
      </w:r>
    </w:p>
    <w:p>
      <w:pPr>
        <w:sectPr>
          <w:headerReference w:type="default" r:id="rId29"/>
          <w:footerReference w:type="default" r:id="rId30"/>
          <w:pgSz w:w="12240" w:h="15840" w:orient="portrait"/>
          <w:pgMar w:top="1440" w:right="1440" w:bottom="1440" w:left="1440" w:header="708" w:footer="708" w:gutter="0"/>
          <w:pgNumType/>
          <w:docGrid w:linePitch="360"/>
        </w:sectPr>
      </w:pPr>
    </w:p>
    <w:p>
      <w:pPr>
        <w:pStyle w:val="Heading2"/>
      </w:pPr>
      <w:r>
        <w:t xml:space="preserve">4.7 SEC-07 — Control de calidad y cierre de la orden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Verificar la calidad del producto, liberar la orden de trabajo y cerrarla.</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 jefe de producción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Todas las tareas de la orden están terminadas.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aprobado, orden de trabajo liberada y luego cerrada y, si corresponde, saldo emitido al cliente.</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CU-CAL-03, CU-CAL-05, CU-CAL-07, CU-OT-07, CU-OT-08, RN-11, RN-12</w:t>
            </w:r>
          </w:p>
        </w:tc>
      </w:tr>
    </w:tbl>
    <w:p>
      <w:pPr>
        <w:spacing w:after="60"/>
      </w:pPr>
    </w:p>
    <w:p>
      <w:pPr>
        <w:spacing w:after="120"/>
        <w:jc w:val="both"/>
      </w:pPr>
      <w:r>
        <w:t xml:space="preserve">Aspectos relevantes del flujo:</w:t>
      </w:r>
    </w:p>
    <w:p>
      <w:pPr>
        <w:pStyle w:val="ListParagraph"/>
        <w:numPr>
          <w:ilvl w:val="0"/>
          <w:numId w:val="2"/>
        </w:numPr>
        <w:spacing w:after="60"/>
      </w:pPr>
      <w:r>
        <w:t xml:space="preserve">El inspector ejecuta el protocolo del modelo; cada medición fuera de tolerancia abre una no conformidad.</w:t>
      </w:r>
    </w:p>
    <w:p>
      <w:pPr>
        <w:pStyle w:val="ListParagraph"/>
        <w:numPr>
          <w:ilvl w:val="0"/>
          <w:numId w:val="2"/>
        </w:numPr>
        <w:spacing w:after="60"/>
      </w:pPr>
      <w:r>
        <w:t xml:space="preserve">Una no conformidad sólo se cierra con la acción correctiva registrada, y el ensayo repetido genera un nuevo resultado.</w:t>
      </w:r>
    </w:p>
    <w:p>
      <w:pPr>
        <w:pStyle w:val="ListParagraph"/>
        <w:numPr>
          <w:ilvl w:val="0"/>
          <w:numId w:val="2"/>
        </w:numPr>
        <w:spacing w:after="60"/>
      </w:pPr>
      <w:r>
        <w:t xml:space="preserve">Con todos los ensayos obligatorios conformes, el inspector aprueba el control (CU-CAL-07). Al aprobarse el último control pendiente, la orden pasa a «liberada» y se avisa por correo a producción.</w:t>
      </w:r>
    </w:p>
    <w:p>
      <w:pPr>
        <w:pStyle w:val="ListParagraph"/>
        <w:numPr>
          <w:ilvl w:val="0"/>
          <w:numId w:val="2"/>
        </w:numPr>
        <w:spacing w:after="60"/>
      </w:pPr>
      <w:r>
        <w:t xml:space="preserve">Producción sólo puede cerrar una orden liberada: si sigue en control de calidad, el cierre se rechaza indicando que falta la aprobación del inspector.</w:t>
      </w:r>
    </w:p>
    <w:p>
      <w:pPr>
        <w:pStyle w:val="ListParagraph"/>
        <w:numPr>
          <w:ilvl w:val="0"/>
          <w:numId w:val="2"/>
        </w:numPr>
        <w:spacing w:after="60"/>
      </w:pPr>
      <w:r>
        <w:t xml:space="preserve">El cierre exige además tareas terminadas, puntos obligatorios con resultado y ninguna no conformidad abierta (RN-12), y justificación si la desviación de costo supera el umbral configurado (RN-11).</w:t>
      </w:r>
    </w:p>
    <w:p>
      <w:pPr>
        <w:pStyle w:val="ListParagraph"/>
        <w:numPr>
          <w:ilvl w:val="0"/>
          <w:numId w:val="2"/>
        </w:numPr>
        <w:spacing w:after="60"/>
      </w:pPr>
      <w:r>
        <w:t xml:space="preserve">Al cerrarse la última orden de trabajo de la compra se emite el cobro del saldo con la UF del día.</w:t>
      </w:r>
    </w:p>
    <w:p>
      <w:pPr>
        <w:sectPr>
          <w:headerReference w:type="default" r:id="rId31"/>
          <w:footerReference w:type="default" r:id="rId32"/>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6457950"/>
            <wp:effectExtent t="0" r="0" b="0" l="0"/>
            <wp:docPr id="1" name="Figura 7. Diagrama de secuencia SEC-07: control de calidad y cierre de la orden de trabajo." descr="Figura 7. Diagrama de secuencia SEC-07: control de calidad y cierre de la orden de trabajo." title="Figura 7. Diagrama de secuencia SEC-07: control de calidad y cierre de la orden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6457950"/>
                    </a:xfrm>
                    <a:prstGeom prst="rect">
                      <a:avLst/>
                    </a:prstGeom>
                  </pic:spPr>
                </pic:pic>
              </a:graphicData>
            </a:graphic>
          </wp:inline>
        </w:drawing>
      </w:r>
    </w:p>
    <w:p>
      <w:pPr>
        <w:spacing w:after="200"/>
        <w:jc w:val="center"/>
      </w:pPr>
      <w:r>
        <w:rPr>
          <w:i/>
          <w:iCs/>
          <w:color w:val="44546A"/>
          <w:sz w:val="18"/>
          <w:szCs w:val="18"/>
        </w:rPr>
        <w:t xml:space="preserve">Figura 7. Diagrama de secuencia SEC-07: control de calidad y cierre de la orden de trabajo.</w:t>
      </w:r>
    </w:p>
    <w:p>
      <w:pPr>
        <w:sectPr>
          <w:headerReference w:type="default" r:id="rId33"/>
          <w:footerReference w:type="default" r:id="rId34"/>
          <w:pgSz w:w="12240" w:h="15840" w:orient="portrait"/>
          <w:pgMar w:top="1440" w:right="1440" w:bottom="1440" w:left="1440" w:header="708" w:footer="708" w:gutter="0"/>
          <w:pgNumType/>
          <w:docGrid w:linePitch="360"/>
        </w:sectPr>
      </w:pPr>
    </w:p>
    <w:p>
      <w:pPr>
        <w:pStyle w:val="Heading2"/>
      </w:pPr>
      <w:r>
        <w:t xml:space="preserve">4.8 SEC-08 — Tareas automáticas diarias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Mantener actualizados los datos externos, vencer las cotizaciones expiradas y conciliar los pagos pendientes sin intervención manual.</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Planificador (Cron Job)</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Cron Job de Render está programado con el comando tareas_diarias.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Indicadores y feriados al día, cotizaciones expiradas marcadas, pagos pendientes conciliados y registro de integraciones actualizado.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RF-PAG-03, RF-PAG-05, RF-COM-12, RF-INT-01 a 03</w:t>
            </w:r>
          </w:p>
        </w:tc>
      </w:tr>
    </w:tbl>
    <w:p>
      <w:pPr>
        <w:spacing w:after="60"/>
      </w:pPr>
    </w:p>
    <w:p>
      <w:pPr>
        <w:spacing w:after="120"/>
        <w:jc w:val="both"/>
      </w:pPr>
      <w:r>
        <w:t xml:space="preserve">Aspectos relevantes del flujo:</w:t>
      </w:r>
    </w:p>
    <w:p>
      <w:pPr>
        <w:pStyle w:val="ListParagraph"/>
        <w:numPr>
          <w:ilvl w:val="0"/>
          <w:numId w:val="2"/>
        </w:numPr>
        <w:spacing w:after="60"/>
      </w:pPr>
      <w:r>
        <w:t xml:space="preserve">Se sincronizan los indicadores económicos del día y los feriados del año actual y del siguiente.</w:t>
      </w:r>
    </w:p>
    <w:p>
      <w:pPr>
        <w:pStyle w:val="ListParagraph"/>
        <w:numPr>
          <w:ilvl w:val="0"/>
          <w:numId w:val="2"/>
        </w:numPr>
        <w:spacing w:after="60"/>
      </w:pPr>
      <w:r>
        <w:t xml:space="preserve">Toda llamada externa usa reintentos con espera incremental y queda registrada en log_integracion.</w:t>
      </w:r>
    </w:p>
    <w:p>
      <w:pPr>
        <w:pStyle w:val="ListParagraph"/>
        <w:numPr>
          <w:ilvl w:val="0"/>
          <w:numId w:val="2"/>
        </w:numPr>
        <w:spacing w:after="60"/>
      </w:pPr>
      <w:r>
        <w:t xml:space="preserve">Las cotizaciones emitidas con vigencia vencida pasan a vencida con su historial.</w:t>
      </w:r>
    </w:p>
    <w:p>
      <w:pPr>
        <w:pStyle w:val="ListParagraph"/>
        <w:numPr>
          <w:ilvl w:val="0"/>
          <w:numId w:val="2"/>
        </w:numPr>
        <w:spacing w:after="60"/>
      </w:pPr>
      <w:r>
        <w:t xml:space="preserve">Los pagos que quedaron pendientes de conciliación (por ejemplo, si el cliente cerró el navegador antes de volver de PayPal) se consultan de nuevo en la pasarela. Si PayPal confirma la captura y el monto coincide, el documento queda pagado, la orden avanza y se envía el correo de pago confirmado.</w:t>
      </w:r>
    </w:p>
    <w:p>
      <w:pPr>
        <w:pStyle w:val="ListParagraph"/>
        <w:numPr>
          <w:ilvl w:val="0"/>
          <w:numId w:val="2"/>
        </w:numPr>
        <w:spacing w:after="60"/>
      </w:pPr>
      <w:r>
        <w:t xml:space="preserve">Cada tarea, y cada pago dentro de la conciliación, es independiente: la falla de un servicio externo no impide las demás.</w:t>
      </w:r>
    </w:p>
    <w:p>
      <w:pPr>
        <w:sectPr>
          <w:headerReference w:type="default" r:id="rId35"/>
          <w:footerReference w:type="default" r:id="rId36"/>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6619875"/>
            <wp:effectExtent t="0" r="0" b="0" l="0"/>
            <wp:docPr id="1" name="Figura 8. Diagrama de secuencia SEC-08: tareas automáticas diarias." descr="Figura 8. Diagrama de secuencia SEC-08: tareas automáticas diarias." title="Figura 8. Diagrama de secuencia SEC-08: tareas automáticas di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6619875"/>
                    </a:xfrm>
                    <a:prstGeom prst="rect">
                      <a:avLst/>
                    </a:prstGeom>
                  </pic:spPr>
                </pic:pic>
              </a:graphicData>
            </a:graphic>
          </wp:inline>
        </w:drawing>
      </w:r>
    </w:p>
    <w:p>
      <w:pPr>
        <w:spacing w:after="200"/>
        <w:jc w:val="center"/>
      </w:pPr>
      <w:r>
        <w:rPr>
          <w:i/>
          <w:iCs/>
          <w:color w:val="44546A"/>
          <w:sz w:val="18"/>
          <w:szCs w:val="18"/>
        </w:rPr>
        <w:t xml:space="preserve">Figura 8. Diagrama de secuencia SEC-08: tareas automáticas diarias.</w:t>
      </w:r>
    </w:p>
    <w:p>
      <w:pPr>
        <w:sectPr>
          <w:headerReference w:type="default" r:id="rId37"/>
          <w:footerReference w:type="default" r:id="rId38"/>
          <w:pgSz w:w="12240" w:h="15840" w:orient="portrait"/>
          <w:pgMar w:top="1440" w:right="1440" w:bottom="1440" w:left="1440" w:header="708" w:footer="708" w:gutter="0"/>
          <w:pgNumType/>
          <w:docGrid w:linePitch="360"/>
        </w:sectPr>
      </w:pPr>
    </w:p>
    <w:p>
      <w:pPr>
        <w:pStyle w:val="Heading2"/>
      </w:pPr>
      <w:r>
        <w:t xml:space="preserve">4.9 SEC-09 — Administración del canal web desde el escritorio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Modificar en caliente el comportamiento del portal web desde la aplicación de escritorio.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usuario tiene el permiso canal_web.actualizar o parametro.actualizar según el ámbito del parámetro.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 actualizado y auditado; el portal refleja el cambio en la siguiente petición.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 RF-ADM-02, RF-ADM-07</w:t>
            </w:r>
          </w:p>
        </w:tc>
      </w:tr>
    </w:tbl>
    <w:p>
      <w:pPr>
        <w:spacing w:after="60"/>
      </w:pPr>
    </w:p>
    <w:p>
      <w:pPr>
        <w:spacing w:after="120"/>
        <w:jc w:val="both"/>
      </w:pPr>
      <w:r>
        <w:t xml:space="preserve">Aspectos relevantes del flujo:</w:t>
      </w:r>
    </w:p>
    <w:p>
      <w:pPr>
        <w:pStyle w:val="ListParagraph"/>
        <w:numPr>
          <w:ilvl w:val="0"/>
          <w:numId w:val="2"/>
        </w:numPr>
        <w:spacing w:after="60"/>
      </w:pPr>
      <w:r>
        <w:t xml:space="preserve">La API verifica el permiso general y, además, el ámbito del parámetro; un rechazo queda en auditoría como acceso denegado.</w:t>
      </w:r>
    </w:p>
    <w:p>
      <w:pPr>
        <w:pStyle w:val="ListParagraph"/>
        <w:numPr>
          <w:ilvl w:val="0"/>
          <w:numId w:val="2"/>
        </w:numPr>
        <w:spacing w:after="60"/>
      </w:pPr>
      <w:r>
        <w:t xml:space="preserve">El cambio registra al responsable y deja el valor anterior y el nuevo en la bitácora (RF-ADM-07).</w:t>
      </w:r>
    </w:p>
    <w:p>
      <w:pPr>
        <w:pStyle w:val="ListParagraph"/>
        <w:numPr>
          <w:ilvl w:val="0"/>
          <w:numId w:val="2"/>
        </w:numPr>
        <w:spacing w:after="60"/>
      </w:pPr>
      <w:r>
        <w:t xml:space="preserve">El middleware de la web lee el parámetro en cada petición, por lo que el efecto es inmediato y no requiere redesplegar.</w:t>
      </w:r>
    </w:p>
    <w:p>
      <w:pPr>
        <w:sectPr>
          <w:headerReference w:type="default" r:id="rId39"/>
          <w:footerReference w:type="default" r:id="rId4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8229600" cy="4943475"/>
            <wp:effectExtent t="0" r="0" b="0" l="0"/>
            <wp:docPr id="1" name="Figura 9. Diagrama de secuencia SEC-09: administración del canal web desde el escritorio." descr="Figura 9. Diagrama de secuencia SEC-09: administración del canal web desde el escritorio." title="Figura 9. Diagrama de secuencia SEC-09: administración del canal web desde el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229600" cy="4943475"/>
                    </a:xfrm>
                    <a:prstGeom prst="rect">
                      <a:avLst/>
                    </a:prstGeom>
                  </pic:spPr>
                </pic:pic>
              </a:graphicData>
            </a:graphic>
          </wp:inline>
        </w:drawing>
      </w:r>
    </w:p>
    <w:p>
      <w:pPr>
        <w:spacing w:after="200"/>
        <w:jc w:val="center"/>
      </w:pPr>
      <w:r>
        <w:rPr>
          <w:i/>
          <w:iCs/>
          <w:color w:val="44546A"/>
          <w:sz w:val="18"/>
          <w:szCs w:val="18"/>
        </w:rPr>
        <w:t xml:space="preserve">Figura 9. Diagrama de secuencia SEC-09: administración del canal web desde el escritorio.</w:t>
      </w:r>
    </w:p>
    <w:p>
      <w:pPr>
        <w:sectPr>
          <w:headerReference w:type="default" r:id="rId41"/>
          <w:footerReference w:type="default" r:id="rId42"/>
          <w:pgSz w:w="15840" w:h="12240" w:orient="landscape"/>
          <w:pgMar w:top="1440" w:right="1440" w:bottom="1440" w:left="1440" w:header="708" w:footer="708" w:gutter="0"/>
          <w:pgNumType/>
          <w:docGrid w:linePitch="360"/>
        </w:sectPr>
      </w:pPr>
    </w:p>
    <w:p>
      <w:pPr>
        <w:pStyle w:val="Heading2"/>
      </w:pPr>
      <w:r>
        <w:t xml:space="preserve">4.10 SEC-10 — Consulta del seguimiento de un pedido por la API pública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Entregar al cliente o a un sistema externo la etapa, el avance, la fecha estimada de entrega y el historial de un pedido, sin iniciar sesión.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(desde la página de seguimiento) o sistema externo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consumidor tiene una clave de API con el servicio «seguimiento» y conoce el número de la orden y el código de seguimiento.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Respuesta con el estado del pedido, sin montos ni datos del cliente; consulta registrada en log_integracion como api_seguimiento.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CU-REP-06, RF-OT-09, RF-OT-12, RF-INT-04, RN-08, RN-16, RNF-21</w:t>
            </w:r>
          </w:p>
        </w:tc>
      </w:tr>
    </w:tbl>
    <w:p>
      <w:pPr>
        <w:spacing w:after="60"/>
      </w:pPr>
    </w:p>
    <w:p>
      <w:pPr>
        <w:spacing w:after="120"/>
        <w:jc w:val="both"/>
      </w:pPr>
      <w:r>
        <w:t xml:space="preserve">Aspectos relevantes del flujo:</w:t>
      </w:r>
    </w:p>
    <w:p>
      <w:pPr>
        <w:pStyle w:val="ListParagraph"/>
        <w:numPr>
          <w:ilvl w:val="0"/>
          <w:numId w:val="2"/>
        </w:numPr>
        <w:spacing w:after="60"/>
      </w:pPr>
      <w:r>
        <w:t xml:space="preserve">La autenticación por clave, el permiso por servicio y el límite por consumidor se aplican antes de tocar la base de datos.</w:t>
      </w:r>
    </w:p>
    <w:p>
      <w:pPr>
        <w:pStyle w:val="ListParagraph"/>
        <w:numPr>
          <w:ilvl w:val="0"/>
          <w:numId w:val="2"/>
        </w:numPr>
        <w:spacing w:after="60"/>
      </w:pPr>
      <w:r>
        <w:t xml:space="preserve">El código de seguimiento no se almacena: se recalcula con HMAC-SHA256 y se compara con compare_digest, que tarda lo mismo aunque el código esté mal desde el primer carácter.</w:t>
      </w:r>
    </w:p>
    <w:p>
      <w:pPr>
        <w:pStyle w:val="ListParagraph"/>
        <w:numPr>
          <w:ilvl w:val="0"/>
          <w:numId w:val="2"/>
        </w:numPr>
        <w:spacing w:after="60"/>
      </w:pPr>
      <w:r>
        <w:t xml:space="preserve">Un número inexistente y un código incorrecto producen el mismo 404, para que no se pueda averiguar qué pedidos existen.</w:t>
      </w:r>
    </w:p>
    <w:p>
      <w:pPr>
        <w:pStyle w:val="ListParagraph"/>
        <w:numPr>
          <w:ilvl w:val="0"/>
          <w:numId w:val="2"/>
        </w:numPr>
        <w:spacing w:after="60"/>
      </w:pPr>
      <w:r>
        <w:t xml:space="preserve">La etapa la marca la orden de trabajo más atrasada; el avance durante la fabricación es 15 % más 60 % por el avance promedio de las órdenes de trabajo.</w:t>
      </w:r>
    </w:p>
    <w:p>
      <w:pPr>
        <w:pStyle w:val="ListParagraph"/>
        <w:numPr>
          <w:ilvl w:val="0"/>
          <w:numId w:val="2"/>
        </w:numPr>
        <w:spacing w:after="60"/>
      </w:pPr>
      <w:r>
        <w:t xml:space="preserve">El registro de la consulta guarda la ruta y el consumidor, pero no el código de seguimiento.</w:t>
      </w:r>
    </w:p>
    <w:p>
      <w:pPr>
        <w:sectPr>
          <w:headerReference w:type="default" r:id="rId39"/>
          <w:footerReference w:type="default" r:id="rId4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7655441" cy="5486399"/>
            <wp:effectExtent t="0" r="0" b="0" l="0"/>
            <wp:docPr id="1" name="Figura 9. Diagrama de secuencia SEC-09: administración del canal web desde el escritorio." descr="Figura 10. Diagrama de secuencia SEC-10: consulta del seguimiento de un pedido por la API pública." title="Figura 10. Diagrama de secuencia SEC-10: consulta del seguimiento de un pedido por la API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7655441" cy="5486399"/>
                    </a:xfrm>
                    <a:prstGeom prst="rect">
                      <a:avLst/>
                    </a:prstGeom>
                  </pic:spPr>
                </pic:pic>
              </a:graphicData>
            </a:graphic>
          </wp:inline>
        </w:drawing>
      </w:r>
    </w:p>
    <w:p>
      <w:pPr>
        <w:spacing w:after="200"/>
        <w:jc w:val="center"/>
      </w:pPr>
      <w:r>
        <w:rPr>
          <w:i/>
          <w:iCs/>
          <w:color w:val="44546A"/>
          <w:sz w:val="18"/>
          <w:szCs w:val="18"/>
        </w:rPr>
        <w:t xml:space="preserve">Figura 10. Diagrama de secuencia SEC-10: consulta del seguimiento de un pedido por la API pública.</w:t>
      </w:r>
    </w:p>
    <w:p>
      <w:pPr>
        <w:sectPr>
          <w:headerReference w:type="default" r:id="rId41"/>
          <w:footerReference w:type="default" r:id="rId42"/>
          <w:pgSz w:w="15840" w:h="12240" w:orient="landscape"/>
          <w:pgMar w:top="1440" w:right="1440" w:bottom="1440" w:left="1440" w:header="708" w:footer="708" w:gutter="0"/>
          <w:pgNumType/>
          <w:docGrid w:linePitch="360"/>
        </w:sectPr>
      </w:pPr>
    </w:p>
    <w:p>
      <w:pPr>
        <w:pStyle w:val="Heading2"/>
      </w:pPr>
      <w:r>
        <w:t xml:space="preserve">4.11 SEC-11 — Estimación de precio por la API del cotizador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Elemento</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Objetivo</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Entregar un precio referencial al instante, con plazo de entrega y validez, antes de pedir una cotización formal.</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(desde la ficha del modelo) o sistema externo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consumidor tiene una clave con el servicio «cotizador» y los modelos consultados están publicados.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Postcondición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Respuesta con precio unitario, totales en UF, pesos y dólares, fecha estimada y validez; no se crea ningún documento; consulta registrada como api_cotizador.</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CU-REP-07, RF-COM-18, RF-INT-04, RN-03, RN-08, RN-17</w:t>
            </w:r>
          </w:p>
        </w:tc>
      </w:tr>
    </w:tbl>
    <w:p>
      <w:pPr>
        <w:spacing w:after="60"/>
      </w:pPr>
    </w:p>
    <w:p>
      <w:pPr>
        <w:spacing w:after="120"/>
        <w:jc w:val="both"/>
      </w:pPr>
      <w:r>
        <w:t xml:space="preserve">Aspectos relevantes del flujo:</w:t>
      </w:r>
    </w:p>
    <w:p>
      <w:pPr>
        <w:pStyle w:val="ListParagraph"/>
        <w:numPr>
          <w:ilvl w:val="0"/>
          <w:numId w:val="2"/>
        </w:numPr>
        <w:spacing w:after="60"/>
      </w:pPr>
      <w:r>
        <w:t xml:space="preserve">La entrada se valida antes de calcular: modelos publicados, cantidad dentro del tope, de 1 a 10 ítems y sin repetidos.</w:t>
      </w:r>
    </w:p>
    <w:p>
      <w:pPr>
        <w:pStyle w:val="ListParagraph"/>
        <w:numPr>
          <w:ilvl w:val="0"/>
          <w:numId w:val="2"/>
        </w:numPr>
        <w:spacing w:after="60"/>
      </w:pPr>
      <w:r>
        <w:t xml:space="preserve">El precio sale de costear_modelo, el mismo servicio que usa el ejecutivo comercial: una regla de negocio se implementa una sola vez.</w:t>
      </w:r>
    </w:p>
    <w:p>
      <w:pPr>
        <w:pStyle w:val="ListParagraph"/>
        <w:numPr>
          <w:ilvl w:val="0"/>
          <w:numId w:val="2"/>
        </w:numPr>
        <w:spacing w:after="60"/>
      </w:pPr>
      <w:r>
        <w:t xml:space="preserve">Si el modelo no tiene lista de materiales ni tareas estándar, el costeo usa el precio base; sin ninguno de los dos, el ítem se informa como no disponible.</w:t>
      </w:r>
    </w:p>
    <w:p>
      <w:pPr>
        <w:pStyle w:val="ListParagraph"/>
        <w:numPr>
          <w:ilvl w:val="0"/>
          <w:numId w:val="2"/>
        </w:numPr>
        <w:spacing w:after="60"/>
      </w:pPr>
      <w:r>
        <w:t xml:space="preserve">La respuesta sólo contiene el precio de venta: nunca los costos de materiales, horas hombre, recargos ni margen.</w:t>
      </w:r>
    </w:p>
    <w:p>
      <w:pPr>
        <w:pStyle w:val="ListParagraph"/>
        <w:numPr>
          <w:ilvl w:val="0"/>
          <w:numId w:val="2"/>
        </w:numPr>
        <w:spacing w:after="60"/>
      </w:pPr>
      <w:r>
        <w:t xml:space="preserve">La UF y el dólar salen de la serie histórica de indicadores; si falta la UF del día se usa el último valor conocido y se avisa.</w:t>
      </w:r>
    </w:p>
    <w:p>
      <w:pPr>
        <w:sectPr>
          <w:headerReference w:type="default" r:id="rId39"/>
          <w:footerReference w:type="default" r:id="rId4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8229600" cy="5347206"/>
            <wp:effectExtent t="0" r="0" b="0" l="0"/>
            <wp:docPr id="1" name="Figura 9. Diagrama de secuencia SEC-09: administración del canal web desde el escritorio." descr="Figura 11. Diagrama de secuencia SEC-11: estimación de precio por la API del cotizador." title="Figura 11. Diagrama de secuencia SEC-11: estimación de precio por la API del cot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229600" cy="5347206"/>
                    </a:xfrm>
                    <a:prstGeom prst="rect">
                      <a:avLst/>
                    </a:prstGeom>
                  </pic:spPr>
                </pic:pic>
              </a:graphicData>
            </a:graphic>
          </wp:inline>
        </w:drawing>
      </w:r>
    </w:p>
    <w:p>
      <w:pPr>
        <w:spacing w:after="200"/>
        <w:jc w:val="center"/>
      </w:pPr>
      <w:r>
        <w:rPr>
          <w:i/>
          <w:iCs/>
          <w:color w:val="44546A"/>
          <w:sz w:val="18"/>
          <w:szCs w:val="18"/>
        </w:rPr>
        <w:t xml:space="preserve">Figura 11. Diagrama de secuencia SEC-11: estimación de precio por la API del cotizador.</w:t>
      </w:r>
    </w:p>
    <w:p>
      <w:pPr>
        <w:sectPr>
          <w:headerReference w:type="default" r:id="rId41"/>
          <w:footerReference w:type="default" r:id="rId42"/>
          <w:pgSz w:w="15840" w:h="12240" w:orient="landscape"/>
          <w:pgMar w:top="1440" w:right="1440" w:bottom="1440" w:left="1440" w:header="708" w:footer="708" w:gutter="0"/>
          <w:pgNumType/>
          <w:docGrid w:linePitch="360"/>
        </w:sectPr>
      </w:pPr>
    </w:p>
    <w:p>
      <w:pPr>
        <w:pStyle w:val="Heading1"/>
      </w:pPr>
      <w:r>
        <w:t xml:space="preserve">5.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5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08-10-2026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elaborada a partir del código implementado en la Fase 2.</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1.1</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SEC-07: se agrega la aprobación del control por el inspector, el estado «liberada» y el aviso a producción; el cierre exige la orden liberada. SEC-08: se agrega la conciliación diaria de pagos pendientes con PayPal.</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1.2</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19-10-2026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 agregan SEC-10 (consulta del seguimiento por la API pública) y SEC-11 (estimación de precio por la API del cotizador), el componente API pública y el índice actualizado.</w:t>
            </w:r>
          </w:p>
        </w:tc>
      </w:tr>
    </w:tbl>
    <w:p>
      <w:pPr>
        <w:spacing w:after="60"/>
      </w:pPr>
    </w:p>
    <w:sectPr>
      <w:headerReference w:type="default" r:id="rId43"/>
      <w:footerReference w:type="default" r:id="rId4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SEC-01 Diagramas de Secuencia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onsolas" w:cs="Consolas" w:eastAsia="Consolas" w:hAnsi="Consolas"/>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image" Target="media/1f8c1e81ed083cdddd23973f6daa96c0fa0490d0.png"/><Relationship Id="rId46" Type="http://schemas.openxmlformats.org/officeDocument/2006/relationships/image" Target="media/f34464be4a221454b33e12b4e0c0d8c8b6a6ef0c.png"/><Relationship Id="rId47" Type="http://schemas.openxmlformats.org/officeDocument/2006/relationships/image" Target="media/55e693dfb8387bb78f63f4fccd8decb5b88b8e22.png"/><Relationship Id="rId48" Type="http://schemas.openxmlformats.org/officeDocument/2006/relationships/image" Target="media/b98e6cce5db6e4d3a3f9fc5952869eb8bddde20e.png"/><Relationship Id="rId49" Type="http://schemas.openxmlformats.org/officeDocument/2006/relationships/image" Target="media/9a5cab3c33a4c52f67910dab2969f980e7984687.png"/><Relationship Id="rId50" Type="http://schemas.openxmlformats.org/officeDocument/2006/relationships/image" Target="media/feeae69e947a78e9bc941e559c99af57987884d1.png"/><Relationship Id="rId51" Type="http://schemas.openxmlformats.org/officeDocument/2006/relationships/image" Target="media/732727538de207e3b6fcf05a367923f730ca6db5.png"/><Relationship Id="rId52" Type="http://schemas.openxmlformats.org/officeDocument/2006/relationships/image" Target="media/6b8b46d3537e56048f354c92f9bfc711b4b932f6.png"/><Relationship Id="rId53" Type="http://schemas.openxmlformats.org/officeDocument/2006/relationships/image" Target="media/76609cf3203c527ea7fe8ea7fc2c6cfb587c8861.png"/><Relationship Id="rId54" Type="http://schemas.openxmlformats.org/officeDocument/2006/relationships/fontTable" Target="fontTable.xml"/><Relationship Id="rId55" Type="http://schemas.openxmlformats.org/officeDocument/2006/relationships/image" Target="media/image1.png"/><Relationship Id="rId56"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SEC-01  ·  Versión 1.1</dc:title>
  <dc:creator>Benjamín Delgado Bravo</dc:creator>
  <cp:lastModifiedBy>Un-named</cp:lastModifiedBy>
  <cp:revision>1</cp:revision>
  <dcterms:created xsi:type="dcterms:W3CDTF">2026-10-11T02:05:55.166Z</dcterms:created>
  <dcterms:modified xsi:type="dcterms:W3CDTF">2026-10-11T02:05:55.167Z</dcterms:modified>
</cp:coreProperties>
</file>

<file path=docProps/custom.xml><?xml version="1.0" encoding="utf-8"?>
<Properties xmlns="http://schemas.openxmlformats.org/officeDocument/2006/custom-properties" xmlns:vt="http://schemas.openxmlformats.org/officeDocument/2006/docPropsVTypes"/>
</file>