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EVIDENCIAS DE FUNCIONAMIENTO DEL SISTEMA</w:t>
      </w:r>
    </w:p>
    <w:p>
      <w:pPr>
        <w:spacing w:after="500"/>
        <w:jc w:val="center"/>
      </w:pPr>
      <w:r>
        <w:rPr>
          <w:color w:val="2E5496"/>
          <w:sz w:val="26"/>
          <w:szCs w:val="26"/>
        </w:rPr>
        <w:t xml:space="preserve">EVI-01  ·  Versión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 — Evidencias de funcionamiento del sistema desplegado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v2.2; SEC-01; ARQ-01 v1.1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y SITRAFO.exe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incluidas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 pasos, 27 capturas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alcance</w:t>
      </w:r>
    </w:p>
    <w:p>
      <w:pPr>
        <w:spacing w:after="120"/>
        <w:jc w:val="both"/>
      </w:pPr>
      <w:r>
        <w:t xml:space="preserve">Este documento reúne la evidencia del funcionamiento de SITRAFO en su ambiente desplegado. Recorre el ciclo completo de un pedido —desde que el cliente solicita un presupuesto en la web hasta que la orden de compra se entrega— y muestra, en cada paso, la pantalla real del sistema, el usuario que la opera y las reglas de negocio que se cumplen.</w:t>
      </w:r>
    </w:p>
    <w:p>
      <w:pPr>
        <w:spacing w:after="120"/>
        <w:jc w:val="both"/>
      </w:pPr>
      <w:r>
        <w:t xml:space="preserve">Las capturas de las evidencias 1 a 12 se tomaron el 8 y el 9 de octubre de 2026 sobre el sistema publicado en https://sitrafo.onrender.com: la aplicación web del cliente en el navegador y la aplicación de escritorio (SITRAFO.exe) conectada a la API en https://sitrafo.onrender.com/api/v1, como se lee en la barra de estado de cada ventana. Los correos se recibieron en una casilla real a través de Brevo y el pago se procesó en el ambiente sandbox de PayPal.</w:t>
      </w:r>
    </w:p>
    <w:p>
      <w:pPr>
        <w:spacing w:after="120"/>
        <w:jc w:val="both"/>
      </w:pPr>
      <w:r>
        <w:t xml:space="preserve">La evidencia 13 muestra funciones incorporadas el 10 de octubre de 2026 —aprobación explícita del control de calidad, bandeja de pendientes y avisos por correo entre roles— y se capturó ese mismo día sobre el sistema publicado, con la versión escritorio-v1.1 de SITRAFO.exe.</w:t>
      </w:r>
    </w:p>
    <w:p>
      <w:pPr>
        <w:spacing w:after="120"/>
        <w:jc w:val="both"/>
      </w:pPr>
      <w:r>
        <w:t xml:space="preserve">Las evidencias 14 y 15 muestran las APIs públicas propias, incorporadas en el Sprint 3. Se capturaron el 19 de octubre de 2026 en el ambiente local con los datos de demostración, porque la API del cotizador todavía no se publica en Render. Por eso la barra de estado del escritorio indica 127.0.0.1 en vez del servidor publicado, y la UF y el dólar corresponden a los valores de mindicador.cl de ese día.</w:t>
      </w:r>
    </w:p>
    <w:p>
      <w:pPr>
        <w:spacing w:after="120"/>
        <w:jc w:val="both"/>
      </w:pPr>
      <w:r>
        <w:t xml:space="preserve">Los datos son de demostración. Los pasos usan los documentos que estaban disponibles en ese momento, por lo que no todos corresponden a la misma orden: cada evidencia indica sobre qué documento se tomó.</w:t>
      </w:r>
    </w:p>
    <w:p>
      <w:pPr>
        <w:pStyle w:val="Heading1"/>
        <w:pageBreakBefore/>
      </w:pPr>
      <w:r>
        <w:t xml:space="preserve">2. Ambiente y usuarios de la demostración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Componente</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web del cliente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 (Django,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REST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https://sitrafo.onrender.com/api/v1 (Django REST Framework, JWT)</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Aplicación de escritorio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SITRAFO.exe (PySide6), compilada con PyInstaller en GitHub Actions</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Base de datos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PostgreSQL 16 en Render</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Correo</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Brevo (API transaccional)</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Pagos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PayPal REST v2, ambiente sandbox</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Indicadores</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mindicador.cl (UF y dólar observado)</w:t>
            </w:r>
          </w:p>
        </w:tc>
      </w:tr>
    </w:tbl>
    <w:p>
      <w:pPr>
        <w:spacing w:after="60"/>
      </w:pPr>
    </w:p>
    <w:p>
      <w:pPr>
        <w:pStyle w:val="Heading2"/>
      </w:pPr>
      <w:r>
        <w:t xml:space="preserve">2.1 Usuarios utilizados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00"/>
        <w:gridCol w:w="2660"/>
      </w:tblGrid>
      <w:tr>
        <w:trPr>
          <w:tblHeader/>
        </w:trPr>
        <w:tc>
          <w:tcPr>
            <w:tcW w:type="dxa" w:w="1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w:t>
            </w:r>
          </w:p>
        </w:tc>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Evidencias</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(Eléctrica del Maipo SpA)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1, 5, 6, 14, 15</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2, 3, 11, 13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comercial2</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7, 10, 13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9, 13</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bodega</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11, 12, 14, 15</w:t>
            </w:r>
          </w:p>
        </w:tc>
      </w:tr>
      <w:tr>
        <w:trPr>
          <w:cantSplit/>
        </w:trPr>
        <w:tc>
          <w:tcPr>
            <w:tcW w:type="dxa" w:w="1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sesión)</w:t>
            </w:r>
          </w:p>
        </w:tc>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con número y código de seguimiento</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r>
    </w:tbl>
    <w:p>
      <w:pPr>
        <w:spacing w:after="60"/>
      </w:pPr>
    </w:p>
    <w:p>
      <w:pPr>
        <w:pStyle w:val="Heading1"/>
        <w:pageBreakBefore/>
      </w:pPr>
      <w:r>
        <w:t xml:space="preserve">3. Resumen de evidencias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2300"/>
        <w:gridCol w:w="1500"/>
        <w:gridCol w:w="1460"/>
      </w:tblGrid>
      <w:tr>
        <w:trPr>
          <w:tblHeader/>
        </w:trPr>
        <w:tc>
          <w:tcPr>
            <w:tcW w:type="dxa" w:w="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Evidencia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Reglas</w:t>
            </w:r>
          </w:p>
        </w:tc>
        <w:tc>
          <w:tcPr>
            <w:tcW w:type="dxa" w:w="1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del cliente y solicitud de presupuesto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 HU-03</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Costeo y elaboración de la cotización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CU-COM-04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RN-11</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del descuento por otro usuario y emisión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 CU-COM-07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RN-08</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 HU-14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con la cotización en PDF</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 CU-COM-15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HU-04</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del cliente y orden de compra automática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CU-COM-09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HU-05, HU-06</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con PayPal</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CU-PAG-03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HU-06,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Orden de trabajo con tareas y responsables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CU-OT-03, CU-OT-11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en taller y rechazo por stock insuficiente</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 a CU-OT-06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RN-10</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HU-10</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Ensayo fuera de rango y no conformidad</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CU-CAL-04, CU-CAL-05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Cierre de la OT y cobro del saldo</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 CU-PAG-01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HU-08, HU-11</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 kardex y bitácora de auditoría</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 CU-INV-07, CU-SEG-05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RN-14,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 HU-12</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12</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de gestión</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13</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Aprobación de calidad, bandeja de pendientes y avisos entre roles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CU-CAL-07, CU-OT-08, CU-REP-04, CU-REP-05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14</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 seguimiento de pedidos</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CU-OT-09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RN-08, RN-16</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HU-15</w:t>
            </w:r>
          </w:p>
        </w:tc>
      </w:tr>
      <w:tr>
        <w:trPr>
          <w:cantSplit/>
        </w:trPr>
        <w:tc>
          <w:tcPr>
            <w:tcW w:type="dxa" w:w="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15</w:t>
            </w:r>
          </w:p>
        </w:tc>
        <w:tc>
          <w:tcPr>
            <w:tcW w:type="dxa" w:w="3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del cotizador</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RN-08, RN-17</w:t>
            </w:r>
          </w:p>
        </w:tc>
        <w:tc>
          <w:tcPr>
            <w:tcW w:type="dxa" w:w="1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HU-16</w:t>
            </w:r>
          </w:p>
        </w:tc>
      </w:tr>
    </w:tbl>
    <w:p>
      <w:pPr>
        <w:spacing w:after="60"/>
      </w:pPr>
    </w:p>
    <w:p>
      <w:r>
        <w:br w:type="page"/>
      </w:r>
    </w:p>
    <w:p>
      <w:pPr>
        <w:pStyle w:val="Heading1"/>
        <w:pageBreakBefore/>
      </w:pPr>
      <w:r>
        <w:t xml:space="preserve">Evidencia 1. Ingreso del cliente y solicitud de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(la solicitud parte de un modelo del catálogo), RN-16 (el cliente sólo ve sus propios documentos)</w:t>
            </w:r>
          </w:p>
        </w:tc>
      </w:tr>
    </w:tbl>
    <w:p>
      <w:pPr>
        <w:spacing w:after="60"/>
      </w:pPr>
    </w:p>
    <w:p>
      <w:pPr>
        <w:spacing w:after="120"/>
        <w:jc w:val="both"/>
      </w:pPr>
      <w:r>
        <w:t xml:space="preserve">El cliente ingresa al portal con su nombre de acceso y contraseña, y desde «Solicitudes» pide un presupuesto: elige un modelo de referencia del catálogo, las unidades, la fecha deseada y una de sus direcciones de instalación registradas, y completa la especificación técnica que exige ese modelo.</w:t>
      </w:r>
    </w:p>
    <w:p>
      <w:pPr>
        <w:spacing w:after="120"/>
        <w:jc w:val="both"/>
      </w:pPr>
      <w:r>
        <w:t xml:space="preserve">Resultado observado: la solicitud queda registrada y aparece en la bandeja del área comercial (evidencia 2) con su especificación técnica.</w:t>
      </w:r>
    </w:p>
    <w:p>
      <w:pPr>
        <w:keepNext/>
        <w:spacing w:before="120"/>
        <w:jc w:val="center"/>
      </w:pPr>
      <w:r>
        <w:drawing>
          <wp:inline distT="0" distB="0" distL="0" distR="0">
            <wp:extent cx="5943600" cy="3057525"/>
            <wp:effectExtent t="0" r="0" b="0" l="0"/>
            <wp:docPr id="1" name="Figura 1. Ingreso al portal de clientes." descr="Figura 1. Ingreso al portal de clientes." title="Figura 1. Ingreso al portal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i/>
          <w:iCs/>
          <w:color w:val="44546A"/>
          <w:sz w:val="18"/>
          <w:szCs w:val="18"/>
        </w:rPr>
        <w:t xml:space="preserve">Figura 1. Ingreso al portal de clientes.</w:t>
      </w:r>
    </w:p>
    <w:p>
      <w:pPr>
        <w:keepNext/>
        <w:spacing w:before="120"/>
        <w:jc w:val="center"/>
      </w:pPr>
      <w:r>
        <w:drawing>
          <wp:inline distT="0" distB="0" distL="0" distR="0">
            <wp:extent cx="5943600" cy="3086100"/>
            <wp:effectExtent t="0" r="0" b="0" l="0"/>
            <wp:docPr id="1" name="Figura 2. Formulario de solicitud de presupuesto con la especificación técnica del modelo." descr="Figura 2. Formulario de solicitud de presupuesto con la especificación técnica del modelo." title="Figura 2. Formulario de solicitud de presupuesto con la especificación técnica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2. Formulario de solicitud de presupuesto con la especificación técnica del modelo.</w:t>
      </w:r>
    </w:p>
    <w:p>
      <w:pPr>
        <w:spacing w:after="160" w:before="80"/>
      </w:pPr>
      <w:r>
        <w:rPr>
          <w:i/>
          <w:iCs/>
          <w:color w:val="44546A"/>
          <w:sz w:val="19"/>
          <w:szCs w:val="19"/>
        </w:rPr>
        <w:t xml:space="preserve">Observación: en esta captura la tensión primaria y secundaria tienen valores de prueba fuera de lo real (1.000.000 kV y 2.000.000 V) y el sistema los aceptó. Se registró como hallazgo H-01 y ya está corregido (sección 4).</w:t>
      </w:r>
    </w:p>
    <w:p>
      <w:pPr>
        <w:pStyle w:val="Heading1"/>
        <w:pageBreakBefore/>
      </w:pPr>
      <w:r>
        <w:t xml:space="preserve">Evidencia 2. Costeo y elaboración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 escritorio, panel 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 la UF del día), RN-11 (costo estimado desde la lista de materiales y las horas hombre)</w:t>
            </w:r>
          </w:p>
        </w:tc>
      </w:tr>
    </w:tbl>
    <w:p>
      <w:pPr>
        <w:spacing w:after="60"/>
      </w:pPr>
    </w:p>
    <w:p>
      <w:pPr>
        <w:spacing w:after="120"/>
        <w:jc w:val="both"/>
      </w:pPr>
      <w:r>
        <w:t xml:space="preserve">El ejecutivo ve la solicitud recibida SP-2026-0008 con su especificación técnica, se la asigna y abre «Elaborar cotización». El sistema calcula el costo unitario estimado con la lista de materiales del modelo (132,00 UF) y las horas hombre (9,0 h × 0,50 UF), propone el precio con el margen definido y muestra el total en UF y en pesos con la UF del 07-10-2026.</w:t>
      </w:r>
    </w:p>
    <w:p>
      <w:pPr>
        <w:spacing w:after="120"/>
        <w:jc w:val="both"/>
      </w:pPr>
      <w:r>
        <w:t xml:space="preserve">Resultado observado: la cotización se crea como borrador (COT-2026-0010, 187,69 UF) y la solicitud pasa a «Asignada (comercial)».</w:t>
      </w:r>
    </w:p>
    <w:p>
      <w:pPr>
        <w:keepNext/>
        <w:spacing w:before="120"/>
        <w:jc w:val="center"/>
      </w:pPr>
      <w:r>
        <w:drawing>
          <wp:inline distT="0" distB="0" distL="0" distR="0">
            <wp:extent cx="5943600" cy="3200400"/>
            <wp:effectExtent t="0" r="0" b="0" l="0"/>
            <wp:docPr id="1" name="Figura 3. Bandeja de solicitudes de presupuesto con la especificación técnica de SP-2026-0008." descr="Figura 3. Bandeja de solicitudes de presupuesto con la especificación técnica de SP-2026-0008." title="Figura 3. Bandeja de solicitudes de presupuesto con la especificación técnica de SP-2026-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3. Bandeja de solicitudes de presupuesto con la especificación técnica de SP-2026-0008.</w:t>
      </w:r>
    </w:p>
    <w:p>
      <w:pPr>
        <w:keepNext/>
        <w:spacing w:before="120"/>
        <w:jc w:val="center"/>
      </w:pPr>
      <w:r>
        <w:drawing>
          <wp:inline distT="0" distB="0" distL="0" distR="0">
            <wp:extent cx="5943600" cy="3200400"/>
            <wp:effectExtent t="0" r="0" b="0" l="0"/>
            <wp:docPr id="1" name="Figura 4. Costeo automático y condiciones de la cotización." descr="Figura 4. Costeo automático y condiciones de la cotización." title="Figura 4. Costeo automático y condicione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4. Costeo automático y condiciones de la cotización.</w:t>
      </w:r>
    </w:p>
    <w:p>
      <w:pPr>
        <w:pStyle w:val="Heading1"/>
        <w:pageBreakBefore/>
      </w:pPr>
      <w:r>
        <w:t xml:space="preserve">Evidencia 3. Aprobación del descuento por otro usuario y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y comercial2 · escritorio, panel Cotizaciones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RN-05 (un descuento sobre el umbral lo aprueba un usuario distinto del autor), RN-08 (la UF y la vigencia se congelan al emitir)</w:t>
            </w:r>
          </w:p>
        </w:tc>
      </w:tr>
    </w:tbl>
    <w:p>
      <w:pPr>
        <w:spacing w:after="60"/>
      </w:pPr>
    </w:p>
    <w:p>
      <w:pPr>
        <w:spacing w:after="120"/>
        <w:jc w:val="both"/>
      </w:pPr>
      <w:r>
        <w:t xml:space="preserve">El usuario «comercial» envía a aprobación la COT-2026-0011, que tiene un descuento de 16 %. Luego el usuario «comercial2» la revisa y usa «Aprobar y emitir». El historial deja registro de cada cambio de estado y de quién lo hizo.</w:t>
      </w:r>
    </w:p>
    <w:p>
      <w:pPr>
        <w:spacing w:after="120"/>
        <w:jc w:val="both"/>
      </w:pPr>
      <w:r>
        <w:t xml:space="preserve">Resultado observado: la cotización queda emitida con la UF congelada en $41.115 del 07-10-2026, plazo de 30 días hábiles (entrega 20-11-2026) y vencimiento el 07-11-2026, y se envía por correo al cliente.</w:t>
      </w:r>
    </w:p>
    <w:p>
      <w:pPr>
        <w:keepNext/>
        <w:spacing w:before="120"/>
        <w:jc w:val="center"/>
      </w:pPr>
      <w:r>
        <w:drawing>
          <wp:inline distT="0" distB="0" distL="0" distR="0">
            <wp:extent cx="5943600" cy="3190875"/>
            <wp:effectExtent t="0" r="0" b="0" l="0"/>
            <wp:docPr id="1" name="Figura 5. El autor envía la cotización a aprobación (sesión comercial)." descr="Figura 5. El autor envía la cotización a aprobación (sesión comercial)." title="Figura 5. El autor envía la cotización a aprobación (ses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5. El autor envía la cotización a aprobación (sesión comercial).</w:t>
      </w:r>
    </w:p>
    <w:p>
      <w:pPr>
        <w:keepNext/>
        <w:spacing w:before="120"/>
        <w:jc w:val="center"/>
      </w:pPr>
      <w:r>
        <w:drawing>
          <wp:inline distT="0" distB="0" distL="0" distR="0">
            <wp:extent cx="5943600" cy="3209925"/>
            <wp:effectExtent t="0" r="0" b="0" l="0"/>
            <wp:docPr id="1" name="Figura 6. Otro usuario aprueba y emite la cotización (sesión comercial2)." descr="Figura 6. Otro usuario aprueba y emite la cotización (sesión comercial2)." title="Figura 6. Otro usuario aprueba y emite la cotización (sesión comerci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i/>
          <w:iCs/>
          <w:color w:val="44546A"/>
          <w:sz w:val="18"/>
          <w:szCs w:val="18"/>
        </w:rPr>
        <w:t xml:space="preserve">Figura 6. Otro usuario aprueba y emite la cotización (sesión comercial2).</w:t>
      </w:r>
    </w:p>
    <w:p>
      <w:pPr>
        <w:pStyle w:val="Heading1"/>
        <w:pageBreakBefore/>
      </w:pPr>
      <w:r>
        <w:t xml:space="preserve">Evidencia 4. Correo con la cotización en PDF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Casilla del cliente (Gmail) · correo enviado por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(equivalente en pesos con la UF congelada)</w:t>
            </w:r>
          </w:p>
        </w:tc>
      </w:tr>
    </w:tbl>
    <w:p>
      <w:pPr>
        <w:spacing w:after="60"/>
      </w:pPr>
    </w:p>
    <w:p>
      <w:pPr>
        <w:spacing w:after="120"/>
        <w:jc w:val="both"/>
      </w:pPr>
      <w:r>
        <w:t xml:space="preserve">Al emitirse la cotización, el sistema envía al contacto del cliente un correo con el resumen y el PDF adjunto.</w:t>
      </w:r>
    </w:p>
    <w:p>
      <w:pPr>
        <w:spacing w:after="120"/>
        <w:jc w:val="both"/>
      </w:pPr>
      <w:r>
        <w:t xml:space="preserve">Resultado observado: llega el correo «SITRAFO: cotización COT-2026-0011 disponible» con el total (40,55 UF, $1.667.042), la entrega comprometida, la vigencia, el botón «Revisar la cotización» y el archivo COT-2026-0011.pdf adjunto.</w:t>
      </w:r>
    </w:p>
    <w:p>
      <w:pPr>
        <w:keepNext/>
        <w:spacing w:before="120"/>
        <w:jc w:val="center"/>
      </w:pPr>
      <w:r>
        <w:drawing>
          <wp:inline distT="0" distB="0" distL="0" distR="0">
            <wp:extent cx="5943600" cy="3086100"/>
            <wp:effectExtent t="0" r="0" b="0" l="0"/>
            <wp:docPr id="1" name="Figura 7. Correo de la cotización emitida con el PDF adjunto." descr="Figura 7. Correo de la cotización emitida con el PDF adjunto." title="Figura 7. Correo de la cotización emitida con el PDF ad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7. Correo de la cotización emitida con el PDF adjunto.</w:t>
      </w:r>
    </w:p>
    <w:p>
      <w:pPr>
        <w:pStyle w:val="Heading1"/>
        <w:pageBreakBefore/>
      </w:pPr>
      <w:r>
        <w:t xml:space="preserve">Evidencia 5. Aceptación del cliente y orden de compra automática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comercial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(sólo se acepta una cotización emitida y vigente), RN-06 (la aceptación genera la orden de compra)</w:t>
            </w:r>
          </w:p>
        </w:tc>
      </w:tr>
    </w:tbl>
    <w:p>
      <w:pPr>
        <w:spacing w:after="60"/>
      </w:pPr>
    </w:p>
    <w:p>
      <w:pPr>
        <w:spacing w:after="120"/>
        <w:jc w:val="both"/>
      </w:pPr>
      <w:r>
        <w:t xml:space="preserve">En el portal, el cliente abre la COT-2026-0011, revisa su historial y presiona «Aceptar la cotización». El sistema pide confirmación antes de emitir la orden de compra.</w:t>
      </w:r>
    </w:p>
    <w:p>
      <w:pPr>
        <w:spacing w:after="120"/>
        <w:jc w:val="both"/>
      </w:pPr>
      <w:r>
        <w:t xml:space="preserve">Resultado observado: se genera la orden de compra OC-2026-0005 desde la COT-2026-0011, con el anticipo por cobrar, y aparece en el panel de órdenes de compra del área comercial.</w:t>
      </w:r>
    </w:p>
    <w:p>
      <w:pPr>
        <w:keepNext/>
        <w:spacing w:before="120"/>
        <w:jc w:val="center"/>
      </w:pPr>
      <w:r>
        <w:drawing>
          <wp:inline distT="0" distB="0" distL="0" distR="0">
            <wp:extent cx="5943600" cy="3095625"/>
            <wp:effectExtent t="0" r="0" b="0" l="0"/>
            <wp:docPr id="1" name="Figura 8. Confirmación de la aceptación en el portal del cliente." descr="Figura 8. Confirmación de la aceptación en el portal del cliente." title="Figura 8. Confirmación de la aceptación en el portal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95625"/>
                    </a:xfrm>
                    <a:prstGeom prst="rect">
                      <a:avLst/>
                    </a:prstGeom>
                  </pic:spPr>
                </pic:pic>
              </a:graphicData>
            </a:graphic>
          </wp:inline>
        </w:drawing>
      </w:r>
    </w:p>
    <w:p>
      <w:pPr>
        <w:spacing w:after="200"/>
        <w:jc w:val="center"/>
      </w:pPr>
      <w:r>
        <w:rPr>
          <w:i/>
          <w:iCs/>
          <w:color w:val="44546A"/>
          <w:sz w:val="18"/>
          <w:szCs w:val="18"/>
        </w:rPr>
        <w:t xml:space="preserve">Figura 8. Confirmación de la aceptación en el portal del cliente.</w:t>
      </w:r>
    </w:p>
    <w:p>
      <w:pPr>
        <w:keepNext/>
        <w:spacing w:before="120"/>
        <w:jc w:val="center"/>
      </w:pPr>
      <w:r>
        <w:drawing>
          <wp:inline distT="0" distB="0" distL="0" distR="0">
            <wp:extent cx="5943600" cy="3219450"/>
            <wp:effectExtent t="0" r="0" b="0" l="0"/>
            <wp:docPr id="1" name="Figura 9. Órdenes de compra generadas; OC-2026-0005 corresponde a la COT-2026-0011." descr="Figura 9. Órdenes de compra generadas; OC-2026-0005 corresponde a la COT-2026-0011." title="Figura 9. Órdenes de compra generadas; OC-2026-0005 corresponde a la COT-2026-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9. Órdenes de compra generadas; OC-2026-0005 corresponde a la COT-2026-0011.</w:t>
      </w:r>
    </w:p>
    <w:p>
      <w:pPr>
        <w:pStyle w:val="Heading1"/>
        <w:pageBreakBefore/>
      </w:pPr>
      <w:r>
        <w:t xml:space="preserve">Evidencia 6. Pago del anticipo con PayPal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aplicación web y PayPal sandbox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RN-15 (el cobro se fija en UF al emitirse y se paga en dólares al dólar observado)</w:t>
            </w:r>
          </w:p>
        </w:tc>
      </w:tr>
    </w:tbl>
    <w:p>
      <w:pPr>
        <w:spacing w:after="60"/>
      </w:pPr>
    </w:p>
    <w:p>
      <w:pPr>
        <w:spacing w:after="120"/>
        <w:jc w:val="both"/>
      </w:pPr>
      <w:r>
        <w:t xml:space="preserve">El documento de cobro DC-2026-0008 es el anticipo de la OC-2026-0005: 20,2732 UF ($833.523). Como PayPal no opera en pesos, el portal muestra el monto en dólares con el dólar observado del 07-10-2026 (US$ 861,26). El cliente paga con PayPal y vuelve al portal.</w:t>
      </w:r>
    </w:p>
    <w:p>
      <w:pPr>
        <w:spacing w:after="120"/>
        <w:jc w:val="both"/>
      </w:pPr>
      <w:r>
        <w:t xml:space="preserve">Resultado observado: el documento queda «Pagado», con el mensaje «Pago de DC-2026-0008 registrado» y el intento de pago «Aprobada» con la referencia de PayPal 1CN74594TK736164Y. La OC-2026-0005 pasa a «Confirmada» (figura 10).</w:t>
      </w:r>
    </w:p>
    <w:p>
      <w:pPr>
        <w:keepNext/>
        <w:spacing w:before="120"/>
        <w:jc w:val="center"/>
      </w:pPr>
      <w:r>
        <w:drawing>
          <wp:inline distT="0" distB="0" distL="0" distR="0">
            <wp:extent cx="5943600" cy="3105150"/>
            <wp:effectExtent t="0" r="0" b="0" l="0"/>
            <wp:docPr id="1" name="Figura 10. Documento de cobro pendiente con el monto en dólares." descr="Figura 10. Documento de cobro pendiente con el monto en dólares." title="Figura 10. Documento de cobro pendiente con el monto en dó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105150"/>
                    </a:xfrm>
                    <a:prstGeom prst="rect">
                      <a:avLst/>
                    </a:prstGeom>
                  </pic:spPr>
                </pic:pic>
              </a:graphicData>
            </a:graphic>
          </wp:inline>
        </w:drawing>
      </w:r>
    </w:p>
    <w:p>
      <w:pPr>
        <w:spacing w:after="200"/>
        <w:jc w:val="center"/>
      </w:pPr>
      <w:r>
        <w:rPr>
          <w:i/>
          <w:iCs/>
          <w:color w:val="44546A"/>
          <w:sz w:val="18"/>
          <w:szCs w:val="18"/>
        </w:rPr>
        <w:t xml:space="preserve">Figura 10. Documento de cobro pendiente con el monto en dólares.</w:t>
      </w:r>
    </w:p>
    <w:p>
      <w:pPr>
        <w:keepNext/>
        <w:spacing w:before="120"/>
        <w:jc w:val="center"/>
      </w:pPr>
      <w:r>
        <w:drawing>
          <wp:inline distT="0" distB="0" distL="0" distR="0">
            <wp:extent cx="5943600" cy="3086100"/>
            <wp:effectExtent t="0" r="0" b="0" l="0"/>
            <wp:docPr id="1" name="Figura 11. Regreso desde PayPal con el pago registrado y la referencia de la transacción." descr="Figura 11. Regreso desde PayPal con el pago registrado y la referencia de la transacción." title="Figura 11. Regreso desde PayPal con el pago registrado y la referencia de la trans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i/>
          <w:iCs/>
          <w:color w:val="44546A"/>
          <w:sz w:val="18"/>
          <w:szCs w:val="18"/>
        </w:rPr>
        <w:t xml:space="preserve">Figura 11. Regreso desde PayPal con el pago registrado y la referencia de la transacción.</w:t>
      </w:r>
    </w:p>
    <w:p>
      <w:pPr>
        <w:pStyle w:val="Heading1"/>
        <w:pageBreakBefore/>
      </w:pPr>
      <w:r>
        <w:t xml:space="preserve">Evidencia 7. Orden de trabajo con tareas y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panel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RN-07 (la orden de trabajo nace de una orden de compra confirmada)</w:t>
            </w:r>
          </w:p>
        </w:tc>
      </w:tr>
    </w:tbl>
    <w:p>
      <w:pPr>
        <w:spacing w:after="60"/>
      </w:pPr>
    </w:p>
    <w:p>
      <w:pPr>
        <w:spacing w:after="120"/>
        <w:jc w:val="both"/>
      </w:pPr>
      <w:r>
        <w:t xml:space="preserve">La OT-2026-0005, de la OC-2026-0007, está en ejecución con sus cinco tareas estándar, cada una con responsable, horas estimadas y fecha de término calculada en días hábiles. El panel «Costo y cierre» muestra el costo estimado y lo que falta para poder cerrarla.</w:t>
      </w:r>
    </w:p>
    <w:p>
      <w:pPr>
        <w:spacing w:after="120"/>
        <w:jc w:val="both"/>
      </w:pPr>
      <w:r>
        <w:t xml:space="preserve">Resultado observado: la orden indica «5 tarea(s) sin terminar» y «No se ha ejecutado ningún control de calidad», por lo que «Cerrar la orden» está deshabilitado.</w:t>
      </w:r>
    </w:p>
    <w:p>
      <w:pPr>
        <w:keepNext/>
        <w:spacing w:before="120"/>
        <w:jc w:val="center"/>
      </w:pPr>
      <w:r>
        <w:drawing>
          <wp:inline distT="0" distB="0" distL="0" distR="0">
            <wp:extent cx="5943600" cy="3200400"/>
            <wp:effectExtent t="0" r="0" b="0" l="0"/>
            <wp:docPr id="1" name="Figura 12. Orden de trabajo en ejecución con tareas asignadas." descr="Figura 12. Orden de trabajo en ejecución con tareas asignadas." title="Figura 12. Orden de trabajo en ejecución con tarea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12. Orden de trabajo en ejecución con tareas asignadas.</w:t>
      </w:r>
    </w:p>
    <w:p>
      <w:pPr>
        <w:pStyle w:val="Heading1"/>
        <w:pageBreakBefore/>
      </w:pPr>
      <w:r>
        <w:t xml:space="preserve">Evidencia 8. Registro en taller y rechazo por stock insuficiente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 escritorio, vista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(el consumo descuenta stock y no puede dejarlo negativo), RN-10 (horas y consumos se imputan a la tarea)</w:t>
            </w:r>
          </w:p>
        </w:tc>
      </w:tr>
    </w:tbl>
    <w:p>
      <w:pPr>
        <w:spacing w:after="60"/>
      </w:pPr>
    </w:p>
    <w:p>
      <w:pPr>
        <w:spacing w:after="120"/>
        <w:jc w:val="both"/>
      </w:pPr>
      <w:r>
        <w:t xml:space="preserve">El operario ve sólo sus tareas, registra las horas del día y el material usado indicando la bodega. Al intentar consumir 10.000,01 kg de acero al silicio, más de lo disponible, el sistema rechaza el registro.</w:t>
      </w:r>
    </w:p>
    <w:p>
      <w:pPr>
        <w:spacing w:after="120"/>
        <w:jc w:val="both"/>
      </w:pPr>
      <w:r>
        <w:t xml:space="preserve">Resultado observado: aparece el mensaje «Stock insuficiente de Acero al silicio grano orientado en Bodega central: disponible 2387.97 kg» y no se registra ningún movimiento.</w:t>
      </w:r>
    </w:p>
    <w:p>
      <w:pPr>
        <w:keepNext/>
        <w:spacing w:before="120"/>
        <w:jc w:val="center"/>
      </w:pPr>
      <w:r>
        <w:drawing>
          <wp:inline distT="0" distB="0" distL="0" distR="0">
            <wp:extent cx="5943600" cy="3190875"/>
            <wp:effectExtent t="0" r="0" b="0" l="0"/>
            <wp:docPr id="1" name="Figura 13. Vista del operario para registrar horas y material." descr="Figura 13. Vista del operario para registrar horas y material." title="Figura 13. Vista del operario para registrar horas y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13. Vista del operario para registrar horas y material.</w:t>
      </w:r>
    </w:p>
    <w:p>
      <w:pPr>
        <w:keepNext/>
        <w:spacing w:before="120"/>
        <w:jc w:val="center"/>
      </w:pPr>
      <w:r>
        <w:drawing>
          <wp:inline distT="0" distB="0" distL="0" distR="0">
            <wp:extent cx="5943600" cy="3200400"/>
            <wp:effectExtent t="0" r="0" b="0" l="0"/>
            <wp:docPr id="1" name="Figura 14. Rechazo del consumo por stock insuficiente." descr="Figura 14. Rechazo del consumo por stock insuficiente." title="Figura 14. Rechazo del consumo por stock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14. Rechazo del consumo por stock insuficiente.</w:t>
      </w:r>
    </w:p>
    <w:p>
      <w:pPr>
        <w:pStyle w:val="Heading1"/>
        <w:pageBreakBefore/>
      </w:pPr>
      <w:r>
        <w:t xml:space="preserve">Evidencia 9. Ensayo fuera de rango y no conformidad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 escritorio, paneles Control de calidad y No conformidades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(con una no conformidad abierta la orden de trabajo no se cierra)</w:t>
            </w:r>
          </w:p>
        </w:tc>
      </w:tr>
    </w:tbl>
    <w:p>
      <w:pPr>
        <w:spacing w:after="60"/>
      </w:pPr>
    </w:p>
    <w:p>
      <w:pPr>
        <w:spacing w:after="120"/>
        <w:jc w:val="both"/>
      </w:pPr>
      <w:r>
        <w:t xml:space="preserve">El inspector registra las mediciones de los ensayos del protocolo «Ensayos de rutina v1» para la OT-2026-0005. El sistema compara cada valor con el rango aceptable: la corriente de vacío medida (34 %) supera el máximo de 2,5 %, por lo que el ensayo queda «NO conforme» y se abre una no conformidad de severidad mayor. Luego el inspector la cierra con su acción correctiva.</w:t>
      </w:r>
    </w:p>
    <w:p>
      <w:pPr>
        <w:spacing w:after="120"/>
        <w:jc w:val="both"/>
      </w:pPr>
      <w:r>
        <w:t xml:space="preserve">Resultado observado: el control queda «Con no conformidades» mientras la NC está abierta; al cerrarla, el sistema indica repetir el ensayo para dejar constancia del nuevo resultado.</w:t>
      </w:r>
    </w:p>
    <w:p>
      <w:pPr>
        <w:keepNext/>
        <w:spacing w:before="120"/>
        <w:jc w:val="center"/>
      </w:pPr>
      <w:r>
        <w:drawing>
          <wp:inline distT="0" distB="0" distL="0" distR="0">
            <wp:extent cx="5943600" cy="3200400"/>
            <wp:effectExtent t="0" r="0" b="0" l="0"/>
            <wp:docPr id="1" name="Figura 15. Ensayos del protocolo con el resultado evaluado contra el rango aceptable." descr="Figura 15. Ensayos del protocolo con el resultado evaluado contra el rango aceptable." title="Figura 15. Ensayos del protocolo con el resultado evaluado contra el rango ace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15. Ensayos del protocolo con el resultado evaluado contra el rango aceptable.</w:t>
      </w:r>
    </w:p>
    <w:p>
      <w:pPr>
        <w:keepNext/>
        <w:spacing w:before="120"/>
        <w:jc w:val="center"/>
      </w:pPr>
      <w:r>
        <w:drawing>
          <wp:inline distT="0" distB="0" distL="0" distR="0">
            <wp:extent cx="5943600" cy="3200400"/>
            <wp:effectExtent t="0" r="0" b="0" l="0"/>
            <wp:docPr id="1" name="Figura 16. No conformidad abierta y aviso al cerrarla con acción correctiva." descr="Figura 16. No conformidad abierta y aviso al cerrarla con acción correctiva." title="Figura 16. No conformidad abierta y aviso al cerrarla con acción cor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16. No conformidad abierta y aviso al cerrarla con acción correctiva.</w:t>
      </w:r>
    </w:p>
    <w:p>
      <w:pPr>
        <w:pStyle w:val="Heading1"/>
        <w:pageBreakBefore/>
      </w:pPr>
      <w:r>
        <w:t xml:space="preserve">Evidencia 10. Cierre de la OT y cobro del saldo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 · escritorio; casilla del 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(cierre sólo con calidad aprobada), RN-14 (al cerrar la última OT se emite el cobro del saldo)</w:t>
            </w:r>
          </w:p>
        </w:tc>
      </w:tr>
    </w:tbl>
    <w:p>
      <w:pPr>
        <w:spacing w:after="60"/>
      </w:pPr>
    </w:p>
    <w:p>
      <w:pPr>
        <w:spacing w:after="120"/>
        <w:jc w:val="both"/>
      </w:pPr>
      <w:r>
        <w:t xml:space="preserve">Con todas las tareas terminadas y el control de calidad aprobado, el jefe de producción cierra la OT-2026-0005. Era la última orden de trabajo de la OC-2026-0007, así que el sistema emite el cobro del saldo y avisa al cliente.</w:t>
      </w:r>
    </w:p>
    <w:p>
      <w:pPr>
        <w:spacing w:after="120"/>
        <w:jc w:val="both"/>
      </w:pPr>
      <w:r>
        <w:t xml:space="preserve">Resultado observado: aparece el mensaje de cierre y el cliente recibe el correo «su pedido OC-2026-0007 está listo» con el documento DC-2026-0011 (saldo, 739,31 UF, $30.396.391) y el botón «Pagar el saldo».</w:t>
      </w:r>
    </w:p>
    <w:p>
      <w:pPr>
        <w:keepNext/>
        <w:spacing w:before="120"/>
        <w:jc w:val="center"/>
      </w:pPr>
      <w:r>
        <w:drawing>
          <wp:inline distT="0" distB="0" distL="0" distR="0">
            <wp:extent cx="5943600" cy="3200400"/>
            <wp:effectExtent t="0" r="0" b="0" l="0"/>
            <wp:docPr id="1" name="Figura 17. Cierre de la orden de trabajo con costo real y desviación." descr="Figura 17. Cierre de la orden de trabajo con costo real y desviación." title="Figura 17. Cierre de la orden de trabajo con costo real y desv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17. Cierre de la orden de trabajo con costo real y desviación.</w:t>
      </w:r>
    </w:p>
    <w:p>
      <w:pPr>
        <w:keepNext/>
        <w:spacing w:before="120"/>
        <w:jc w:val="center"/>
      </w:pPr>
      <w:r>
        <w:drawing>
          <wp:inline distT="0" distB="0" distL="0" distR="0">
            <wp:extent cx="5943600" cy="3076575"/>
            <wp:effectExtent t="0" r="0" b="0" l="0"/>
            <wp:docPr id="1" name="Figura 18. Correo al cliente con el cobro del saldo." descr="Figura 18. Correo al cliente con el cobro del saldo." title="Figura 18. Correo al cliente con el cobro del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076575"/>
                    </a:xfrm>
                    <a:prstGeom prst="rect">
                      <a:avLst/>
                    </a:prstGeom>
                  </pic:spPr>
                </pic:pic>
              </a:graphicData>
            </a:graphic>
          </wp:inline>
        </w:drawing>
      </w:r>
    </w:p>
    <w:p>
      <w:pPr>
        <w:spacing w:after="200"/>
        <w:jc w:val="center"/>
      </w:pPr>
      <w:r>
        <w:rPr>
          <w:i/>
          <w:iCs/>
          <w:color w:val="44546A"/>
          <w:sz w:val="18"/>
          <w:szCs w:val="18"/>
        </w:rPr>
        <w:t xml:space="preserve">Figura 18. Correo al cliente con el cobro del saldo.</w:t>
      </w:r>
    </w:p>
    <w:p>
      <w:pPr>
        <w:spacing w:after="160" w:before="80"/>
      </w:pPr>
      <w:r>
        <w:rPr>
          <w:i/>
          <w:iCs/>
          <w:color w:val="44546A"/>
          <w:sz w:val="19"/>
          <w:szCs w:val="19"/>
        </w:rPr>
        <w:t xml:space="preserve">La desviación de −99,77 % entre costo real y estimado se debe a que en la demostración se registró una hora por tarea frente a las 44 h estimadas, sin consumos de material. El cálculo es correcto; los datos son mínimos.</w:t>
      </w:r>
    </w:p>
    <w:p>
      <w:pPr>
        <w:spacing w:after="160" w:before="80"/>
      </w:pPr>
      <w:r>
        <w:rPr>
          <w:i/>
          <w:iCs/>
          <w:color w:val="44546A"/>
          <w:sz w:val="19"/>
          <w:szCs w:val="19"/>
        </w:rPr>
        <w:t xml:space="preserve">Estas capturas son anteriores a la aprobación explícita del control (CU-CAL-07). Desde el 10 de octubre la orden pasa primero a «Liberada por calidad» cuando el inspector aprueba el control, y sólo entonces se puede cerrar (evidencia 13).</w:t>
      </w:r>
    </w:p>
    <w:p>
      <w:pPr>
        <w:pStyle w:val="Heading1"/>
        <w:pageBreakBefore/>
      </w:pPr>
      <w:r>
        <w:t xml:space="preserve">Evidencia 11. Entrega, kardex y bitácora de auditoría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 bodega y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RN-13 (operaciones sensibles quedan en la bitácora), RN-14 (la entrega exige el saldo pagado), RN-17 (el stock se calcula desde los movimientos)</w:t>
            </w:r>
          </w:p>
        </w:tc>
      </w:tr>
    </w:tbl>
    <w:p>
      <w:pPr>
        <w:spacing w:after="60"/>
      </w:pPr>
    </w:p>
    <w:p>
      <w:pPr>
        <w:spacing w:after="120"/>
        <w:jc w:val="both"/>
      </w:pPr>
      <w:r>
        <w:t xml:space="preserve">Con el anticipo y el saldo pagados, la OC-2026-0007 se registra como entregada. El encargado de bodega consulta el kardex del acero al silicio, donde cada consumo de taller aparece con su OT, tarea y usuario. El administrador revisa la bitácora de auditoría.</w:t>
      </w:r>
    </w:p>
    <w:p>
      <w:pPr>
        <w:spacing w:after="120"/>
        <w:jc w:val="both"/>
      </w:pPr>
      <w:r>
        <w:t xml:space="preserve">Resultado observado: la OC-2026-0007 figura «Entregada»; el kardex muestra el saldo actual (2.387,97 kg) y los movimientos del período; la bitácora lista 71 registros con fecha, usuario, acción, entidad y origen (aplicación web o de escritorio), incluidas las anulaciones y los pagos.</w:t>
      </w:r>
    </w:p>
    <w:p>
      <w:pPr>
        <w:keepNext/>
        <w:spacing w:before="120"/>
        <w:jc w:val="center"/>
      </w:pPr>
      <w:r>
        <w:drawing>
          <wp:inline distT="0" distB="0" distL="0" distR="0">
            <wp:extent cx="5943600" cy="3219450"/>
            <wp:effectExtent t="0" r="0" b="0" l="0"/>
            <wp:docPr id="1" name="Figura 19. Órdenes de compra: OC-2026-0007 entregada con anticipo y saldo pagados." descr="Figura 19. Órdenes de compra: OC-2026-0007 entregada con anticipo y saldo pagados." title="Figura 19. Órdenes de compra: OC-2026-0007 entregada con anticipo y saldo pa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44546A"/>
          <w:sz w:val="18"/>
          <w:szCs w:val="18"/>
        </w:rPr>
        <w:t xml:space="preserve">Figura 19. Órdenes de compra: OC-2026-0007 entregada con anticipo y saldo pagados.</w:t>
      </w:r>
    </w:p>
    <w:p>
      <w:pPr>
        <w:keepNext/>
        <w:spacing w:before="120"/>
        <w:jc w:val="center"/>
      </w:pPr>
      <w:r>
        <w:drawing>
          <wp:inline distT="0" distB="0" distL="0" distR="0">
            <wp:extent cx="5943600" cy="3200400"/>
            <wp:effectExtent t="0" r="0" b="0" l="0"/>
            <wp:docPr id="1" name="Figura 20. Kardex del material con los consumos productivos y el usuario de cada movimiento." descr="Figura 20. Kardex del material con los consumos productivos y el usuario de cada movimiento." title="Figura 20. Kardex del material con los consumos productivos y el usuario de cada mov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20. Kardex del material con los consumos productivos y el usuario de cada movimiento.</w:t>
      </w:r>
    </w:p>
    <w:p>
      <w:pPr>
        <w:keepNext/>
        <w:spacing w:before="120"/>
        <w:jc w:val="center"/>
      </w:pPr>
      <w:r>
        <w:drawing>
          <wp:inline distT="0" distB="0" distL="0" distR="0">
            <wp:extent cx="5943600" cy="3200400"/>
            <wp:effectExtent t="0" r="0" b="0" l="0"/>
            <wp:docPr id="1" name="Figura 21. Bitácora de auditoría de solo lectura." descr="Figura 21. Bitácora de auditoría de solo lectura." title="Figura 21. Bitácora de auditoría de solo l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21. Bitácora de auditoría de solo lectura.</w:t>
      </w:r>
    </w:p>
    <w:p>
      <w:pPr>
        <w:pStyle w:val="Heading1"/>
        <w:pageBreakBefore/>
      </w:pPr>
      <w:r>
        <w:t xml:space="preserve">Evidencia 12. Reportes de gestión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 escritorio, panel Reportes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spacing w:after="120"/>
        <w:jc w:val="both"/>
      </w:pPr>
      <w:r>
        <w:t xml:space="preserve">El administrador genera el reporte «Indicadores comerciales» para el período 11-07-2026 a 09-10-2026.</w:t>
      </w:r>
    </w:p>
    <w:p>
      <w:pPr>
        <w:spacing w:after="120"/>
        <w:jc w:val="both"/>
      </w:pPr>
      <w:r>
        <w:t xml:space="preserve">Resultado observado: el reporte muestra por mes las solicitudes, cotizaciones emitidas y aceptadas, la tasa de conversión (70 % en total) y el monto vendido (8.633,62 UF), con las opciones «Exportar a Excel» y «Exportar a PDF».</w:t>
      </w:r>
    </w:p>
    <w:p>
      <w:pPr>
        <w:keepNext/>
        <w:spacing w:before="120"/>
        <w:jc w:val="center"/>
      </w:pPr>
      <w:r>
        <w:drawing>
          <wp:inline distT="0" distB="0" distL="0" distR="0">
            <wp:extent cx="5943600" cy="3200400"/>
            <wp:effectExtent t="0" r="0" b="0" l="0"/>
            <wp:docPr id="1" name="Figura 22. Reporte de indicadores comerciales con exportación a Excel y PDF." descr="Figura 22. Reporte de indicadores comerciales con exportación a Excel y PDF." title="Figura 22. Reporte de indicadores comerciales con exportación a Excel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200400"/>
                    </a:xfrm>
                    <a:prstGeom prst="rect">
                      <a:avLst/>
                    </a:prstGeom>
                  </pic:spPr>
                </pic:pic>
              </a:graphicData>
            </a:graphic>
          </wp:inline>
        </w:drawing>
      </w:r>
    </w:p>
    <w:p>
      <w:pPr>
        <w:spacing w:after="200"/>
        <w:jc w:val="center"/>
      </w:pPr>
      <w:r>
        <w:rPr>
          <w:i/>
          <w:iCs/>
          <w:color w:val="44546A"/>
          <w:sz w:val="18"/>
          <w:szCs w:val="18"/>
        </w:rPr>
        <w:t xml:space="preserve">Figura 22. Reporte de indicadores comerciales con exportación a Excel y PDF.</w:t>
      </w:r>
    </w:p>
    <w:p>
      <w:pPr>
        <w:pStyle w:val="Heading1"/>
        <w:pageBreakBefore/>
      </w:pPr>
      <w:r>
        <w:t xml:space="preserve">Evidencia 13. Aprobación de calidad, bandeja de pendientes y avisos entre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 produccion y comercial · escritorio (SITRAFO.exe v1.1); casilla de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(la orden se cierra sólo después de que el inspector aprueba el control), RN-14 (el cambio a «Liberada por calidad» queda en el historial)</w:t>
            </w:r>
          </w:p>
        </w:tc>
      </w:tr>
    </w:tbl>
    <w:p>
      <w:pPr>
        <w:spacing w:after="60"/>
      </w:pPr>
    </w:p>
    <w:p>
      <w:pPr>
        <w:spacing w:after="120"/>
        <w:jc w:val="both"/>
      </w:pPr>
      <w:r>
        <w:t xml:space="preserve">El inspector abre en Control de calidad la OT-2026-0006 (transformador monofásico de 25 kVA, OC-2026-0005). Los siete ensayos obligatorios del protocolo «Ensayos de rutina v1» están conformes; el nivel de ruido, que no es obligatorio, sigue pendiente y no impide la aprobación. El control queda «Conforme», se habilita «Aprobar y liberar la orden» y, tras confirmar, el sistema informa que la orden quedó liberada y que el jefe de producción ya puede cerrarla.</w:t>
      </w:r>
    </w:p>
    <w:p>
      <w:pPr>
        <w:spacing w:after="120"/>
        <w:jc w:val="both"/>
      </w:pPr>
      <w:r>
        <w:t xml:space="preserve">Resultado observado: la OT-2026-0006 sale de la lista de calidad. Los usuarios con permiso para operar órdenes de trabajo reciben el aviso «orden de trabajo OT-2026-0006 liberada por calidad», cada uno en su propio correo (alias de la casilla del equipo), y el jefe de producción ve en Inicio, destacado, el pendiente «Cerrar la orden OT-2026-0006 (liberada por calidad)», junto con la generación de órdenes de trabajo de una compra con el anticipo pagado y el contador «Inicio (2)» en el menú. La bandeja del ejecutivo comercial muestra, en cambio, los pendientes de su rol: dos solicitudes por cotizar y un borrador sin emitir.</w:t>
      </w:r>
    </w:p>
    <w:p>
      <w:pPr>
        <w:keepNext/>
        <w:spacing w:before="120"/>
        <w:jc w:val="center"/>
      </w:pPr>
      <w:r>
        <w:drawing>
          <wp:inline distT="0" distB="0" distL="0" distR="0">
            <wp:extent cx="5943600" cy="3181350"/>
            <wp:effectExtent t="0" r="0" b="0" l="0"/>
            <wp:docPr id="1" name="Figura 23. Control conforme con el botón «Aprobar y liberar la orden» habilitado (sesión calidad)." descr="Figura 23. Control conforme con el botón «Aprobar y liberar la orden» habilitado (sesión calidad)." title="Figura 23. Control conforme con el botón «Aprobar y liberar la orden» habilitado (sesión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181350"/>
                    </a:xfrm>
                    <a:prstGeom prst="rect">
                      <a:avLst/>
                    </a:prstGeom>
                  </pic:spPr>
                </pic:pic>
              </a:graphicData>
            </a:graphic>
          </wp:inline>
        </w:drawing>
      </w:r>
    </w:p>
    <w:p>
      <w:pPr>
        <w:spacing w:after="200"/>
        <w:jc w:val="center"/>
      </w:pPr>
      <w:r>
        <w:rPr>
          <w:i/>
          <w:iCs/>
          <w:color w:val="44546A"/>
          <w:sz w:val="18"/>
          <w:szCs w:val="18"/>
        </w:rPr>
        <w:t xml:space="preserve">Figura 23. Control conforme con el botón «Aprobar y liberar la orden» habilitado (sesión calidad).</w:t>
      </w:r>
    </w:p>
    <w:p>
      <w:pPr>
        <w:keepNext/>
        <w:spacing w:before="120"/>
        <w:jc w:val="center"/>
      </w:pPr>
      <w:r>
        <w:drawing>
          <wp:inline distT="0" distB="0" distL="0" distR="0">
            <wp:extent cx="5943600" cy="3190875"/>
            <wp:effectExtent t="0" r="0" b="0" l="0"/>
            <wp:docPr id="1" name="Figura 24. Confirmación de la orden liberada por calidad." descr="Figura 24. Confirmación de la orden liberada por calidad." title="Figura 24. Confirmación de la orden liberada por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24. Confirmación de la orden liberada por calidad.</w:t>
      </w:r>
    </w:p>
    <w:p>
      <w:pPr>
        <w:keepNext/>
        <w:spacing w:before="120"/>
        <w:jc w:val="center"/>
      </w:pPr>
      <w:r>
        <w:drawing>
          <wp:inline distT="0" distB="0" distL="0" distR="0">
            <wp:extent cx="5943600" cy="3190875"/>
            <wp:effectExtent t="0" r="0" b="0" l="0"/>
            <wp:docPr id="1" name="Figura 25. Bandeja de pendientes del jefe de producción con la orden liberada para cerrar." descr="Figura 25. Bandeja de pendientes del jefe de producción con la orden liberada para cerrar." title="Figura 25. Bandeja de pendientes del jefe de producción con la orden liberada para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25. Bandeja de pendientes del jefe de producción con la orden liberada para cerrar.</w:t>
      </w:r>
    </w:p>
    <w:p>
      <w:pPr>
        <w:keepNext/>
        <w:spacing w:before="120"/>
        <w:jc w:val="center"/>
      </w:pPr>
      <w:r>
        <w:drawing>
          <wp:inline distT="0" distB="0" distL="0" distR="0">
            <wp:extent cx="5943600" cy="2914650"/>
            <wp:effectExtent t="0" r="0" b="0" l="0"/>
            <wp:docPr id="1" name="Figura 26. Aviso interno por correo a los usuarios que operan las órdenes de trabajo." descr="Figura 26. Aviso interno por correo a los usuarios que operan las órdenes de trabajo." title="Figura 26. Aviso interno por correo a los usuarios que operan las órden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2914650"/>
                    </a:xfrm>
                    <a:prstGeom prst="rect">
                      <a:avLst/>
                    </a:prstGeom>
                  </pic:spPr>
                </pic:pic>
              </a:graphicData>
            </a:graphic>
          </wp:inline>
        </w:drawing>
      </w:r>
    </w:p>
    <w:p>
      <w:pPr>
        <w:spacing w:after="200"/>
        <w:jc w:val="center"/>
      </w:pPr>
      <w:r>
        <w:rPr>
          <w:i/>
          <w:iCs/>
          <w:color w:val="44546A"/>
          <w:sz w:val="18"/>
          <w:szCs w:val="18"/>
        </w:rPr>
        <w:t xml:space="preserve">Figura 26. Aviso interno por correo a los usuarios que operan las órdenes de trabajo.</w:t>
      </w:r>
    </w:p>
    <w:p>
      <w:pPr>
        <w:keepNext/>
        <w:spacing w:before="120"/>
        <w:jc w:val="center"/>
      </w:pPr>
      <w:r>
        <w:drawing>
          <wp:inline distT="0" distB="0" distL="0" distR="0">
            <wp:extent cx="5943600" cy="3190875"/>
            <wp:effectExtent t="0" r="0" b="0" l="0"/>
            <wp:docPr id="1" name="Figura 27. Bandeja de pendientes del ejecutivo comercial." descr="Figura 27. Bandeja de pendientes del ejecutivo comercial." title="Figura 27. Bandeja de pendientes del ejecutiv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90875"/>
                    </a:xfrm>
                    <a:prstGeom prst="rect">
                      <a:avLst/>
                    </a:prstGeom>
                  </pic:spPr>
                </pic:pic>
              </a:graphicData>
            </a:graphic>
          </wp:inline>
        </w:drawing>
      </w:r>
    </w:p>
    <w:p>
      <w:pPr>
        <w:spacing w:after="200"/>
        <w:jc w:val="center"/>
      </w:pPr>
      <w:r>
        <w:rPr>
          <w:i/>
          <w:iCs/>
          <w:color w:val="44546A"/>
          <w:sz w:val="18"/>
          <w:szCs w:val="18"/>
        </w:rPr>
        <w:t xml:space="preserve">Figura 27. Bandeja de pendientes del ejecutivo comercial.</w:t>
      </w:r>
    </w:p>
    <w:p>
      <w:pPr>
        <w:spacing w:after="160" w:before="80"/>
      </w:pPr>
      <w:r>
        <w:rPr>
          <w:i/>
          <w:iCs/>
          <w:color w:val="44546A"/>
          <w:sz w:val="19"/>
          <w:szCs w:val="19"/>
        </w:rPr>
        <w:t xml:space="preserve">Al momento de la captura el servidor aún tenía activo el modo de redirección de correos, por lo que el aviso llegó a la casilla de control con los destinatarios originales indicados en el asunto. Con el modo de copia, cada destinatario lo recibe en su correo y la casilla de control recibe una copia oculta.</w:t>
      </w:r>
    </w:p>
    <w:p>
      <w:pPr>
        <w:pStyle w:val="Heading1"/>
        <w:keepNext/>
        <w:pageBreakBefore/>
      </w:pPr>
      <w:r>
        <w:t xml:space="preserve">Evidencia 14. API pública de seguimiento de pedidos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visitante sin sesión y 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RN-16 (sin el código correcto no se entrega ningún dato del pedido, y la respuesta no incluye montos ni datos del cliente), RN-08 (la fecha estimada se calcula en días hábiles)</w:t>
            </w:r>
          </w:p>
        </w:tc>
      </w:tr>
    </w:tbl>
    <w:p>
      <w:pPr>
        <w:spacing w:after="60"/>
      </w:pPr>
    </w:p>
    <w:p>
      <w:pPr>
        <w:spacing w:after="120"/>
        <w:jc w:val="both"/>
      </w:pPr>
      <w:r>
        <w:t xml:space="preserve">En el acceso al portal, el enlace «Consulte su pedido sin iniciar sesión» abre la página de seguimiento. Se ingresa la OC-2026-0001 con su código de seguimiento escrito en minúsculas y sin guion, y la página consulta la API pública con la clave del portal. Luego se cambia una letra del código. El cliente maipo ve el mismo código en Pedidos, con el enlace «Ver seguimiento». En Swagger se ejecuta la misma consulta con la clave portal-web.</w:t>
      </w:r>
    </w:p>
    <w:p>
      <w:pPr>
        <w:spacing w:after="120"/>
        <w:jc w:val="both"/>
      </w:pPr>
      <w:r>
        <w:t xml:space="preserve">Resultado observado: la página muestra el pedido «En producción», con 39 % de avance, las etapas «Pedido recibido» y «Anticipo pagado y pedido confirmado» completadas, «En fabricación» en curso, el producto con su orden de trabajo y el historial. Con el código alterado aparece «No existe un pedido con ese número y código de seguimiento», el mismo mensaje que para un número inexistente. Swagger responde 200 con el JSON, sin montos.</w:t>
      </w:r>
    </w:p>
    <w:p>
      <w:pPr>
        <w:keepNext/>
        <w:spacing w:before="120"/>
        <w:jc w:val="center"/>
      </w:pPr>
      <w:r>
        <w:drawing>
          <wp:inline xmlns:a="http://schemas.openxmlformats.org/drawingml/2006/main" xmlns:pic="http://schemas.openxmlformats.org/drawingml/2006/picture">
            <wp:extent cx="4754880" cy="2992679"/>
            <wp:docPr id="2" name="Picture 2"/>
            <wp:cNvGraphicFramePr>
              <a:graphicFrameLocks noChangeAspect="1"/>
            </wp:cNvGraphicFramePr>
            <a:graphic>
              <a:graphicData uri="http://schemas.openxmlformats.org/drawingml/2006/picture">
                <pic:pic>
                  <pic:nvPicPr>
                    <pic:cNvPr id="0" name="01_login_enlace.png"/>
                    <pic:cNvPicPr/>
                  </pic:nvPicPr>
                  <pic:blipFill>
                    <a:blip r:embed="rId36"/>
                    <a:stretch>
                      <a:fillRect/>
                    </a:stretch>
                  </pic:blipFill>
                  <pic:spPr>
                    <a:xfrm>
                      <a:off x="0" y="0"/>
                      <a:ext cx="4754880" cy="2992679"/>
                    </a:xfrm>
                    <a:prstGeom prst="rect"/>
                  </pic:spPr>
                </pic:pic>
              </a:graphicData>
            </a:graphic>
          </wp:inline>
        </w:drawing>
      </w:r>
    </w:p>
    <w:p>
      <w:pPr>
        <w:spacing w:after="200"/>
        <w:jc w:val="center"/>
      </w:pPr>
      <w:r>
        <w:rPr>
          <w:i/>
          <w:iCs/>
          <w:color w:val="44546A"/>
          <w:sz w:val="18"/>
          <w:szCs w:val="18"/>
        </w:rPr>
        <w:t xml:space="preserve">Figura 28. Acceso al portal con el enlace a la consulta sin sesión.</w:t>
      </w:r>
    </w:p>
    <w:p>
      <w:pPr>
        <w:keepNext/>
        <w:spacing w:before="120"/>
        <w:jc w:val="center"/>
      </w:pPr>
      <w:r>
        <w:drawing>
          <wp:inline xmlns:a="http://schemas.openxmlformats.org/drawingml/2006/main" xmlns:pic="http://schemas.openxmlformats.org/drawingml/2006/picture">
            <wp:extent cx="5486400" cy="3629761"/>
            <wp:docPr id="3" name="Picture 3"/>
            <wp:cNvGraphicFramePr>
              <a:graphicFrameLocks noChangeAspect="1"/>
            </wp:cNvGraphicFramePr>
            <a:graphic>
              <a:graphicData uri="http://schemas.openxmlformats.org/drawingml/2006/picture">
                <pic:pic>
                  <pic:nvPicPr>
                    <pic:cNvPr id="0" name="03_seguimiento_resultado.png"/>
                    <pic:cNvPicPr/>
                  </pic:nvPicPr>
                  <pic:blipFill>
                    <a:blip r:embed="rId37"/>
                    <a:stretch>
                      <a:fillRect/>
                    </a:stretch>
                  </pic:blipFill>
                  <pic:spPr>
                    <a:xfrm>
                      <a:off x="0" y="0"/>
                      <a:ext cx="5486400" cy="3629761"/>
                    </a:xfrm>
                    <a:prstGeom prst="rect"/>
                  </pic:spPr>
                </pic:pic>
              </a:graphicData>
            </a:graphic>
          </wp:inline>
        </w:drawing>
      </w:r>
    </w:p>
    <w:p>
      <w:pPr>
        <w:spacing w:after="200"/>
        <w:jc w:val="center"/>
      </w:pPr>
      <w:r>
        <w:rPr>
          <w:i/>
          <w:iCs/>
          <w:color w:val="44546A"/>
          <w:sz w:val="18"/>
          <w:szCs w:val="18"/>
        </w:rPr>
        <w:t xml:space="preserve">Figura 29. Seguimiento del pedido OC-2026-0001 consultado por la API pública.</w:t>
      </w:r>
    </w:p>
    <w:p>
      <w:pPr>
        <w:keepNext/>
        <w:spacing w:before="120"/>
        <w:jc w:val="center"/>
      </w:pPr>
      <w:r>
        <w:drawing>
          <wp:inline xmlns:a="http://schemas.openxmlformats.org/drawingml/2006/main" xmlns:pic="http://schemas.openxmlformats.org/drawingml/2006/picture">
            <wp:extent cx="5120640" cy="3222885"/>
            <wp:docPr id="4" name="Picture 4"/>
            <wp:cNvGraphicFramePr>
              <a:graphicFrameLocks noChangeAspect="1"/>
            </wp:cNvGraphicFramePr>
            <a:graphic>
              <a:graphicData uri="http://schemas.openxmlformats.org/drawingml/2006/picture">
                <pic:pic>
                  <pic:nvPicPr>
                    <pic:cNvPr id="0" name="04_seguimiento_codigo_incorrecto.png"/>
                    <pic:cNvPicPr/>
                  </pic:nvPicPr>
                  <pic:blipFill>
                    <a:blip r:embed="rId38"/>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30. Código de seguimiento incorrecto: mismo mensaje que un pedido inexistente.</w:t>
      </w:r>
    </w:p>
    <w:p>
      <w:pPr>
        <w:keepNext/>
        <w:spacing w:before="120"/>
        <w:jc w:val="center"/>
      </w:pPr>
      <w:r>
        <w:drawing>
          <wp:inline xmlns:a="http://schemas.openxmlformats.org/drawingml/2006/main" xmlns:pic="http://schemas.openxmlformats.org/drawingml/2006/picture">
            <wp:extent cx="5120640" cy="3222885"/>
            <wp:docPr id="5" name="Picture 5"/>
            <wp:cNvGraphicFramePr>
              <a:graphicFrameLocks noChangeAspect="1"/>
            </wp:cNvGraphicFramePr>
            <a:graphic>
              <a:graphicData uri="http://schemas.openxmlformats.org/drawingml/2006/picture">
                <pic:pic>
                  <pic:nvPicPr>
                    <pic:cNvPr id="0" name="05_mis_pedidos_codigo.png"/>
                    <pic:cNvPicPr/>
                  </pic:nvPicPr>
                  <pic:blipFill>
                    <a:blip r:embed="rId39"/>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31. Pedidos del cliente maipo con el código de seguimiento y el enlace «Ver seguimiento».</w:t>
      </w:r>
    </w:p>
    <w:p>
      <w:pPr>
        <w:keepNext/>
        <w:spacing w:before="120"/>
        <w:jc w:val="center"/>
      </w:pPr>
      <w:r>
        <w:drawing>
          <wp:inline xmlns:a="http://schemas.openxmlformats.org/drawingml/2006/main" xmlns:pic="http://schemas.openxmlformats.org/drawingml/2006/picture">
            <wp:extent cx="4023360" cy="4435888"/>
            <wp:docPr id="6" name="Picture 6"/>
            <wp:cNvGraphicFramePr>
              <a:graphicFrameLocks noChangeAspect="1"/>
            </wp:cNvGraphicFramePr>
            <a:graphic>
              <a:graphicData uri="http://schemas.openxmlformats.org/drawingml/2006/picture">
                <pic:pic>
                  <pic:nvPicPr>
                    <pic:cNvPr id="0" name="10_swagger_seguimiento_200.png"/>
                    <pic:cNvPicPr/>
                  </pic:nvPicPr>
                  <pic:blipFill>
                    <a:blip r:embed="rId40"/>
                    <a:stretch>
                      <a:fillRect/>
                    </a:stretch>
                  </pic:blipFill>
                  <pic:spPr>
                    <a:xfrm>
                      <a:off x="0" y="0"/>
                      <a:ext cx="4023360" cy="4435888"/>
                    </a:xfrm>
                    <a:prstGeom prst="rect"/>
                  </pic:spPr>
                </pic:pic>
              </a:graphicData>
            </a:graphic>
          </wp:inline>
        </w:drawing>
      </w:r>
    </w:p>
    <w:p>
      <w:pPr>
        <w:spacing w:after="200"/>
        <w:jc w:val="center"/>
      </w:pPr>
      <w:r>
        <w:rPr>
          <w:i/>
          <w:iCs/>
          <w:color w:val="44546A"/>
          <w:sz w:val="18"/>
          <w:szCs w:val="18"/>
        </w:rPr>
        <w:t xml:space="preserve">Figura 32. Swagger: consulta del seguimiento con la clave portal-web (200).</w:t>
      </w:r>
    </w:p>
    <w:p>
      <w:pPr>
        <w:spacing w:after="160" w:before="80"/>
      </w:pPr>
      <w:r>
        <w:rPr>
          <w:i/>
          <w:iCs/>
          <w:color w:val="44546A"/>
          <w:sz w:val="19"/>
          <w:szCs w:val="19"/>
        </w:rPr>
        <w:t xml:space="preserve">La entrega estimada aparece «Por definir» porque la cotización de demostración no tiene fecha comprometida ni plazo cargado. Con plazo, la API la calcula en días hábiles y lo indica.</w:t>
      </w:r>
    </w:p>
    <w:p>
      <w:pPr>
        <w:pStyle w:val="Heading1"/>
        <w:keepNext/>
        <w:pageBreakBefore/>
      </w:pPr>
      <w:r>
        <w:t xml:space="preserve">Evidencia 15. API pública del cotizador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 interfaz</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maipo · web; Swagger; administrador · escritorio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verificadas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(precio en UF convertido con la UF del día), RN-08 (entrega en días hábiles), RN-17 (precio desde los costos vigentes del modelo)</w:t>
            </w:r>
          </w:p>
        </w:tc>
      </w:tr>
    </w:tbl>
    <w:p>
      <w:pPr>
        <w:spacing w:after="60"/>
      </w:pPr>
    </w:p>
    <w:p>
      <w:pPr>
        <w:spacing w:after="120"/>
        <w:jc w:val="both"/>
      </w:pPr>
      <w:r>
        <w:t xml:space="preserve">En la ficha del TD-100 el cliente escribe 3 unidades y presiona «Estimar». Luego estima 2 unidades del TM-025, que no tiene precio base publicado, y presiona «Pedir presupuesto por estas unidades». En Swagger se ejecuta la estimación de dos modelos con la clave portal-clientes y se repite con la clave portal-web. Al final, el administrador revisa el registro de integraciones en el escritorio.</w:t>
      </w:r>
    </w:p>
    <w:p>
      <w:pPr>
        <w:spacing w:after="120"/>
        <w:jc w:val="both"/>
      </w:pPr>
      <w:r>
        <w:t xml:space="preserve">Resultado observado: la ficha muestra 88,13 UF por unidad, 264,39 UF en total, su equivalente en pesos y dólares, la entrega estimada en 30 días hábiles y la validez de la estimación. El TM-025 recibe un precio calculado con el costeo, aunque su ficha diga «Precio según especificación». La solicitud se abre con el modelo y las unidades cargados. Swagger responde 200 con la clave portal-clientes y 403 con la clave portal-web. El registro de integraciones muestra cada consulta como api_seguimiento o api_cotizador, con su código de respuesta y latencia.</w:t>
      </w:r>
    </w:p>
    <w:p>
      <w:pPr>
        <w:keepNext/>
        <w:spacing w:before="120"/>
        <w:jc w:val="center"/>
      </w:pPr>
      <w:r>
        <w:drawing>
          <wp:inline xmlns:a="http://schemas.openxmlformats.org/drawingml/2006/main" xmlns:pic="http://schemas.openxmlformats.org/drawingml/2006/picture">
            <wp:extent cx="5486400" cy="3918857"/>
            <wp:docPr id="7" name="Picture 7"/>
            <wp:cNvGraphicFramePr>
              <a:graphicFrameLocks noChangeAspect="1"/>
            </wp:cNvGraphicFramePr>
            <a:graphic>
              <a:graphicData uri="http://schemas.openxmlformats.org/drawingml/2006/picture">
                <pic:pic>
                  <pic:nvPicPr>
                    <pic:cNvPr id="0" name="06_ficha_estimacion.png"/>
                    <pic:cNvPicPr/>
                  </pic:nvPicPr>
                  <pic:blipFill>
                    <a:blip r:embed="rId41"/>
                    <a:stretch>
                      <a:fillRect/>
                    </a:stretch>
                  </pic:blipFill>
                  <pic:spPr>
                    <a:xfrm>
                      <a:off x="0" y="0"/>
                      <a:ext cx="5486400" cy="3918857"/>
                    </a:xfrm>
                    <a:prstGeom prst="rect"/>
                  </pic:spPr>
                </pic:pic>
              </a:graphicData>
            </a:graphic>
          </wp:inline>
        </w:drawing>
      </w:r>
    </w:p>
    <w:p>
      <w:pPr>
        <w:spacing w:after="200"/>
        <w:jc w:val="center"/>
      </w:pPr>
      <w:r>
        <w:rPr>
          <w:i/>
          <w:iCs/>
          <w:color w:val="44546A"/>
          <w:sz w:val="18"/>
          <w:szCs w:val="18"/>
        </w:rPr>
        <w:t xml:space="preserve">Figura 33. Estimación de 3 unidades del TD-100 en la ficha del modelo.</w:t>
      </w:r>
    </w:p>
    <w:p>
      <w:pPr>
        <w:keepNext/>
        <w:spacing w:before="120"/>
        <w:jc w:val="center"/>
      </w:pPr>
      <w:r>
        <w:drawing>
          <wp:inline xmlns:a="http://schemas.openxmlformats.org/drawingml/2006/main" xmlns:pic="http://schemas.openxmlformats.org/drawingml/2006/picture">
            <wp:extent cx="5486400" cy="3825704"/>
            <wp:docPr id="8" name="Picture 8"/>
            <wp:cNvGraphicFramePr>
              <a:graphicFrameLocks noChangeAspect="1"/>
            </wp:cNvGraphicFramePr>
            <a:graphic>
              <a:graphicData uri="http://schemas.openxmlformats.org/drawingml/2006/picture">
                <pic:pic>
                  <pic:nvPicPr>
                    <pic:cNvPr id="0" name="07_ficha_sin_precio_base.png"/>
                    <pic:cNvPicPr/>
                  </pic:nvPicPr>
                  <pic:blipFill>
                    <a:blip r:embed="rId42"/>
                    <a:stretch>
                      <a:fillRect/>
                    </a:stretch>
                  </pic:blipFill>
                  <pic:spPr>
                    <a:xfrm>
                      <a:off x="0" y="0"/>
                      <a:ext cx="5486400" cy="3825704"/>
                    </a:xfrm>
                    <a:prstGeom prst="rect"/>
                  </pic:spPr>
                </pic:pic>
              </a:graphicData>
            </a:graphic>
          </wp:inline>
        </w:drawing>
      </w:r>
    </w:p>
    <w:p>
      <w:pPr>
        <w:spacing w:after="200"/>
        <w:jc w:val="center"/>
      </w:pPr>
      <w:r>
        <w:rPr>
          <w:i/>
          <w:iCs/>
          <w:color w:val="44546A"/>
          <w:sz w:val="18"/>
          <w:szCs w:val="18"/>
        </w:rPr>
        <w:t xml:space="preserve">Figura 34. Estimación del TM-025: precio calculado con el costeo aunque no tenga precio base.</w:t>
      </w:r>
    </w:p>
    <w:p>
      <w:pPr>
        <w:keepNext/>
        <w:spacing w:before="120"/>
        <w:jc w:val="center"/>
      </w:pPr>
      <w:r>
        <w:drawing>
          <wp:inline xmlns:a="http://schemas.openxmlformats.org/drawingml/2006/main" xmlns:pic="http://schemas.openxmlformats.org/drawingml/2006/picture">
            <wp:extent cx="5120640" cy="3222885"/>
            <wp:docPr id="9" name="Picture 9"/>
            <wp:cNvGraphicFramePr>
              <a:graphicFrameLocks noChangeAspect="1"/>
            </wp:cNvGraphicFramePr>
            <a:graphic>
              <a:graphicData uri="http://schemas.openxmlformats.org/drawingml/2006/picture">
                <pic:pic>
                  <pic:nvPicPr>
                    <pic:cNvPr id="0" name="08_solicitud_prellenada.png"/>
                    <pic:cNvPicPr/>
                  </pic:nvPicPr>
                  <pic:blipFill>
                    <a:blip r:embed="rId43"/>
                    <a:stretch>
                      <a:fillRect/>
                    </a:stretch>
                  </pic:blipFill>
                  <pic:spPr>
                    <a:xfrm>
                      <a:off x="0" y="0"/>
                      <a:ext cx="5120640" cy="3222885"/>
                    </a:xfrm>
                    <a:prstGeom prst="rect"/>
                  </pic:spPr>
                </pic:pic>
              </a:graphicData>
            </a:graphic>
          </wp:inline>
        </w:drawing>
      </w:r>
    </w:p>
    <w:p>
      <w:pPr>
        <w:spacing w:after="200"/>
        <w:jc w:val="center"/>
      </w:pPr>
      <w:r>
        <w:rPr>
          <w:i/>
          <w:iCs/>
          <w:color w:val="44546A"/>
          <w:sz w:val="18"/>
          <w:szCs w:val="18"/>
        </w:rPr>
        <w:t xml:space="preserve">Figura 35. Solicitud de presupuesto abierta desde la estimación, con el modelo y las unidades cargados.</w:t>
      </w:r>
    </w:p>
    <w:p>
      <w:pPr>
        <w:keepNext/>
        <w:spacing w:before="120"/>
        <w:jc w:val="center"/>
      </w:pPr>
      <w:r>
        <w:drawing>
          <wp:inline xmlns:a="http://schemas.openxmlformats.org/drawingml/2006/main" xmlns:pic="http://schemas.openxmlformats.org/drawingml/2006/picture">
            <wp:extent cx="3840480" cy="5677332"/>
            <wp:docPr id="10" name="Picture 10"/>
            <wp:cNvGraphicFramePr>
              <a:graphicFrameLocks noChangeAspect="1"/>
            </wp:cNvGraphicFramePr>
            <a:graphic>
              <a:graphicData uri="http://schemas.openxmlformats.org/drawingml/2006/picture">
                <pic:pic>
                  <pic:nvPicPr>
                    <pic:cNvPr id="0" name="11_swagger_estimacion_200.png"/>
                    <pic:cNvPicPr/>
                  </pic:nvPicPr>
                  <pic:blipFill>
                    <a:blip r:embed="rId44"/>
                    <a:stretch>
                      <a:fillRect/>
                    </a:stretch>
                  </pic:blipFill>
                  <pic:spPr>
                    <a:xfrm>
                      <a:off x="0" y="0"/>
                      <a:ext cx="3840480" cy="5677332"/>
                    </a:xfrm>
                    <a:prstGeom prst="rect"/>
                  </pic:spPr>
                </pic:pic>
              </a:graphicData>
            </a:graphic>
          </wp:inline>
        </w:drawing>
      </w:r>
    </w:p>
    <w:p>
      <w:pPr>
        <w:spacing w:after="200"/>
        <w:jc w:val="center"/>
      </w:pPr>
      <w:r>
        <w:rPr>
          <w:i/>
          <w:iCs/>
          <w:color w:val="44546A"/>
          <w:sz w:val="18"/>
          <w:szCs w:val="18"/>
        </w:rPr>
        <w:t xml:space="preserve">Figura 36. Swagger: estimación de dos modelos con la clave portal-clientes (200).</w:t>
      </w:r>
    </w:p>
    <w:p>
      <w:pPr>
        <w:keepNext/>
        <w:spacing w:before="120"/>
        <w:jc w:val="center"/>
      </w:pPr>
      <w:r>
        <w:drawing>
          <wp:inline xmlns:a="http://schemas.openxmlformats.org/drawingml/2006/main" xmlns:pic="http://schemas.openxmlformats.org/drawingml/2006/picture">
            <wp:extent cx="3840480" cy="4780911"/>
            <wp:docPr id="11" name="Picture 11"/>
            <wp:cNvGraphicFramePr>
              <a:graphicFrameLocks noChangeAspect="1"/>
            </wp:cNvGraphicFramePr>
            <a:graphic>
              <a:graphicData uri="http://schemas.openxmlformats.org/drawingml/2006/picture">
                <pic:pic>
                  <pic:nvPicPr>
                    <pic:cNvPr id="0" name="12_swagger_estimacion_403.png"/>
                    <pic:cNvPicPr/>
                  </pic:nvPicPr>
                  <pic:blipFill>
                    <a:blip r:embed="rId45"/>
                    <a:stretch>
                      <a:fillRect/>
                    </a:stretch>
                  </pic:blipFill>
                  <pic:spPr>
                    <a:xfrm>
                      <a:off x="0" y="0"/>
                      <a:ext cx="3840480" cy="4780911"/>
                    </a:xfrm>
                    <a:prstGeom prst="rect"/>
                  </pic:spPr>
                </pic:pic>
              </a:graphicData>
            </a:graphic>
          </wp:inline>
        </w:drawing>
      </w:r>
    </w:p>
    <w:p>
      <w:pPr>
        <w:spacing w:after="200"/>
        <w:jc w:val="center"/>
      </w:pPr>
      <w:r>
        <w:rPr>
          <w:i/>
          <w:iCs/>
          <w:color w:val="44546A"/>
          <w:sz w:val="18"/>
          <w:szCs w:val="18"/>
        </w:rPr>
        <w:t xml:space="preserve">Figura 37. Swagger: la clave portal-web no tiene acceso al cotizador (403).</w:t>
      </w:r>
    </w:p>
    <w:p>
      <w:pPr>
        <w:keepNext/>
        <w:spacing w:before="120"/>
        <w:jc w:val="center"/>
      </w:pPr>
      <w:r>
        <w:drawing>
          <wp:inline xmlns:a="http://schemas.openxmlformats.org/drawingml/2006/main" xmlns:pic="http://schemas.openxmlformats.org/drawingml/2006/picture">
            <wp:extent cx="5669280" cy="3060234"/>
            <wp:docPr id="12" name="Picture 12"/>
            <wp:cNvGraphicFramePr>
              <a:graphicFrameLocks noChangeAspect="1"/>
            </wp:cNvGraphicFramePr>
            <a:graphic>
              <a:graphicData uri="http://schemas.openxmlformats.org/drawingml/2006/picture">
                <pic:pic>
                  <pic:nvPicPr>
                    <pic:cNvPr id="0" name="13_escritorio_integraciones.png"/>
                    <pic:cNvPicPr/>
                  </pic:nvPicPr>
                  <pic:blipFill>
                    <a:blip r:embed="rId46"/>
                    <a:stretch>
                      <a:fillRect/>
                    </a:stretch>
                  </pic:blipFill>
                  <pic:spPr>
                    <a:xfrm>
                      <a:off x="0" y="0"/>
                      <a:ext cx="5669280" cy="3060234"/>
                    </a:xfrm>
                    <a:prstGeom prst="rect"/>
                  </pic:spPr>
                </pic:pic>
              </a:graphicData>
            </a:graphic>
          </wp:inline>
        </w:drawing>
      </w:r>
    </w:p>
    <w:p>
      <w:pPr>
        <w:spacing w:after="200"/>
        <w:jc w:val="center"/>
      </w:pPr>
      <w:r>
        <w:rPr>
          <w:i/>
          <w:iCs/>
          <w:color w:val="44546A"/>
          <w:sz w:val="18"/>
          <w:szCs w:val="18"/>
        </w:rPr>
        <w:t xml:space="preserve">Figura 38. Registro de integraciones en el escritorio con las consultas a las APIs públicas.</w:t>
      </w:r>
    </w:p>
    <w:p>
      <w:pPr>
        <w:pStyle w:val="Heading1"/>
        <w:pageBreakBefore/>
      </w:pPr>
      <w:r>
        <w:t xml:space="preserve">4. Hallazgos durante la recolección de evidencias</w:t>
      </w:r>
    </w:p>
    <w:p>
      <w:pPr>
        <w:spacing w:after="120"/>
        <w:jc w:val="both"/>
      </w:pPr>
      <w:r>
        <w:t xml:space="preserve">Al recorrer el sistema con datos de prueba se detectaron los siguientes puntos. Los tres primeros se corrigieron el 10 de octubre de 2026; la corrección está cubierta por pruebas automatizadas y desplegada en el ambiente publicado. El cuarto se detectó el 19 de octubre de 2026 y queda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900"/>
        <w:gridCol w:w="3560"/>
      </w:tblGrid>
      <w:tr>
        <w:trPr>
          <w:tblHeader/>
        </w:trPr>
        <w:tc>
          <w:tcPr>
            <w:tcW w:type="dxa" w:w="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N.º</w:t>
            </w:r>
          </w:p>
        </w:tc>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Hallazgo</w:t>
            </w:r>
          </w:p>
        </w:tc>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Dónde se observa</w:t>
            </w:r>
          </w:p>
        </w:tc>
        <w:tc>
          <w:tcPr>
            <w:tcW w:type="dxa" w:w="3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Corrección</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H-01</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especificación técnica acepta valores fuera de rango (por ejemplo, 1.000.000 kV de tensión primaria) y una potencia distinta de la del modelo elegido.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Cada parámetro numérico tiene rango mínimo y máximo (tensión primaria 1 a 66 kV, secundaria 100 a 1.000 V), que la web muestra bajo el campo y valida al enviar, igual que la API; si se elige un modelo, la potencia debe coincidir con la suya. Los rangos se administran en Catálogo → Parámetros técnicos.</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H-02</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unidades de la solicitud no tienen tope: una prueba con 2.147.483.647 unidades (máximo de un entero) generó una cotización de 1.443 millones de UF, que luego se anuló.</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Listados de solicitudes y cotizaciones (evidencias 2 y 3)</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Tope de 500 unidades por solicitud y por línea de cotización, editable como parámetro comercial.max_unidades_solicitud en Canal web.</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H-03</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etiquetas «Grupo de conexión ()» y «Refrigeración ()» muestran paréntesis vacíos cuando el atributo no tiene unidad.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Corregido. La unidad se muestra sólo cuando existe.</w:t>
            </w:r>
          </w:p>
        </w:tc>
      </w:tr>
      <w:tr>
        <w:trPr>
          <w:cantSplit/>
        </w:trPr>
        <w:tc>
          <w:tcPr>
            <w:tcW w:type="dxa" w:w="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H-04</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los datos de demostración, la ficha del TD-100 muestra el precio base publicado (185 UF) y el cotizador una estimación de 88,13 UF, calculada con el costeo.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Evidencia 15</w:t>
            </w:r>
          </w:p>
        </w:tc>
        <w:tc>
          <w:tcPr>
            <w:tcW w:type="dxa" w:w="3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Pendiente. La diferencia viene de los costos de materiales y horas de demostración, que son menores que los reales (lo mismo explica la desviación de la evidencia 10). Se debe decidir si se ajustan esos costos o si la ficha muestra la estimación en lugar del precio base.</w:t>
            </w:r>
          </w:p>
        </w:tc>
      </w:tr>
    </w:tbl>
    <w:p>
      <w:pPr>
        <w:spacing w:after="60"/>
      </w:pPr>
    </w:p>
    <w:p>
      <w:pPr>
        <w:pStyle w:val="Heading1"/>
        <w:pageBreakBefore/>
      </w:pPr>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con las evidencias del sistema desplegado.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alinean los códigos de casos de uso e historias con el CU-01 v2.0.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la evidencia 13 (aprobación de calidad, bandeja de pendientes y avisos entre roles) y una nota en la evidencia 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Los hallazgos H-01, H-02 y H-03 quedan registrados como corregidos.</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1.4</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Evidencias 14 y 15: APIs públicas de seguimiento de pedidos y del cotizador, en la web, en Swagger y en el registro de integraciones del escritorio. Hallazgo H-04.</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EVI-01 Evidencias de Funcionamiento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0b17f18ddf906ce7f5004212d4fb54f0d103ab.png"/><Relationship Id="rId10" Type="http://schemas.openxmlformats.org/officeDocument/2006/relationships/image" Target="media/1365e8326aff18d3f1df219071e5af1d5de71c60.png"/><Relationship Id="rId11" Type="http://schemas.openxmlformats.org/officeDocument/2006/relationships/image" Target="media/b205c3ab1799761b588eba3eccc9ce12e7577ad4.png"/><Relationship Id="rId12" Type="http://schemas.openxmlformats.org/officeDocument/2006/relationships/image" Target="media/627a06f8fabec4822b0acc4802a85978d056e5d8.png"/><Relationship Id="rId13" Type="http://schemas.openxmlformats.org/officeDocument/2006/relationships/image" Target="media/9e6e1afa81a2294f5fac21968bc3a48e6f14815c.png"/><Relationship Id="rId14" Type="http://schemas.openxmlformats.org/officeDocument/2006/relationships/image" Target="media/4031976a7095edab09548c60ae2abd9864c4c649.png"/><Relationship Id="rId15" Type="http://schemas.openxmlformats.org/officeDocument/2006/relationships/image" Target="media/8fd734721673df2437396ee915da9536b2d97658.png"/><Relationship Id="rId16" Type="http://schemas.openxmlformats.org/officeDocument/2006/relationships/image" Target="media/c31561ddefedab80a88faf7dba77ea796557de2f.png"/><Relationship Id="rId17" Type="http://schemas.openxmlformats.org/officeDocument/2006/relationships/image" Target="media/2f021655c38f7c52e1e886ea232af612c084ac31.png"/><Relationship Id="rId18" Type="http://schemas.openxmlformats.org/officeDocument/2006/relationships/image" Target="media/203772cbc7a8b0f561196e15f23e5ea9bb853ed3.png"/><Relationship Id="rId19" Type="http://schemas.openxmlformats.org/officeDocument/2006/relationships/image" Target="media/0a0761ab7763d464d3574df47ef779fe1c675643.png"/><Relationship Id="rId20" Type="http://schemas.openxmlformats.org/officeDocument/2006/relationships/image" Target="media/c2537efdd63e3711b3d9ac22e6203bafd4ebdd43.png"/><Relationship Id="rId21" Type="http://schemas.openxmlformats.org/officeDocument/2006/relationships/image" Target="media/f50b08bc14b51d04ea857b6da236f9d4befd7306.png"/><Relationship Id="rId22" Type="http://schemas.openxmlformats.org/officeDocument/2006/relationships/image" Target="media/911aca6849f64d2684acf02a2efcd6912a0ba1e2.png"/><Relationship Id="rId23" Type="http://schemas.openxmlformats.org/officeDocument/2006/relationships/image" Target="media/cb361d9aab24020b75a7f15656c247dff89fac38.png"/><Relationship Id="rId24" Type="http://schemas.openxmlformats.org/officeDocument/2006/relationships/image" Target="media/549fb2c491070b07cf14638425422b165933147d.png"/><Relationship Id="rId25" Type="http://schemas.openxmlformats.org/officeDocument/2006/relationships/image" Target="media/5c98199665a1a5eff80e101e4e66f32bad24793f.png"/><Relationship Id="rId26" Type="http://schemas.openxmlformats.org/officeDocument/2006/relationships/image" Target="media/68fe06745d76b03c1089642a6d6ae164be827d49.png"/><Relationship Id="rId27" Type="http://schemas.openxmlformats.org/officeDocument/2006/relationships/image" Target="media/1fa0b4450fc60da535c6582ee1397eaa8e1374ba.png"/><Relationship Id="rId28" Type="http://schemas.openxmlformats.org/officeDocument/2006/relationships/image" Target="media/b798b9a92e6e00a302a45d9db6ec990176f436e4.png"/><Relationship Id="rId29" Type="http://schemas.openxmlformats.org/officeDocument/2006/relationships/image" Target="media/43b19f85c2ea45a4a66238a4fe0148c263a38c0b.png"/><Relationship Id="rId30" Type="http://schemas.openxmlformats.org/officeDocument/2006/relationships/image" Target="media/47b2c6655026f8c81cb43714127b3032813c3245.png"/><Relationship Id="rId31" Type="http://schemas.openxmlformats.org/officeDocument/2006/relationships/image" Target="media/89d2f8a968b2a4074cf4c1da62bef4538a2d512c.png"/><Relationship Id="rId32" Type="http://schemas.openxmlformats.org/officeDocument/2006/relationships/image" Target="media/c7f7c430ba2053ea6789749f919767e6e098a297.png"/><Relationship Id="rId33" Type="http://schemas.openxmlformats.org/officeDocument/2006/relationships/image" Target="media/95d223ff325c20ab40086ac8f51d346df79e3126.png"/><Relationship Id="rId34" Type="http://schemas.openxmlformats.org/officeDocument/2006/relationships/image" Target="media/bd7593dfd839e19bf783edfab2f0358d280cebdd.png"/><Relationship Id="rId35" Type="http://schemas.openxmlformats.org/officeDocument/2006/relationships/fontTable" Target="fontTable.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EVI-01  ·  Versión 1.3</dc:title>
  <dc:creator>Benjamín Delgado Bravo</dc:creator>
  <cp:lastModifiedBy>Un-named</cp:lastModifiedBy>
  <cp:revision>1</cp:revision>
  <dcterms:created xsi:type="dcterms:W3CDTF">2026-10-11T02:00:06.658Z</dcterms:created>
  <dcterms:modified xsi:type="dcterms:W3CDTF">2026-10-11T02:00:06.659Z</dcterms:modified>
</cp:coreProperties>
</file>

<file path=docProps/custom.xml><?xml version="1.0" encoding="utf-8"?>
<Properties xmlns="http://schemas.openxmlformats.org/officeDocument/2006/custom-properties" xmlns:vt="http://schemas.openxmlformats.org/officeDocument/2006/docPropsVTypes"/>
</file>