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56B53653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6880485" w14:textId="1B22284D" w:rsidR="00DD1EB0" w:rsidRDefault="00DD1EB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6E9589E0" w:rsidR="004F2A8B" w:rsidRPr="00DD1EB0" w:rsidRDefault="00DD1EB0" w:rsidP="3D28A338">
            <w:pPr>
              <w:jc w:val="both"/>
              <w:rPr>
                <w:rFonts w:eastAsiaTheme="majorEastAsia"/>
                <w:color w:val="767171" w:themeColor="background2" w:themeShade="80"/>
                <w:sz w:val="28"/>
                <w:szCs w:val="28"/>
              </w:rPr>
            </w:pPr>
            <w:r w:rsidRPr="00DD1EB0">
              <w:rPr>
                <w:sz w:val="24"/>
                <w:szCs w:val="24"/>
              </w:rPr>
              <w:t>Sí, hemos cumplido con los hitos planificados para la Fase 1 e inicio de la Fase 2. Logramos adaptar y consolidar el diseño relacional a un modelo completo en PostgreSQL 16 compuesto por 54 tablas. Además, alineamos la documentación funcional, agrupando la base de datos por módulos estratégicos (Seguridad/Auditoría, Clientes, Catálogo/Recetas, Comercial, Producción, Calidad, Inventario, Cobros/Pagos e Integraciones)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68BC8C2" w14:textId="066C8D9A" w:rsidR="00DD1EB0" w:rsidRPr="00DD1EB0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5CB0D0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9BF7AF7" w14:textId="50FAF48F" w:rsidR="00DD1EB0" w:rsidRPr="00DD1EB0" w:rsidRDefault="00DD1EB0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DD1EB0">
              <w:rPr>
                <w:rFonts w:ascii="Calibri" w:hAnsi="Calibri"/>
                <w:color w:val="000000" w:themeColor="text1"/>
              </w:rPr>
              <w:t xml:space="preserve">Factores facilitadores: La excelente coordinación del equipo para definir catálogos clave (como </w:t>
            </w:r>
            <w:proofErr w:type="spellStart"/>
            <w:r w:rsidRPr="00DD1EB0">
              <w:rPr>
                <w:rFonts w:ascii="Calibri" w:hAnsi="Calibri"/>
                <w:color w:val="000000" w:themeColor="text1"/>
              </w:rPr>
              <w:t>parametro_tecnico</w:t>
            </w:r>
            <w:proofErr w:type="spellEnd"/>
            <w:r w:rsidRPr="00DD1EB0">
              <w:rPr>
                <w:rFonts w:ascii="Calibri" w:hAnsi="Calibri"/>
                <w:color w:val="000000" w:themeColor="text1"/>
              </w:rPr>
              <w:t xml:space="preserve">, </w:t>
            </w:r>
            <w:proofErr w:type="spellStart"/>
            <w:r w:rsidRPr="00DD1EB0">
              <w:rPr>
                <w:rFonts w:ascii="Calibri" w:hAnsi="Calibri"/>
                <w:color w:val="000000" w:themeColor="text1"/>
              </w:rPr>
              <w:t>bom_modelo</w:t>
            </w:r>
            <w:proofErr w:type="spellEnd"/>
            <w:r w:rsidRPr="00DD1EB0">
              <w:rPr>
                <w:rFonts w:ascii="Calibri" w:hAnsi="Calibri"/>
                <w:color w:val="000000" w:themeColor="text1"/>
              </w:rPr>
              <w:t xml:space="preserve"> o </w:t>
            </w:r>
            <w:proofErr w:type="spellStart"/>
            <w:r w:rsidRPr="00DD1EB0">
              <w:rPr>
                <w:rFonts w:ascii="Calibri" w:hAnsi="Calibri"/>
                <w:color w:val="000000" w:themeColor="text1"/>
              </w:rPr>
              <w:t>protocolo_calidad</w:t>
            </w:r>
            <w:proofErr w:type="spellEnd"/>
            <w:r w:rsidRPr="00DD1EB0">
              <w:rPr>
                <w:rFonts w:ascii="Calibri" w:hAnsi="Calibri"/>
                <w:color w:val="000000" w:themeColor="text1"/>
              </w:rPr>
              <w:t>) y el estándar unificado de claves y restricciones en PostgreSQL 16.</w:t>
            </w:r>
          </w:p>
          <w:p w14:paraId="4684E8F1" w14:textId="73E93AF7" w:rsidR="00DD1EB0" w:rsidRPr="00DD1EB0" w:rsidRDefault="00DD1EB0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3BBA6BFE" w14:textId="29925A0E" w:rsidR="004F2A8B" w:rsidRPr="00DD1EB0" w:rsidRDefault="00DD1EB0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DD1EB0">
              <w:rPr>
                <w:rFonts w:ascii="Calibri" w:hAnsi="Calibri"/>
                <w:color w:val="000000" w:themeColor="text1"/>
              </w:rPr>
              <w:t xml:space="preserve">Factores dificultadores: La alta escala y nivel de detalle del negocio de </w:t>
            </w:r>
            <w:r w:rsidRPr="00DD1EB0">
              <w:rPr>
                <w:rFonts w:ascii="Calibri" w:hAnsi="Calibri"/>
                <w:i/>
                <w:iCs/>
                <w:color w:val="000000" w:themeColor="text1"/>
              </w:rPr>
              <w:t xml:space="preserve">Transformadores Olivares </w:t>
            </w:r>
            <w:proofErr w:type="spellStart"/>
            <w:r w:rsidRPr="00DD1EB0">
              <w:rPr>
                <w:rFonts w:ascii="Calibri" w:hAnsi="Calibri"/>
                <w:i/>
                <w:iCs/>
                <w:color w:val="000000" w:themeColor="text1"/>
              </w:rPr>
              <w:t>SpA</w:t>
            </w:r>
            <w:proofErr w:type="spellEnd"/>
            <w:r w:rsidRPr="00DD1EB0">
              <w:rPr>
                <w:rFonts w:ascii="Calibri" w:hAnsi="Calibri"/>
                <w:color w:val="000000" w:themeColor="text1"/>
              </w:rPr>
              <w:t xml:space="preserve"> (manejar 54 tablas con trazabilidad completa de historiales de estado en solicitudes, cotizaciones, órdenes de compra y de trabajo), lo que exigió una cuidadosa revisión de las claves foráneas para evitar inconsistencias en las reglas de negocio.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9D73874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09DB180" w14:textId="4CAF62FA" w:rsidR="00DD1EB0" w:rsidRDefault="00DD1EB0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730183C" w14:textId="77777777" w:rsidR="00DD1EB0" w:rsidRPr="00DD1EB0" w:rsidRDefault="00DD1EB0" w:rsidP="00DD1EB0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D1EB0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Evaluación:</w:t>
            </w:r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Evaluamos nuestro trabajo de forma excelente, ya que contamos con una base de datos profesional y sumamente exhaustiva que resuelve la operación real de la empresa. </w:t>
            </w:r>
          </w:p>
          <w:p w14:paraId="0B1EA897" w14:textId="6308D549" w:rsidR="00DD1EB0" w:rsidRPr="00DD1EB0" w:rsidRDefault="00DD1EB0" w:rsidP="00DD1EB0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D1EB0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Destacamos:</w:t>
            </w:r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La profundidad técnica del diseño, incluyendo la bitácora de </w:t>
            </w:r>
            <w:proofErr w:type="spellStart"/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>auditoria</w:t>
            </w:r>
            <w:proofErr w:type="spellEnd"/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>, la congelación de costos y precios en UF (</w:t>
            </w:r>
            <w:proofErr w:type="spellStart"/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>precio_base_modelo</w:t>
            </w:r>
            <w:proofErr w:type="spellEnd"/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>,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>precio_material</w:t>
            </w:r>
            <w:proofErr w:type="spellEnd"/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>indicador_economico</w:t>
            </w:r>
            <w:proofErr w:type="spellEnd"/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) y la trazabilidad de calidad con </w:t>
            </w:r>
            <w:proofErr w:type="spellStart"/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>punto_control</w:t>
            </w:r>
            <w:proofErr w:type="spellEnd"/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>no_conformidad</w:t>
            </w:r>
            <w:proofErr w:type="spellEnd"/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</w:t>
            </w:r>
          </w:p>
          <w:p w14:paraId="323666D3" w14:textId="77777777" w:rsidR="00DD1EB0" w:rsidRPr="00DD1EB0" w:rsidRDefault="00DD1EB0" w:rsidP="00DD1EB0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D1EB0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 mejorar:</w:t>
            </w:r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Documentar y repasar en conjunto los nombres exactos de las entidades y campos de las 54 tablas para evitar desacoples al momento de programar las consultas e interfaces. </w:t>
            </w:r>
          </w:p>
          <w:p w14:paraId="7F74E4BD" w14:textId="133BE348" w:rsidR="00DD1EB0" w:rsidRPr="003B466F" w:rsidRDefault="00DD1EB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64EB42BC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06C11BF" w14:textId="3CF191FF" w:rsidR="00DD1EB0" w:rsidRDefault="00DD1EB0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A7AB3AA" w14:textId="5D652F87" w:rsidR="00DD1EB0" w:rsidRPr="00DD1EB0" w:rsidRDefault="00DD1EB0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D1EB0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Pregunta al docente:</w:t>
            </w:r>
            <w:r w:rsidRPr="00DD1EB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"Estimado/a docente, dado que nuestro esquema en PostgreSQL contempla un ciclo comercial y de producción muy completo (54 tablas que incluyen cotizaciones, consumo de materiales, historial de estados y control de calidad), ¿es necesario reflejar la totalidad de los flujos de la base de datos en los diagramas de secuencia de la Fase 2, o podemos focalizarnos en los casos de uso críticos como la Solicitud de Presupuesto y el Cierre de Orden de Trabajo?"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03C108F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B541FCE" w14:textId="77777777" w:rsidR="007A74CC" w:rsidRDefault="007A74C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FB58B9" w14:textId="77777777" w:rsidR="007A74CC" w:rsidRPr="007A74CC" w:rsidRDefault="007A74CC" w:rsidP="007A74CC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Sí, y ya lo hicimos. Como el desarrollo quedó a cargo de Benjamín Delgado, redistribuimos las actividades para que cada integrante tenga tareas reales y verificables: Camila Olivares se encarga del </w:t>
            </w:r>
            <w:proofErr w:type="spellStart"/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>product</w:t>
            </w:r>
            <w:proofErr w:type="spellEnd"/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backlog, el sprint backlog, el </w:t>
            </w:r>
            <w:proofErr w:type="spellStart"/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>burndown</w:t>
            </w:r>
            <w:proofErr w:type="spellEnd"/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las capturas del flujo comercial y el manual de usuario; </w:t>
            </w:r>
            <w:proofErr w:type="spellStart"/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>Milko</w:t>
            </w:r>
            <w:proofErr w:type="spellEnd"/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Soto se encarga del análisis de seguridad con OWASP ZAP, la prueba de carga y las pruebas de interfaz con </w:t>
            </w:r>
            <w:proofErr w:type="spellStart"/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>Selenium</w:t>
            </w:r>
            <w:proofErr w:type="spellEnd"/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sobre el sistema desplegado.</w:t>
            </w:r>
          </w:p>
          <w:p w14:paraId="29C5EEFE" w14:textId="33877FBC" w:rsidR="004F2A8B" w:rsidRPr="007A74CC" w:rsidRDefault="007A74CC" w:rsidP="007A74CC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>Como nuevas actividades, cada integrante tendrá una cuenta personal en el sistema para que su trabajo quede registrado en la auditoría, y todos debemos recorrer el proceso completo para conocer el sistema y prepararnos para la defensa individual.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6F86022B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30E2F0D" w14:textId="522FA9EA" w:rsidR="008F5260" w:rsidRDefault="008F5260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9964596" w14:textId="77777777" w:rsidR="008F5260" w:rsidRDefault="008F5260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0FA6653F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86CC84" w14:textId="3760F1B8" w:rsidR="007A74CC" w:rsidRDefault="007A74CC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BC0F37A" w14:textId="77777777" w:rsidR="007A74CC" w:rsidRPr="007A74CC" w:rsidRDefault="007A74CC" w:rsidP="007A74CC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Evaluamos el trabajo en grupo como mejorable. Como aspecto positivo destacamos la comunicación para reconocer a tiempo que la distribución inicial no estaba funcionando y la disposición de Camila y </w:t>
            </w:r>
            <w:proofErr w:type="spellStart"/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>Milko</w:t>
            </w:r>
            <w:proofErr w:type="spellEnd"/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 asumir nuevas tareas acordes al estado del proyecto, además del rol de Camila como Scrum Master en la organización del trabajo.</w:t>
            </w:r>
          </w:p>
          <w:p w14:paraId="1D25ECCC" w14:textId="7449553A" w:rsidR="007A74CC" w:rsidRPr="007A74CC" w:rsidRDefault="007A74CC" w:rsidP="007A74CC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A74CC">
              <w:rPr>
                <w:rFonts w:eastAsiaTheme="majorEastAsia"/>
                <w:color w:val="000000" w:themeColor="text1"/>
                <w:sz w:val="24"/>
                <w:szCs w:val="24"/>
              </w:rPr>
              <w:t>Como aspectos a mejorar, necesitamos una participación más equilibrada, compromisos con fechas concretas y revisiones semanales del avance de cada integrante, de modo que lleguemos al informe final con todas las evidencias completas y que cada uno pueda defender el proyecto con conocimiento propio.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B82E3" w14:textId="77777777" w:rsidR="0028172C" w:rsidRDefault="0028172C" w:rsidP="00DF38AE">
      <w:pPr>
        <w:spacing w:after="0" w:line="240" w:lineRule="auto"/>
      </w:pPr>
      <w:r>
        <w:separator/>
      </w:r>
    </w:p>
  </w:endnote>
  <w:endnote w:type="continuationSeparator" w:id="0">
    <w:p w14:paraId="51C837D3" w14:textId="77777777" w:rsidR="0028172C" w:rsidRDefault="0028172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FC73A" w14:textId="77777777" w:rsidR="0028172C" w:rsidRDefault="0028172C" w:rsidP="00DF38AE">
      <w:pPr>
        <w:spacing w:after="0" w:line="240" w:lineRule="auto"/>
      </w:pPr>
      <w:r>
        <w:separator/>
      </w:r>
    </w:p>
  </w:footnote>
  <w:footnote w:type="continuationSeparator" w:id="0">
    <w:p w14:paraId="4E878F3C" w14:textId="77777777" w:rsidR="0028172C" w:rsidRDefault="0028172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193918"/>
    <w:multiLevelType w:val="multilevel"/>
    <w:tmpl w:val="0D8A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9"/>
  </w:num>
  <w:num w:numId="5">
    <w:abstractNumId w:val="31"/>
  </w:num>
  <w:num w:numId="6">
    <w:abstractNumId w:val="4"/>
  </w:num>
  <w:num w:numId="7">
    <w:abstractNumId w:val="11"/>
  </w:num>
  <w:num w:numId="8">
    <w:abstractNumId w:val="20"/>
  </w:num>
  <w:num w:numId="9">
    <w:abstractNumId w:val="15"/>
  </w:num>
  <w:num w:numId="10">
    <w:abstractNumId w:val="9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0"/>
  </w:num>
  <w:num w:numId="20">
    <w:abstractNumId w:val="40"/>
  </w:num>
  <w:num w:numId="21">
    <w:abstractNumId w:val="35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72C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3943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A74CC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5260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1EB0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760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Camila Scarleth Olivares Espinoza</cp:lastModifiedBy>
  <cp:revision>3</cp:revision>
  <cp:lastPrinted>2019-12-16T20:10:00Z</cp:lastPrinted>
  <dcterms:created xsi:type="dcterms:W3CDTF">2026-10-01T13:55:00Z</dcterms:created>
  <dcterms:modified xsi:type="dcterms:W3CDTF">2026-10-01T14:07:00Z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