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1725C9" w14:textId="77777777" w:rsidR="0003309E" w:rsidRDefault="0003309E" w:rsidP="0003309E">
      <w:bookmarkStart w:id="0" w:name="_GoBack"/>
      <w:bookmarkEnd w:id="0"/>
    </w:p>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Pr>
                                  <w:b/>
                                  <w:color w:val="1F3864" w:themeColor="accent1" w:themeShade="80"/>
                                  <w:sz w:val="48"/>
                                  <w:szCs w:val="48"/>
                                </w:rPr>
                                <w:t xml:space="preserve">Guía2. Desarrollo Proyecto 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spt0wgMAAFgJAAAOAAAAZHJzL2Uyb0RvYy54bWy0Vttu3DYQfS/QfyD4Hmslay8SLAfbTWwU cBIjTpFnLkWthFIcluRa6/xNvqU/1iF1WXfXbdG0sQEtbzOcOTxnyKvXh1aSR2FsA6qg8cWMEqE4 lI3aFfSXTzevVpRYx1TJJChR0Cdh6evrH3+46nQuEqhBlsIQdKJs3umC1s7pPIosr0XL7AVooXCy AtMyh12zi0rDOvTeyiiZzRZRB6bUBriwFkff9JP0OvivKsHdh6qywhFZUIzNha8J363/RtdXLN8Z puuGD2Gwb4iiZY3CTSdXb5hjZG+aM1dtww1YqNwFhzaCqmq4CDlgNvHsJJtbA3sdctnl3U5PMCG0 Jzh9s1v+/vHekKYsaLKkRLEWz+jW7DUQ7CM4nd7luObW6Ad9b4aBXd/z+R4q0/pfzIQcAqxPE6zi 4AjHwUVyuVot55RwnIvniySeDcDzGk/nzI7XbwfLeZbFSXJuGY0bRz6+KZxOI4nsESf733B6qJkW AX7rMRhxQkb3OG32rDRASkEcpoqI9YCFxR4t4g4/AeYfB2ZYfQf8V0sUbGqmdmJtDHS1YCVGGXtL zGUy9cDb3Hon2+4dlHgqbO8gODqBPJ4l6WIZU4LgJlmWLi+9M5aP6KfZYjGfpwP6yQL/w8lOGLJc G+tuBbTENwpqUDVhJ/Z4Z52P7LjEe1Zw00gZNpGKdAXN5nhGJzNt41DYsmkLupr5vz4qn/BbVQZj xxrZt3EDqQYEfNJ9+u6wPeBCj8QWyifEwkAvYCw42KjBfKGkQ/EW1P62Z0ZQIn9WiGcWp6lXe+ik 82WCHfN8Zvt8himOrgrqKOmbGxcqRJ/RGnGvmgDDMZIhViRbH993Z12ajaz7iKfz+1e120sgODoA hPycBNoTx0d/QhVE4VydWXYZe7CCONPVYpWlgY1H639JDwuyKT1DfAShkIuNNOSRYQlmnAvlekHI fYvM7sfnI0OQCZNJIN6fvHmSPOPfy7Sx7kkKv06qj6LC2oYSTAI9J8/nwdiaoY5DjH8dS3DoPVeY 3eR7kLe/sc4TxePBKIf13lSES2kynv1dYL3xZBF2BuUm47ZRYF5yIBHiYed+/aitHpojjydFWc1v GlT/HbPunhm8A5ESXmYf8FNJQJXD0KLEC++l8f9XlmrfbgA5g6UNowtNL2Mnx2ZloP2M1//aFwOc GnXMnRk7g5IJPiC4WK/DMrx4NXN36kHzsTZ7hn86fGZGDyXQF/T3MF4ALD+phP1afx4K/rE+hDsK r+/AhOGp4d8Hz/vhfI4Pous/AAAA//8DAFBLAwQUAAYACAAAACEAGd1UyN4AAAAGAQAADwAAAGRy cy9kb3ducmV2LnhtbEyPQU/DMAyF70j8h8hI3FjaQmGUptM0AadpEhvStFvWeG21xqmarO3+PeYE Nz8/673P+WKyrRiw940jBfEsAoFUOtNQpeB79/EwB+GDJqNbR6jgih4Wxe1NrjPjRvrCYRsqwSHk M62gDqHLpPRljVb7meuQ2Du53urAsq+k6fXI4baVSRQ9S6sb4oZad7iqsTxvL1bB56jH5WP8PqzP p9X1sEs3+3WMSt3fTcs3EAGn8HcMv/iMDgUzHd2FjBetAn4k8DYFwebrPOHhqCB5eklBFrn8j1/8 AAAA//8DAFBLAQItABQABgAIAAAAIQC2gziS/gAAAOEBAAATAAAAAAAAAAAAAAAAAAAAAABbQ29u dGVudF9UeXBlc10ueG1sUEsBAi0AFAAGAAgAAAAhADj9If/WAAAAlAEAAAsAAAAAAAAAAAAAAAAA LwEAAF9yZWxzLy5yZWxzUEsBAi0AFAAGAAgAAAAhAMWym3TCAwAAWAkAAA4AAAAAAAAAAAAAAAAA LgIAAGRycy9lMm9Eb2MueG1sUEsBAi0AFAAGAAgAAAAhABndVMjeAAAABgEAAA8AAAAAAAAAAAAA AAAAHAYAAGRycy9kb3ducmV2LnhtbFBLBQYAAAAABAAEAPMAAAAnBwAAAAA= ">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smhNCwAAAANsAAAAPAAAAZHJzL2Rvd25yZXYueG1sRE/Pa8Iw FL4L+x/CG3izycTJVhtlKIOdJtZN8PZonm2xeQlNZrv/3hwGO358v4vNaDtxoz60jjU8ZQoEceVM y7WGr+P77AVEiMgGO8ek4ZcCbNYPkwJz4wY+0K2MtUghHHLU0MTocylD1ZDFkDlPnLiL6y3GBPta mh6HFG47OVdqKS22nBoa9LRtqLqWP1bD9+flfFqofb2zz35wo5JsX6XW08fxbQUi0hj/xX/uD6Nh nsamL+kHyPUdAAD//wMAUEsBAi0AFAAGAAgAAAAhANvh9svuAAAAhQEAABMAAAAAAAAAAAAAAAAA AAAAAFtDb250ZW50X1R5cGVzXS54bWxQSwECLQAUAAYACAAAACEAWvQsW78AAAAVAQAACwAAAAAA AAAAAAAAAAAfAQAAX3JlbHMvLnJlbHNQSwECLQAUAAYACAAAACEAbJoTQsAAAADbAAAADwAAAAAA AAAAAAAAAAAHAgAAZHJzL2Rvd25yZXYueG1sUEsFBgAAAAADAAMAtwAAAPQCAAAAAA== "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Pr>
                            <w:b/>
                            <w:color w:val="1F3864" w:themeColor="accent1" w:themeShade="80"/>
                            <w:sz w:val="48"/>
                            <w:szCs w:val="48"/>
                          </w:rPr>
                          <w:t xml:space="preserve">Guía2. Desarrollo Proyecto 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Capstone</w:t>
                        </w:r>
                      </w:p>
                    </w:txbxContent>
                  </v:textbox>
                </v:shape>
                <v:rect id="Rectángulo 49" o:spid="_x0000_s1028" style="position:absolute;width:9931;height:14868;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GjL46wQAAANsAAAAPAAAAZHJzL2Rvd25yZXYueG1sRI/RagIx FETfBf8hXKFvmq0UsatRakHwSXDtB1yT62Z1c7Nsosa/b4RCH4eZOcMs18m14k59aDwreJ8UIIi1 Nw3XCn6O2/EcRIjIBlvPpOBJAdar4WCJpfEPPtC9irXIEA4lKrAxdqWUQVtyGCa+I87e2fcOY5Z9 LU2Pjwx3rZwWxUw6bDgvWOzo25K+VjenoDun6U5vtptndZzf7OW0l0mTUm+j9LUAESnF//Bfe2cU fHzC60v+AXL1CwAA//8DAFBLAQItABQABgAIAAAAIQDb4fbL7gAAAIUBAAATAAAAAAAAAAAAAAAA AAAAAABbQ29udGVudF9UeXBlc10ueG1sUEsBAi0AFAAGAAgAAAAhAFr0LFu/AAAAFQEAAAsAAAAA AAAAAAAAAAAAHwEAAF9yZWxzLy5yZWxzUEsBAi0AFAAGAAgAAAAhAIaMvjrBAAAA2wAAAA8AAAAA AAAAAAAAAAAABwIAAGRycy9kb3ducmV2LnhtbFBLBQYAAAAAAwADALcAAAD1AgAAAAA= "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 xml:space="preserve">1. Resumen avance Proyecto APT</w:t>
            </w:r>
          </w:p>
        </w:tc>
      </w:tr>
      <w:tr w:rsidR="0003309E" w14:paraId="104F9294" w14:textId="77777777" w:rsidTr="00C5122E">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 xml:space="preserve">Resumen de avance proyecto APT</w:t>
            </w:r>
          </w:p>
        </w:tc>
        <w:tc>
          <w:tcPr>
            <w:tcW w:w="7111" w:type="dxa"/>
          </w:tcPr>
          <w:p w14:paraId="62B29CFD" w14:textId="12228CA9" w:rsidR="0003309E" w:rsidRDefault="0003309E" w:rsidP="00585A13">
            <w:pPr>
              <w:spacing w:after="60"/>
              <w:jc w:val="left"/>
              <w:rPr>
                <w:rFonts w:ascii="Calibri" w:hAnsi="Calibri" w:cs="Arial"/>
                <w:i/>
                <w:color w:val="548DD4"/>
                <w:sz w:val="20"/>
                <w:szCs w:val="20"/>
                <w:lang w:eastAsia="es-CL"/>
              </w:rPr>
            </w:pPr>
            <w:r>
              <w:rPr>
                <w:rFonts w:ascii="Calibri" w:hAnsi="Calibri"/>
                <w:i w:val="0"/>
                <w:sz w:val="20"/>
              </w:rPr>
              <w:t>A la fecha, SITRAFO se encuentra construido en su totalidad y en etapa de verificación y despliegue, con un avance superior al planificado para la semana 10. Se completaron las actividades de análisis y diseño (ERS-01, CU-01 y MER-01), el Sprint 0 de arquitectura y los tres sprints de desarrollo, además de la aplicación de escritorio.</w:t>
            </w:r>
          </w:p>
          <w:p>
            <w:pPr>
              <w:spacing w:after="60"/>
              <w:jc w:val="left"/>
            </w:pPr>
            <w:r>
              <w:rPr>
                <w:rFonts w:ascii="Calibri" w:hAnsi="Calibri"/>
                <w:b/>
                <w:i w:val="0"/>
                <w:sz w:val="20"/>
              </w:rPr>
              <w:t>Objetivos específicos cumplidos:</w:t>
            </w:r>
          </w:p>
          <w:p>
            <w:pPr>
              <w:spacing w:after="60"/>
              <w:ind w:left="160"/>
              <w:jc w:val="left"/>
            </w:pPr>
            <w:r>
              <w:rPr>
                <w:rFonts w:ascii="Calibri" w:hAnsi="Calibri"/>
                <w:i w:val="0"/>
                <w:sz w:val="20"/>
              </w:rPr>
              <w:t>• OE1 (requerimientos): ERS-01 con requisitos funcionales, no funcionales y 18 reglas de negocio, y CU-01 con los casos de uso del proceso.</w:t>
            </w:r>
          </w:p>
          <w:p>
            <w:pPr>
              <w:spacing w:after="60"/>
              <w:ind w:left="160"/>
              <w:jc w:val="left"/>
            </w:pPr>
            <w:r>
              <w:rPr>
                <w:rFonts w:ascii="Calibri" w:hAnsi="Calibri"/>
                <w:i w:val="0"/>
                <w:sz w:val="20"/>
              </w:rPr>
              <w:t>• OE2 (modelo de datos): modelo relacional normalizado de 54 tablas implementado en PostgreSQL 16 con migraciones versionadas, superando el mínimo de 30 comprometido.</w:t>
            </w:r>
          </w:p>
          <w:p>
            <w:pPr>
              <w:spacing w:after="60"/>
              <w:ind w:left="160"/>
              <w:jc w:val="left"/>
            </w:pPr>
            <w:r>
              <w:rPr>
                <w:rFonts w:ascii="Calibri" w:hAnsi="Calibri"/>
                <w:i w:val="0"/>
                <w:sz w:val="20"/>
              </w:rPr>
              <w:t>• OE3 (API REST): API con Django REST Framework como único punto de acceso a los datos, autenticación JWT con revocación de tokens y autorización por la matriz de roles.</w:t>
            </w:r>
          </w:p>
          <w:p>
            <w:pPr>
              <w:spacing w:after="60"/>
              <w:ind w:left="160"/>
              <w:jc w:val="left"/>
            </w:pPr>
            <w:r>
              <w:rPr>
                <w:rFonts w:ascii="Calibri" w:hAnsi="Calibri"/>
                <w:i w:val="0"/>
                <w:sz w:val="20"/>
              </w:rPr>
              <w:t xml:space="preserve">• OE4 (escritorio): aplicación PySide6 con más de 20 paneles (catálogo y recetas, clientes, cotizaciones, órdenes de compra y de trabajo, vista de taller, calidad, inventario, empleados, reportes, usuarios, matriz de permisos y auditoría) y una bandeja de pendientes por rol al ingresar, que consume exclusivamente la API.</w:t>
            </w:r>
          </w:p>
          <w:p>
            <w:pPr>
              <w:spacing w:after="60"/>
              <w:ind w:left="160"/>
              <w:jc w:val="left"/>
            </w:pPr>
            <w:r>
              <w:rPr>
                <w:rFonts w:ascii="Calibri" w:hAnsi="Calibri"/>
                <w:i w:val="0"/>
                <w:sz w:val="20"/>
              </w:rPr>
              <w:t xml:space="preserve">• OE5 (web del cliente): catálogo con filtros técnicos, solicitud de presupuesto, aceptación de cotizaciones, seguimiento de fabricación, pago en línea y perfil con edición de datos y cambio de contraseña.</w:t>
            </w:r>
          </w:p>
          <w:p>
            <w:pPr>
              <w:spacing w:after="60"/>
              <w:ind w:left="160"/>
              <w:jc w:val="left"/>
            </w:pPr>
            <w:r>
              <w:rPr>
                <w:rFonts w:ascii="Calibri" w:hAnsi="Calibri"/>
                <w:i w:val="0"/>
                <w:sz w:val="20"/>
              </w:rPr>
              <w:t>• OE6 (integraciones): cinco APIs externas en funcionamiento: mindicador.cl (UF y dólar), Nager.Date (feriados), PayPal Sandbox (pagos), Brevo (correo transaccional) y Nominatim de OpenStreetMap (geocodificación).</w:t>
            </w:r>
          </w:p>
          <w:p>
            <w:pPr>
              <w:spacing w:after="60"/>
              <w:ind w:left="160"/>
              <w:jc w:val="left"/>
            </w:pPr>
            <w:r>
              <w:rPr>
                <w:rFonts w:ascii="Calibri" w:hAnsi="Calibri"/>
                <w:i w:val="0"/>
                <w:sz w:val="20"/>
              </w:rPr>
              <w:t xml:space="preserve">• OE8 (calidad): 236 pruebas automatizadas con 92 % de cobertura, ejecutadas en cada cambio por integración continua en GitHub Actions. El sistema está desplegado en producción en Render (https://sitrafo.onrender.com).</w:t>
            </w:r>
          </w:p>
          <w:p>
            <w:pPr>
              <w:spacing w:after="60"/>
              <w:jc w:val="left"/>
            </w:pPr>
            <w:r>
              <w:rPr>
                <w:rFonts w:ascii="Calibri" w:hAnsi="Calibri"/>
                <w:i w:val="0"/>
                <w:sz w:val="20"/>
              </w:rPr>
              <w:t xml:space="preserve">El flujo completo del negocio funciona de punta a punta: solicitud, cotización con costeo real, aprobación de descuentos, orden de compra con anticipo, orden de trabajo, registro en taller, control de calidad con aprobación del inspector que libera la orden, cierre con cobro del saldo y entrega. Además, cada rol recibe por correo los avisos de lo que debe atender y ve sus pendientes al ingresar, y los parámetros de negocio (anticipo, umbrales, vigencia, topes) se ajustan desde el escritorio sin redesplegar.</w:t>
            </w:r>
          </w:p>
        </w:tc>
      </w:tr>
      <w:tr w:rsidR="0003309E" w14:paraId="054DAFFB" w14:textId="77777777" w:rsidTr="000A1331">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0DD025FA" w14:textId="77777777" w:rsidR="0003309E" w:rsidRPr="00A370C8" w:rsidRDefault="0003309E" w:rsidP="00585A13">
            <w:pPr>
              <w:spacing w:after="60"/>
              <w:jc w:val="left"/>
              <w:rPr>
                <w:rFonts w:ascii="Calibri" w:hAnsi="Calibri" w:cs="Arial"/>
                <w:b/>
                <w:i/>
                <w:color w:val="548DD4"/>
                <w:sz w:val="20"/>
                <w:szCs w:val="20"/>
                <w:lang w:eastAsia="es-CL"/>
              </w:rPr>
            </w:pPr>
            <w:r>
              <w:rPr>
                <w:rFonts w:ascii="Calibri" w:hAnsi="Calibri"/>
                <w:i w:val="0"/>
                <w:sz w:val="20"/>
              </w:rPr>
              <w:t>Se mantienen el objetivo general y los ocho objetivos específicos definidos en la Fase 1. Solo se ajusta el alcance cuantitativo del OE2: el modelo de datos creció de 38-40 tablas estimadas a 54, porque el levantamiento detallado de reglas de negocio exigió tablas de historial por documento, precios y tarifas versionados, y tablas de calidad e inventario.</w:t>
            </w:r>
          </w:p>
        </w:tc>
      </w:tr>
      <w:tr w:rsidR="0003309E" w14:paraId="2FEF1C0D" w14:textId="77777777" w:rsidTr="000A1331">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77777777" w:rsidR="0003309E" w:rsidRPr="00711C16" w:rsidRDefault="0003309E" w:rsidP="00585A13">
            <w:pPr>
              <w:spacing w:after="60"/>
              <w:jc w:val="left"/>
              <w:rPr>
                <w:rFonts w:ascii="Calibri" w:hAnsi="Calibri" w:cs="Arial"/>
                <w:i/>
                <w:color w:val="548DD4"/>
                <w:sz w:val="20"/>
                <w:szCs w:val="20"/>
                <w:lang w:eastAsia="es-CL"/>
              </w:rPr>
            </w:pPr>
            <w:r>
              <w:rPr>
                <w:rFonts w:ascii="Calibri" w:hAnsi="Calibri"/>
                <w:i w:val="0"/>
                <w:sz w:val="20"/>
              </w:rPr>
              <w:t>Se mantiene Scrum con backlog de 14 historias de usuario, commits referenciados a historias y definición de terminado. Se incorporaron dos prácticas que no estaban en el plan:</w:t>
            </w:r>
          </w:p>
          <w:p>
            <w:pPr>
              <w:spacing w:after="60"/>
              <w:ind w:left="160"/>
              <w:jc w:val="left"/>
            </w:pPr>
            <w:r>
              <w:rPr>
                <w:rFonts w:ascii="Calibri" w:hAnsi="Calibri"/>
                <w:i w:val="0"/>
                <w:sz w:val="20"/>
              </w:rPr>
              <w:t>• Integración continua con GitHub Actions: en cada cambio se revisa el estilo (ruff), las migraciones pendientes y la suite de pruebas con cobertura mínima de 70 %.</w:t>
            </w:r>
          </w:p>
          <w:p>
            <w:pPr>
              <w:spacing w:after="60"/>
              <w:ind w:left="160"/>
              <w:jc w:val="left"/>
            </w:pPr>
            <w:r>
              <w:rPr>
                <w:rFonts w:ascii="Calibri" w:hAnsi="Calibri"/>
                <w:i w:val="0"/>
                <w:sz w:val="20"/>
              </w:rPr>
              <w:t>• Entregas incrementales versionadas: el sistema avanzó en iteraciones cortas, cada una probada localmente con Docker antes de integrarse al repositorio.</w:t>
            </w:r>
          </w:p>
          <w:p>
            <w:pPr>
              <w:spacing w:after="60"/>
              <w:jc w:val="left"/>
            </w:pPr>
            <w:r>
              <w:rPr>
                <w:rFonts w:ascii="Calibri" w:hAnsi="Calibri"/>
                <w:i w:val="0"/>
                <w:sz w:val="20"/>
              </w:rPr>
              <w:t>Además, se ajustó la distribución del trabajo del equipo; el detalle está en la sección 3.</w:t>
            </w:r>
          </w:p>
        </w:tc>
      </w:tr>
      <w:tr w:rsidR="0003309E" w14:paraId="74E704B1" w14:textId="77777777" w:rsidTr="000A1331">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2C28AC8B" w14:textId="7676AFBF" w:rsidR="0003309E" w:rsidRDefault="0003309E" w:rsidP="00585A13">
            <w:pPr>
              <w:spacing w:after="60"/>
              <w:jc w:val="left"/>
              <w:rPr>
                <w:rFonts w:ascii="Calibri" w:hAnsi="Calibri" w:cs="Arial"/>
                <w:i/>
                <w:color w:val="548DD4"/>
                <w:sz w:val="20"/>
                <w:szCs w:val="20"/>
                <w:lang w:eastAsia="es-CL"/>
              </w:rPr>
            </w:pPr>
            <w:r>
              <w:rPr>
                <w:rFonts w:ascii="Calibri" w:hAnsi="Calibri"/>
                <w:b/>
                <w:i w:val="0"/>
                <w:sz w:val="20"/>
              </w:rPr>
              <w:t>Evidencias que se presentan:</w:t>
            </w:r>
          </w:p>
          <w:p>
            <w:pPr>
              <w:spacing w:after="60"/>
              <w:ind w:left="160"/>
              <w:jc w:val="left"/>
            </w:pPr>
            <w:r>
              <w:rPr>
                <w:rFonts w:ascii="Calibri" w:hAnsi="Calibri"/>
                <w:i w:val="0"/>
                <w:sz w:val="20"/>
              </w:rPr>
              <w:t>• Repositorio GitHub (github.com/benjamindelgado-dev/SITRAFO): código de la API, la web y el escritorio, con historial de commits referenciados a historias de usuario.</w:t>
            </w:r>
          </w:p>
          <w:p>
            <w:pPr>
              <w:spacing w:after="60"/>
              <w:ind w:left="160"/>
              <w:jc w:val="left"/>
            </w:pPr>
            <w:r>
              <w:rPr>
                <w:rFonts w:ascii="Calibri" w:hAnsi="Calibri"/>
                <w:i w:val="0"/>
                <w:sz w:val="20"/>
              </w:rPr>
              <w:t>• Integración continua: historial de ejecuciones de GitHub Actions en verde, con el resumen de pruebas aprobadas y el reporte de cobertura descargable como artefacto.</w:t>
            </w:r>
          </w:p>
          <w:p>
            <w:pPr>
              <w:spacing w:after="60"/>
              <w:ind w:left="160"/>
              <w:jc w:val="left"/>
            </w:pPr>
            <w:r>
              <w:rPr>
                <w:rFonts w:ascii="Calibri" w:hAnsi="Calibri"/>
                <w:i w:val="0"/>
                <w:sz w:val="20"/>
              </w:rPr>
              <w:t xml:space="preserve">• Documentos de análisis y diseño: ERS-01 (con matriz de trazabilidad), CU-01 v2.2 (84 casos de uso en 10 paquetes, con su estado de implementación), MER-01 v2.1 (54 tablas, diccionario y modelo de clases), SEC-01 v1.1 (diagramas de secuencia), ARQ-01 v1.1 (componentes, despliegue, estados y actividad) y MOC-01 v1.1 (mockup de interfaces con las pantallas implementadas de la web y del escritorio).</w:t>
            </w:r>
          </w:p>
          <w:p>
            <w:pPr>
              <w:spacing w:after="60"/>
              <w:ind w:left="160"/>
              <w:jc w:val="left"/>
            </w:pPr>
            <w:r>
              <w:rPr>
                <w:rFonts w:ascii="Calibri" w:hAnsi="Calibri"/>
                <w:i w:val="0"/>
                <w:sz w:val="20"/>
              </w:rPr>
              <w:t>• Documentos de inicio y metodología: Acta de Constitución, Documento de Épicas e Historias de Usuario, planillas de product backlog, sprint backlog y burndown, y MET-01 (aplicación de Scrum en el proyecto).</w:t>
            </w:r>
          </w:p>
          <w:p>
            <w:pPr>
              <w:spacing w:after="60"/>
              <w:ind w:left="160"/>
              <w:jc w:val="left"/>
            </w:pPr>
            <w:r>
              <w:rPr>
                <w:rFonts w:ascii="Calibri" w:hAnsi="Calibri"/>
                <w:i w:val="0"/>
                <w:sz w:val="20"/>
              </w:rPr>
              <w:t xml:space="preserve">• Recorrido del proceso completo verificado sobre el sistema desplegado y documentado en EVI-01 v1.3 (13 evidencias con capturas de la web, la aplicación de escritorio y los correos, incluida la aprobación de calidad, la bandeja de pendientes y los avisos entre roles); las capturas principales se incluyen en el Anexo de este informe.</w:t>
            </w:r>
          </w:p>
          <w:p>
            <w:pPr>
              <w:spacing w:after="60"/>
              <w:ind w:left="160"/>
              <w:jc w:val="left"/>
            </w:pPr>
            <w:r>
              <w:rPr>
                <w:rFonts w:ascii="Calibri" w:hAnsi="Calibri"/>
                <w:i w:val="0"/>
                <w:sz w:val="20"/>
              </w:rPr>
              <w:t xml:space="preserve">• Evidencia de base de datos: esquema DDL, datos de demostración con dos pedidos recorridos por el sistema y diccionario de datos, verificados restaurándolos en una base vacía.</w:t>
            </w:r>
          </w:p>
          <w:p>
            <w:pPr>
              <w:spacing w:after="60"/>
              <w:ind w:left="160"/>
              <w:jc w:val="left"/>
            </w:pPr>
            <w:r>
              <w:rPr>
                <w:rFonts w:ascii="Calibri" w:hAnsi="Calibri"/>
                <w:i w:val="0"/>
                <w:sz w:val="20"/>
              </w:rPr>
              <w:t>• Documentación técnica del repositorio: README con arquitectura, reglas de negocio implementadas, matriz de roles e instrucciones de ejecución, y documento de alcance diferido.</w:t>
            </w:r>
          </w:p>
          <w:p>
            <w:pPr>
              <w:spacing w:after="60"/>
              <w:jc w:val="left"/>
            </w:pPr>
            <w:r>
              <w:rPr>
                <w:rFonts w:ascii="Calibri" w:hAnsi="Calibri"/>
                <w:b/>
                <w:i w:val="0"/>
                <w:sz w:val="20"/>
              </w:rPr>
              <w:t>Cómo se resguardó la calidad:</w:t>
            </w:r>
          </w:p>
          <w:p>
            <w:pPr>
              <w:spacing w:after="60"/>
              <w:ind w:left="160"/>
              <w:jc w:val="left"/>
            </w:pPr>
            <w:r>
              <w:rPr>
                <w:rFonts w:ascii="Calibri" w:hAnsi="Calibri"/>
                <w:i w:val="0"/>
                <w:sz w:val="20"/>
              </w:rPr>
              <w:t>• Reglas de negocio centralizadas en servicios del backend y verificadas por pruebas, de modo que ninguna interfaz pueda saltarse una regla (por ejemplo, no cerrar una orden de trabajo con no conformidades abiertas, RN-12).</w:t>
            </w:r>
          </w:p>
          <w:p>
            <w:pPr>
              <w:spacing w:after="60"/>
              <w:ind w:left="160"/>
              <w:jc w:val="left"/>
            </w:pPr>
            <w:r>
              <w:rPr>
                <w:rFonts w:ascii="Calibri" w:hAnsi="Calibri"/>
                <w:i w:val="0"/>
                <w:sz w:val="20"/>
              </w:rPr>
              <w:t>• Seguridad aplicada: denegación por defecto según la matriz de acceso de la ERS, auditoría de cambios y accesos denegados, bloqueo temporal por intentos fallidos, cierre por inactividad y contraseñas con hash.</w:t>
            </w:r>
          </w:p>
          <w:p>
            <w:pPr>
              <w:spacing w:after="60"/>
              <w:ind w:left="160"/>
              <w:jc w:val="left"/>
            </w:pPr>
            <w:r>
              <w:rPr>
                <w:rFonts w:ascii="Calibri" w:hAnsi="Calibri"/>
                <w:i w:val="0"/>
                <w:sz w:val="20"/>
              </w:rPr>
              <w:t>• Integraciones con reintentos, registro de cada llamada y degradación controlada: si un servicio externo falla, el proceso de negocio continúa.</w:t>
            </w:r>
          </w:p>
          <w:p>
            <w:pPr>
              <w:spacing w:after="60"/>
              <w:ind w:left="160"/>
              <w:jc w:val="left"/>
            </w:pPr>
            <w:r>
              <w:rPr>
                <w:rFonts w:ascii="Calibri" w:hAnsi="Calibri"/>
                <w:i w:val="0"/>
                <w:sz w:val="20"/>
              </w:rPr>
              <w:t>• Revisión automática en cada cambio (CI) y pruebas que simulan los servicios externos para no depender de la red.</w:t>
            </w:r>
          </w:p>
          <w:p>
            <w:pPr>
              <w:spacing w:after="60"/>
              <w:ind w:left="160"/>
              <w:jc w:val="left"/>
            </w:pPr>
            <w:r>
              <w:rPr>
                <w:rFonts w:ascii="Calibri" w:hAnsi="Calibri"/>
                <w:i w:val="0"/>
                <w:sz w:val="20"/>
              </w:rPr>
              <w:t xml:space="preserve">• Coordinación entre roles calculada desde los permisos: la bandeja de pendientes y los avisos por correo muestran a cada usuario solo lo que su rol puede atender.</w:t>
            </w:r>
          </w:p>
        </w:tc>
      </w:tr>
    </w:tbl>
    <w:tbl>
      <w:tblPr>
        <w:tblStyle w:val="Tablaconcuadrcula"/>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 xml:space="preserve">2. Monitoreo del Plan de Trabajo </w:t>
            </w:r>
          </w:p>
        </w:tc>
      </w:tr>
      <w:tr w:rsidR="00586C9C" w14:paraId="07A4A632" w14:textId="77777777" w:rsidTr="000A1331">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Pr>
                <w:rFonts w:ascii="Calibri" w:hAnsi="Calibri"/>
                <w:color w:val="1F3864" w:themeColor="accent1" w:themeShade="80"/>
              </w:rPr>
              <w:t xml:space="preserve">Examina cuidadosamente tu plan de trabajo, enfocándote especialmente en la columna de estado de avance 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66FA4353" w14:textId="77777777" w:rsidTr="00EA0C09">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Plan de Trabajo</w:t>
            </w:r>
          </w:p>
        </w:tc>
      </w:tr>
      <w:tr w:rsidR="00FD5149" w:rsidRPr="006E3B0D" w14:paraId="54BB210F" w14:textId="77777777" w:rsidTr="009552E5">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 xml:space="preserve">Competencia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Duración de la actividad</w:t>
            </w:r>
          </w:p>
        </w:tc>
        <w:tc>
          <w:tcPr>
            <w:tcW w:w="127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Responsable</w:t>
            </w:r>
            <w:r>
              <w:rPr>
                <w:rStyle w:val="Refdenotaalpie"/>
                <w:rFonts w:ascii="Calibri" w:hAnsi="Calibri"/>
                <w:color w:val="1F3864" w:themeColor="accent1" w:themeShade="80"/>
                <w:sz w:val="18"/>
              </w:rPr>
              <w:footnoteReference w:id="1"/>
            </w:r>
          </w:p>
        </w:tc>
        <w:tc>
          <w:tcPr>
            <w:tcW w:w="1276"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Observaciones</w:t>
            </w:r>
          </w:p>
        </w:tc>
        <w:tc>
          <w:tcPr>
            <w:tcW w:w="1418"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Estado de avance</w:t>
            </w:r>
          </w:p>
        </w:tc>
        <w:tc>
          <w:tcPr>
            <w:tcW w:w="85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Ajustes</w:t>
            </w:r>
          </w:p>
        </w:tc>
      </w:tr>
      <w:tr w:rsidR="00FD5149" w:rsidRPr="006E3B0D" w14:paraId="0D4FAAA2" w14:textId="77777777" w:rsidTr="00EA0C09">
        <w:trPr/>
        <w:tc>
          <w:tcPr>
            <w:tcW w:w="1328" w:type="dxa"/>
          </w:tcPr>
          <w:p w14:paraId="29F01B29" w14:textId="77777777" w:rsidR="00FD5149" w:rsidRPr="006E3B0D" w:rsidRDefault="00FD5149" w:rsidP="00FD5149">
            <w:pPr>
              <w:spacing w:after="60"/>
              <w:jc w:val="left"/>
              <w:rPr>
                <w:b/>
                <w:sz w:val="18"/>
                <w:szCs w:val="24"/>
              </w:rPr>
            </w:pPr>
            <w:r>
              <w:rPr>
                <w:rFonts w:ascii="Calibri" w:hAnsi="Calibri"/>
                <w:i w:val="0"/>
                <w:sz w:val="16"/>
              </w:rPr>
              <w:t>Gestionar proyectos informáticos</w:t>
            </w:r>
          </w:p>
        </w:tc>
        <w:tc>
          <w:tcPr>
            <w:tcW w:w="1077" w:type="dxa"/>
          </w:tcPr>
          <w:p w14:paraId="7B4EBE25" w14:textId="77777777" w:rsidR="00FD5149" w:rsidRPr="006E3B0D" w:rsidRDefault="00FD5149" w:rsidP="00FD5149">
            <w:pPr>
              <w:spacing w:after="60"/>
              <w:jc w:val="left"/>
              <w:rPr>
                <w:rFonts w:ascii="Calibri" w:hAnsi="Calibri" w:cs="Arial"/>
                <w:i/>
                <w:color w:val="548DD4"/>
                <w:sz w:val="18"/>
                <w:szCs w:val="20"/>
                <w:lang w:eastAsia="es-CL"/>
              </w:rPr>
            </w:pPr>
            <w:r>
              <w:rPr>
                <w:rFonts w:ascii="Calibri" w:hAnsi="Calibri"/>
                <w:i w:val="0"/>
                <w:sz w:val="16"/>
              </w:rPr>
              <w:t>Toma de requerimientos y definición del proyecto</w:t>
            </w:r>
          </w:p>
        </w:tc>
        <w:tc>
          <w:tcPr>
            <w:tcW w:w="1276" w:type="dxa"/>
          </w:tcPr>
          <w:p w14:paraId="16E191DF" w14:textId="77777777" w:rsidR="00FD5149" w:rsidRPr="006E3B0D" w:rsidRDefault="00FD5149" w:rsidP="00FD5149">
            <w:pPr>
              <w:spacing w:after="60"/>
              <w:jc w:val="left"/>
              <w:rPr>
                <w:b/>
                <w:sz w:val="18"/>
                <w:szCs w:val="24"/>
              </w:rPr>
            </w:pPr>
            <w:r>
              <w:rPr>
                <w:rFonts w:ascii="Calibri" w:hAnsi="Calibri"/>
                <w:i w:val="0"/>
                <w:sz w:val="16"/>
              </w:rPr>
              <w:t>Reuniones con el docente, plantillas de la asignatura</w:t>
            </w:r>
          </w:p>
        </w:tc>
        <w:tc>
          <w:tcPr>
            <w:tcW w:w="1276" w:type="dxa"/>
          </w:tcPr>
          <w:p w14:paraId="66A5D860" w14:textId="77777777" w:rsidR="00FD5149" w:rsidRPr="006E3B0D" w:rsidRDefault="00FD5149" w:rsidP="00FD5149">
            <w:pPr>
              <w:spacing w:after="60"/>
              <w:jc w:val="left"/>
              <w:rPr>
                <w:b/>
                <w:sz w:val="18"/>
                <w:szCs w:val="24"/>
              </w:rPr>
            </w:pPr>
            <w:r>
              <w:rPr>
                <w:rFonts w:ascii="Calibri" w:hAnsi="Calibri"/>
                <w:i w:val="0"/>
                <w:sz w:val="16"/>
              </w:rPr>
              <w:t>4 semanas (S1-S4)</w:t>
            </w:r>
          </w:p>
        </w:tc>
        <w:tc>
          <w:tcPr>
            <w:tcW w:w="1275" w:type="dxa"/>
          </w:tcPr>
          <w:p w14:paraId="036AB5D8" w14:textId="77777777" w:rsidR="00FD5149" w:rsidRPr="006E3B0D" w:rsidRDefault="00FD5149" w:rsidP="00FD5149">
            <w:pPr>
              <w:spacing w:after="60"/>
              <w:jc w:val="left"/>
              <w:rPr>
                <w:rFonts w:ascii="Calibri" w:hAnsi="Calibri" w:cs="Arial"/>
                <w:i/>
                <w:color w:val="548DD4"/>
                <w:sz w:val="18"/>
                <w:szCs w:val="20"/>
                <w:lang w:eastAsia="es-CL"/>
              </w:rPr>
            </w:pPr>
            <w:r>
              <w:rPr>
                <w:rFonts w:ascii="Calibri" w:hAnsi="Calibri"/>
                <w:i w:val="0"/>
                <w:sz w:val="16"/>
              </w:rPr>
              <w:t>Benjamín Delgado, Camila Olivares, Milko Soto</w:t>
            </w:r>
          </w:p>
        </w:tc>
        <w:tc>
          <w:tcPr>
            <w:tcW w:w="1276" w:type="dxa"/>
          </w:tcPr>
          <w:p w14:paraId="2FCEC037" w14:textId="77777777" w:rsidR="00FD5149" w:rsidRPr="006E3B0D" w:rsidRDefault="00FD5149" w:rsidP="00FD5149">
            <w:pPr>
              <w:spacing w:after="60"/>
              <w:jc w:val="left"/>
              <w:rPr>
                <w:rFonts w:ascii="Calibri" w:hAnsi="Calibri" w:cs="Arial"/>
                <w:i/>
                <w:color w:val="548DD4"/>
                <w:sz w:val="18"/>
                <w:szCs w:val="20"/>
                <w:lang w:eastAsia="es-CL"/>
              </w:rPr>
            </w:pPr>
            <w:r>
              <w:rPr>
                <w:rFonts w:ascii="Calibri" w:hAnsi="Calibri"/>
                <w:i w:val="0"/>
                <w:sz w:val="16"/>
              </w:rPr>
              <w:t>Facilitó la validación semanal del alcance con el docente.</w:t>
            </w:r>
          </w:p>
        </w:tc>
        <w:tc>
          <w:tcPr>
            <w:tcW w:w="1418" w:type="dxa"/>
          </w:tcPr>
          <w:p w14:paraId="29B0BFEB" w14:textId="77777777" w:rsidR="00FD5149" w:rsidRPr="00E54467" w:rsidRDefault="00FD5149" w:rsidP="00FD5149">
            <w:pPr>
              <w:spacing w:after="60"/>
              <w:jc w:val="left"/>
              <w:rPr>
                <w:rFonts w:ascii="Calibri" w:hAnsi="Calibri" w:cs="Arial"/>
                <w:i/>
                <w:color w:val="548DD4"/>
                <w:sz w:val="18"/>
                <w:szCs w:val="20"/>
                <w:lang w:eastAsia="es-CL"/>
              </w:rPr>
            </w:pPr>
            <w:r>
              <w:rPr>
                <w:rFonts w:ascii="Calibri" w:hAnsi="Calibri"/>
                <w:i w:val="0"/>
                <w:sz w:val="16"/>
              </w:rPr>
              <w:t>Completado</w:t>
            </w:r>
          </w:p>
        </w:tc>
        <w:tc>
          <w:tcPr>
            <w:tcW w:w="850" w:type="dxa"/>
          </w:tcPr>
          <w:p w14:paraId="7C6D6F31" w14:textId="77777777" w:rsidR="00FD5149" w:rsidRPr="006E3B0D" w:rsidRDefault="00FD5149" w:rsidP="00FD5149">
            <w:pPr>
              <w:spacing w:after="60"/>
              <w:jc w:val="left"/>
              <w:rPr>
                <w:rFonts w:ascii="Calibri" w:hAnsi="Calibri" w:cs="Arial"/>
                <w:i/>
                <w:color w:val="548DD4"/>
                <w:sz w:val="18"/>
                <w:szCs w:val="20"/>
                <w:lang w:eastAsia="es-CL"/>
              </w:rPr>
            </w:pPr>
            <w:r>
              <w:rPr>
                <w:rFonts w:ascii="Calibri" w:hAnsi="Calibri"/>
                <w:i w:val="0"/>
                <w:sz w:val="16"/>
              </w:rPr>
              <w:t>Sin ajustes.</w:t>
            </w:r>
          </w:p>
        </w:tc>
      </w:tr>
      <w:tr w:rsidR="00FD5149" w:rsidRPr="006E3B0D" w14:paraId="0D4FAAA2" w14:textId="77777777" w:rsidTr="00EA0C09">
        <w:trPr/>
        <w:tc>
          <w:tcPr>
            <w:tcW w:w="1328" w:type="dxa"/>
          </w:tcPr>
          <w:p w14:paraId="29F01B29" w14:textId="77777777" w:rsidR="00FD5149" w:rsidRPr="006E3B0D" w:rsidRDefault="00FD5149" w:rsidP="00FD5149">
            <w:pPr>
              <w:spacing w:after="60"/>
              <w:jc w:val="left"/>
              <w:rPr>
                <w:b/>
                <w:sz w:val="18"/>
                <w:szCs w:val="24"/>
              </w:rPr>
            </w:pPr>
            <w:r>
              <w:rPr>
                <w:rFonts w:ascii="Calibri" w:hAnsi="Calibri"/>
                <w:i w:val="0"/>
                <w:sz w:val="16"/>
              </w:rPr>
              <w:t>Construir modelos de datos</w:t>
            </w:r>
          </w:p>
        </w:tc>
        <w:tc>
          <w:tcPr>
            <w:tcW w:w="1077" w:type="dxa"/>
          </w:tcPr>
          <w:p w14:paraId="7B4EBE25" w14:textId="77777777" w:rsidR="00FD5149" w:rsidRPr="006E3B0D" w:rsidRDefault="00FD5149" w:rsidP="00FD5149">
            <w:pPr>
              <w:spacing w:after="60"/>
              <w:jc w:val="left"/>
              <w:rPr>
                <w:rFonts w:ascii="Calibri" w:hAnsi="Calibri" w:cs="Arial"/>
                <w:i/>
                <w:color w:val="548DD4"/>
                <w:sz w:val="18"/>
                <w:szCs w:val="20"/>
                <w:lang w:eastAsia="es-CL"/>
              </w:rPr>
            </w:pPr>
            <w:r>
              <w:rPr>
                <w:rFonts w:ascii="Calibri" w:hAnsi="Calibri"/>
                <w:i w:val="0"/>
                <w:sz w:val="16"/>
              </w:rPr>
              <w:t>Sprint 0 – Arquitectura y modelo de datos</w:t>
            </w:r>
          </w:p>
        </w:tc>
        <w:tc>
          <w:tcPr>
            <w:tcW w:w="1276" w:type="dxa"/>
          </w:tcPr>
          <w:p w14:paraId="16E191DF" w14:textId="77777777" w:rsidR="00FD5149" w:rsidRPr="006E3B0D" w:rsidRDefault="00FD5149" w:rsidP="00FD5149">
            <w:pPr>
              <w:spacing w:after="60"/>
              <w:jc w:val="left"/>
              <w:rPr>
                <w:b/>
                <w:sz w:val="18"/>
                <w:szCs w:val="24"/>
              </w:rPr>
            </w:pPr>
            <w:r>
              <w:rPr>
                <w:rFonts w:ascii="Calibri" w:hAnsi="Calibri"/>
                <w:i w:val="0"/>
                <w:sz w:val="16"/>
              </w:rPr>
              <w:t>PostgreSQL, Git/GitHub, Docker</w:t>
            </w:r>
          </w:p>
        </w:tc>
        <w:tc>
          <w:tcPr>
            <w:tcW w:w="1276" w:type="dxa"/>
          </w:tcPr>
          <w:p w14:paraId="66A5D860" w14:textId="77777777" w:rsidR="00FD5149" w:rsidRPr="006E3B0D" w:rsidRDefault="00FD5149" w:rsidP="00FD5149">
            <w:pPr>
              <w:spacing w:after="60"/>
              <w:jc w:val="left"/>
              <w:rPr>
                <w:b/>
                <w:sz w:val="18"/>
                <w:szCs w:val="24"/>
              </w:rPr>
            </w:pPr>
            <w:r>
              <w:rPr>
                <w:rFonts w:ascii="Calibri" w:hAnsi="Calibri"/>
                <w:i w:val="0"/>
                <w:sz w:val="16"/>
              </w:rPr>
              <w:t>2 semanas (S5-S6)</w:t>
            </w:r>
          </w:p>
        </w:tc>
        <w:tc>
          <w:tcPr>
            <w:tcW w:w="1275" w:type="dxa"/>
          </w:tcPr>
          <w:p w14:paraId="036AB5D8" w14:textId="77777777" w:rsidR="00FD5149" w:rsidRPr="006E3B0D" w:rsidRDefault="00FD5149" w:rsidP="00FD5149">
            <w:pPr>
              <w:spacing w:after="60"/>
              <w:jc w:val="left"/>
              <w:rPr>
                <w:rFonts w:ascii="Calibri" w:hAnsi="Calibri" w:cs="Arial"/>
                <w:i/>
                <w:color w:val="548DD4"/>
                <w:sz w:val="18"/>
                <w:szCs w:val="20"/>
                <w:lang w:eastAsia="es-CL"/>
              </w:rPr>
            </w:pPr>
            <w:r>
              <w:rPr>
                <w:rFonts w:ascii="Calibri" w:hAnsi="Calibri"/>
                <w:i w:val="0"/>
                <w:sz w:val="16"/>
              </w:rPr>
              <w:t>Benjamín Delgado</w:t>
            </w:r>
          </w:p>
        </w:tc>
        <w:tc>
          <w:tcPr>
            <w:tcW w:w="1276" w:type="dxa"/>
          </w:tcPr>
          <w:p w14:paraId="2FCEC037" w14:textId="77777777" w:rsidR="00FD5149" w:rsidRPr="006E3B0D" w:rsidRDefault="00FD5149" w:rsidP="00FD5149">
            <w:pPr>
              <w:spacing w:after="60"/>
              <w:jc w:val="left"/>
              <w:rPr>
                <w:rFonts w:ascii="Calibri" w:hAnsi="Calibri" w:cs="Arial"/>
                <w:i/>
                <w:color w:val="548DD4"/>
                <w:sz w:val="18"/>
                <w:szCs w:val="20"/>
                <w:lang w:eastAsia="es-CL"/>
              </w:rPr>
            </w:pPr>
            <w:r>
              <w:rPr>
                <w:rFonts w:ascii="Calibri" w:hAnsi="Calibri"/>
                <w:i w:val="0"/>
                <w:sz w:val="16"/>
              </w:rPr>
              <w:t>El detalle de las reglas de negocio amplió el modelo.</w:t>
            </w:r>
          </w:p>
        </w:tc>
        <w:tc>
          <w:tcPr>
            <w:tcW w:w="1418" w:type="dxa"/>
          </w:tcPr>
          <w:p w14:paraId="29B0BFEB" w14:textId="77777777" w:rsidR="00FD5149" w:rsidRPr="00E54467" w:rsidRDefault="00FD5149" w:rsidP="00FD5149">
            <w:pPr>
              <w:spacing w:after="60"/>
              <w:jc w:val="left"/>
              <w:rPr>
                <w:rFonts w:ascii="Calibri" w:hAnsi="Calibri" w:cs="Arial"/>
                <w:i/>
                <w:color w:val="548DD4"/>
                <w:sz w:val="18"/>
                <w:szCs w:val="20"/>
                <w:lang w:eastAsia="es-CL"/>
              </w:rPr>
            </w:pPr>
            <w:r>
              <w:rPr>
                <w:rFonts w:ascii="Calibri" w:hAnsi="Calibri"/>
                <w:i w:val="0"/>
                <w:sz w:val="16"/>
              </w:rPr>
              <w:t>Completado</w:t>
            </w:r>
          </w:p>
        </w:tc>
        <w:tc>
          <w:tcPr>
            <w:tcW w:w="850" w:type="dxa"/>
          </w:tcPr>
          <w:p w14:paraId="7C6D6F31" w14:textId="77777777" w:rsidR="00FD5149" w:rsidRPr="006E3B0D" w:rsidRDefault="00FD5149" w:rsidP="00FD5149">
            <w:pPr>
              <w:spacing w:after="60"/>
              <w:jc w:val="left"/>
              <w:rPr>
                <w:rFonts w:ascii="Calibri" w:hAnsi="Calibri" w:cs="Arial"/>
                <w:i/>
                <w:color w:val="548DD4"/>
                <w:sz w:val="18"/>
                <w:szCs w:val="20"/>
                <w:lang w:eastAsia="es-CL"/>
              </w:rPr>
            </w:pPr>
            <w:r>
              <w:rPr>
                <w:rFonts w:ascii="Calibri" w:hAnsi="Calibri"/>
                <w:i w:val="0"/>
                <w:sz w:val="16"/>
              </w:rPr>
              <w:t>El MER creció de 38-40 a 54 tablas.</w:t>
            </w:r>
          </w:p>
        </w:tc>
      </w:tr>
      <w:tr w:rsidR="00FD5149" w:rsidRPr="006E3B0D" w14:paraId="0D4FAAA2" w14:textId="77777777" w:rsidTr="00EA0C09">
        <w:trPr/>
        <w:tc>
          <w:tcPr>
            <w:tcW w:w="1328" w:type="dxa"/>
          </w:tcPr>
          <w:p w14:paraId="29F01B29" w14:textId="77777777" w:rsidR="00FD5149" w:rsidRPr="006E3B0D" w:rsidRDefault="00FD5149" w:rsidP="00FD5149">
            <w:pPr>
              <w:spacing w:after="60"/>
              <w:jc w:val="left"/>
              <w:rPr>
                <w:b/>
                <w:sz w:val="18"/>
                <w:szCs w:val="24"/>
              </w:rPr>
            </w:pPr>
            <w:r>
              <w:rPr>
                <w:rFonts w:ascii="Calibri" w:hAnsi="Calibri"/>
                <w:i w:val="0"/>
                <w:sz w:val="16"/>
              </w:rPr>
              <w:t>Desarrollar una solución de software</w:t>
            </w:r>
          </w:p>
        </w:tc>
        <w:tc>
          <w:tcPr>
            <w:tcW w:w="1077" w:type="dxa"/>
          </w:tcPr>
          <w:p w14:paraId="7B4EBE25" w14:textId="77777777" w:rsidR="00FD5149" w:rsidRPr="006E3B0D" w:rsidRDefault="00FD5149" w:rsidP="00FD5149">
            <w:pPr>
              <w:spacing w:after="60"/>
              <w:jc w:val="left"/>
              <w:rPr>
                <w:rFonts w:ascii="Calibri" w:hAnsi="Calibri" w:cs="Arial"/>
                <w:i/>
                <w:color w:val="548DD4"/>
                <w:sz w:val="18"/>
                <w:szCs w:val="20"/>
                <w:lang w:eastAsia="es-CL"/>
              </w:rPr>
            </w:pPr>
            <w:r>
              <w:rPr>
                <w:rFonts w:ascii="Calibri" w:hAnsi="Calibri"/>
                <w:i w:val="0"/>
                <w:sz w:val="16"/>
              </w:rPr>
              <w:t>Sprint 1 – Catálogo, clientes, presupuesto y cotización</w:t>
            </w:r>
          </w:p>
        </w:tc>
        <w:tc>
          <w:tcPr>
            <w:tcW w:w="1276" w:type="dxa"/>
          </w:tcPr>
          <w:p w14:paraId="16E191DF" w14:textId="77777777" w:rsidR="00FD5149" w:rsidRPr="006E3B0D" w:rsidRDefault="00FD5149" w:rsidP="00FD5149">
            <w:pPr>
              <w:spacing w:after="60"/>
              <w:jc w:val="left"/>
              <w:rPr>
                <w:b/>
                <w:sz w:val="18"/>
                <w:szCs w:val="24"/>
              </w:rPr>
            </w:pPr>
            <w:r>
              <w:rPr>
                <w:rFonts w:ascii="Calibri" w:hAnsi="Calibri"/>
                <w:i w:val="0"/>
                <w:sz w:val="16"/>
              </w:rPr>
              <w:t>Django, DRF, Bootstrap 5</w:t>
            </w:r>
          </w:p>
        </w:tc>
        <w:tc>
          <w:tcPr>
            <w:tcW w:w="1276" w:type="dxa"/>
          </w:tcPr>
          <w:p w14:paraId="66A5D860" w14:textId="77777777" w:rsidR="00FD5149" w:rsidRPr="006E3B0D" w:rsidRDefault="00FD5149" w:rsidP="00FD5149">
            <w:pPr>
              <w:spacing w:after="60"/>
              <w:jc w:val="left"/>
              <w:rPr>
                <w:b/>
                <w:sz w:val="18"/>
                <w:szCs w:val="24"/>
              </w:rPr>
            </w:pPr>
            <w:r>
              <w:rPr>
                <w:rFonts w:ascii="Calibri" w:hAnsi="Calibri"/>
                <w:i w:val="0"/>
                <w:sz w:val="16"/>
              </w:rPr>
              <w:t>3 semanas (S7-S9)</w:t>
            </w:r>
          </w:p>
        </w:tc>
        <w:tc>
          <w:tcPr>
            <w:tcW w:w="1275" w:type="dxa"/>
          </w:tcPr>
          <w:p w14:paraId="036AB5D8" w14:textId="77777777" w:rsidR="00FD5149" w:rsidRPr="006E3B0D" w:rsidRDefault="00FD5149" w:rsidP="00FD5149">
            <w:pPr>
              <w:spacing w:after="60"/>
              <w:jc w:val="left"/>
              <w:rPr>
                <w:rFonts w:ascii="Calibri" w:hAnsi="Calibri" w:cs="Arial"/>
                <w:i/>
                <w:color w:val="548DD4"/>
                <w:sz w:val="18"/>
                <w:szCs w:val="20"/>
                <w:lang w:eastAsia="es-CL"/>
              </w:rPr>
            </w:pPr>
            <w:r>
              <w:rPr>
                <w:rFonts w:ascii="Calibri" w:hAnsi="Calibri"/>
                <w:i w:val="0"/>
                <w:sz w:val="16"/>
              </w:rPr>
              <w:t>Benjamín Delgado (planificado: Camila Olivares)</w:t>
            </w:r>
          </w:p>
        </w:tc>
        <w:tc>
          <w:tcPr>
            <w:tcW w:w="1276" w:type="dxa"/>
          </w:tcPr>
          <w:p w14:paraId="2FCEC037" w14:textId="77777777" w:rsidR="00FD5149" w:rsidRPr="006E3B0D" w:rsidRDefault="00FD5149" w:rsidP="00FD5149">
            <w:pPr>
              <w:spacing w:after="60"/>
              <w:jc w:val="left"/>
              <w:rPr>
                <w:rFonts w:ascii="Calibri" w:hAnsi="Calibri" w:cs="Arial"/>
                <w:i/>
                <w:color w:val="548DD4"/>
                <w:sz w:val="18"/>
                <w:szCs w:val="20"/>
                <w:lang w:eastAsia="es-CL"/>
              </w:rPr>
            </w:pPr>
            <w:r>
              <w:rPr>
                <w:rFonts w:ascii="Calibri" w:hAnsi="Calibri"/>
                <w:i w:val="0"/>
                <w:sz w:val="16"/>
              </w:rPr>
              <w:t>Se incluyeron versiones de cotización, varias líneas y aprobación de descuentos.</w:t>
            </w:r>
          </w:p>
        </w:tc>
        <w:tc>
          <w:tcPr>
            <w:tcW w:w="1418" w:type="dxa"/>
          </w:tcPr>
          <w:p w14:paraId="29B0BFEB" w14:textId="77777777" w:rsidR="00FD5149" w:rsidRPr="00E54467" w:rsidRDefault="00FD5149" w:rsidP="00FD5149">
            <w:pPr>
              <w:spacing w:after="60"/>
              <w:jc w:val="left"/>
              <w:rPr>
                <w:rFonts w:ascii="Calibri" w:hAnsi="Calibri" w:cs="Arial"/>
                <w:i/>
                <w:color w:val="548DD4"/>
                <w:sz w:val="18"/>
                <w:szCs w:val="20"/>
                <w:lang w:eastAsia="es-CL"/>
              </w:rPr>
            </w:pPr>
            <w:r>
              <w:rPr>
                <w:rFonts w:ascii="Calibri" w:hAnsi="Calibri"/>
                <w:i w:val="0"/>
                <w:sz w:val="16"/>
              </w:rPr>
              <w:t>Completado</w:t>
            </w:r>
          </w:p>
        </w:tc>
        <w:tc>
          <w:tcPr>
            <w:tcW w:w="850" w:type="dxa"/>
          </w:tcPr>
          <w:p w14:paraId="7C6D6F31" w14:textId="77777777" w:rsidR="00FD5149" w:rsidRPr="006E3B0D" w:rsidRDefault="00FD5149" w:rsidP="00FD5149">
            <w:pPr>
              <w:spacing w:after="60"/>
              <w:jc w:val="left"/>
              <w:rPr>
                <w:rFonts w:ascii="Calibri" w:hAnsi="Calibri" w:cs="Arial"/>
                <w:i/>
                <w:color w:val="548DD4"/>
                <w:sz w:val="18"/>
                <w:szCs w:val="20"/>
                <w:lang w:eastAsia="es-CL"/>
              </w:rPr>
            </w:pPr>
            <w:r>
              <w:rPr>
                <w:rFonts w:ascii="Calibri" w:hAnsi="Calibri"/>
                <w:i w:val="0"/>
                <w:sz w:val="16"/>
              </w:rPr>
              <w:t>Desarrollo reasignado al líder técnico (ver sección 3).</w:t>
            </w:r>
          </w:p>
        </w:tc>
      </w:tr>
      <w:tr w:rsidR="00FD5149" w:rsidRPr="006E3B0D" w14:paraId="0D4FAAA2" w14:textId="77777777" w:rsidTr="00EA0C09">
        <w:trPr/>
        <w:tc>
          <w:tcPr>
            <w:tcW w:w="1328" w:type="dxa"/>
          </w:tcPr>
          <w:p w14:paraId="29F01B29" w14:textId="77777777" w:rsidR="00FD5149" w:rsidRPr="006E3B0D" w:rsidRDefault="00FD5149" w:rsidP="00FD5149">
            <w:pPr>
              <w:spacing w:after="60"/>
              <w:jc w:val="left"/>
              <w:rPr>
                <w:b/>
                <w:sz w:val="18"/>
                <w:szCs w:val="24"/>
              </w:rPr>
            </w:pPr>
            <w:r>
              <w:rPr>
                <w:rFonts w:ascii="Calibri" w:hAnsi="Calibri"/>
                <w:i w:val="0"/>
                <w:sz w:val="16"/>
              </w:rPr>
              <w:t>Gestionar proyectos informáticos</w:t>
            </w:r>
          </w:p>
        </w:tc>
        <w:tc>
          <w:tcPr>
            <w:tcW w:w="1077" w:type="dxa"/>
          </w:tcPr>
          <w:p w14:paraId="7B4EBE25" w14:textId="77777777" w:rsidR="00FD5149" w:rsidRPr="006E3B0D" w:rsidRDefault="00FD5149" w:rsidP="00FD5149">
            <w:pPr>
              <w:spacing w:after="60"/>
              <w:jc w:val="left"/>
              <w:rPr>
                <w:rFonts w:ascii="Calibri" w:hAnsi="Calibri" w:cs="Arial"/>
                <w:i/>
                <w:color w:val="548DD4"/>
                <w:sz w:val="18"/>
                <w:szCs w:val="20"/>
                <w:lang w:eastAsia="es-CL"/>
              </w:rPr>
            </w:pPr>
            <w:r>
              <w:rPr>
                <w:rFonts w:ascii="Calibri" w:hAnsi="Calibri"/>
                <w:i w:val="0"/>
                <w:sz w:val="16"/>
              </w:rPr>
              <w:t>Informe de avance Fase 2</w:t>
            </w:r>
          </w:p>
        </w:tc>
        <w:tc>
          <w:tcPr>
            <w:tcW w:w="1276" w:type="dxa"/>
          </w:tcPr>
          <w:p w14:paraId="16E191DF" w14:textId="77777777" w:rsidR="00FD5149" w:rsidRPr="006E3B0D" w:rsidRDefault="00FD5149" w:rsidP="00FD5149">
            <w:pPr>
              <w:spacing w:after="60"/>
              <w:jc w:val="left"/>
              <w:rPr>
                <w:b/>
                <w:sz w:val="18"/>
                <w:szCs w:val="24"/>
              </w:rPr>
            </w:pPr>
            <w:r>
              <w:rPr>
                <w:rFonts w:ascii="Calibri" w:hAnsi="Calibri"/>
                <w:i w:val="0"/>
                <w:sz w:val="16"/>
              </w:rPr>
              <w:t>Plantilla de la asignatura, repositorio, backlog</w:t>
            </w:r>
          </w:p>
        </w:tc>
        <w:tc>
          <w:tcPr>
            <w:tcW w:w="1276" w:type="dxa"/>
          </w:tcPr>
          <w:p w14:paraId="66A5D860" w14:textId="77777777" w:rsidR="00FD5149" w:rsidRPr="006E3B0D" w:rsidRDefault="00FD5149" w:rsidP="00FD5149">
            <w:pPr>
              <w:spacing w:after="60"/>
              <w:jc w:val="left"/>
              <w:rPr>
                <w:b/>
                <w:sz w:val="18"/>
                <w:szCs w:val="24"/>
              </w:rPr>
            </w:pPr>
            <w:r>
              <w:rPr>
                <w:rFonts w:ascii="Calibri" w:hAnsi="Calibri"/>
                <w:i w:val="0"/>
                <w:sz w:val="16"/>
              </w:rPr>
              <w:t>1 semana (S10)</w:t>
            </w:r>
          </w:p>
        </w:tc>
        <w:tc>
          <w:tcPr>
            <w:tcW w:w="1275" w:type="dxa"/>
          </w:tcPr>
          <w:p w14:paraId="036AB5D8" w14:textId="77777777" w:rsidR="00FD5149" w:rsidRPr="006E3B0D" w:rsidRDefault="00FD5149" w:rsidP="00FD5149">
            <w:pPr>
              <w:spacing w:after="60"/>
              <w:jc w:val="left"/>
              <w:rPr>
                <w:rFonts w:ascii="Calibri" w:hAnsi="Calibri" w:cs="Arial"/>
                <w:i/>
                <w:color w:val="548DD4"/>
                <w:sz w:val="18"/>
                <w:szCs w:val="20"/>
                <w:lang w:eastAsia="es-CL"/>
              </w:rPr>
            </w:pPr>
            <w:r>
              <w:rPr>
                <w:rFonts w:ascii="Calibri" w:hAnsi="Calibri"/>
                <w:i w:val="0"/>
                <w:sz w:val="16"/>
              </w:rPr>
              <w:t>Benjamín Delgado</w:t>
            </w:r>
          </w:p>
        </w:tc>
        <w:tc>
          <w:tcPr>
            <w:tcW w:w="1276" w:type="dxa"/>
          </w:tcPr>
          <w:p w14:paraId="2FCEC037" w14:textId="77777777" w:rsidR="00FD5149" w:rsidRPr="006E3B0D" w:rsidRDefault="00FD5149" w:rsidP="00FD5149">
            <w:pPr>
              <w:spacing w:after="60"/>
              <w:jc w:val="left"/>
              <w:rPr>
                <w:rFonts w:ascii="Calibri" w:hAnsi="Calibri" w:cs="Arial"/>
                <w:i/>
                <w:color w:val="548DD4"/>
                <w:sz w:val="18"/>
                <w:szCs w:val="20"/>
                <w:lang w:eastAsia="es-CL"/>
              </w:rPr>
            </w:pPr>
            <w:r>
              <w:rPr>
                <w:rFonts w:ascii="Calibri" w:hAnsi="Calibri"/>
                <w:i w:val="0"/>
                <w:sz w:val="16"/>
              </w:rPr>
              <w:t>Se apoya en el historial de GitHub y la CI.</w:t>
            </w:r>
          </w:p>
        </w:tc>
        <w:tc>
          <w:tcPr>
            <w:tcW w:w="1418" w:type="dxa"/>
          </w:tcPr>
          <w:p w14:paraId="29B0BFEB" w14:textId="77777777" w:rsidR="00FD5149" w:rsidRPr="00E54467" w:rsidRDefault="00FD5149" w:rsidP="00FD5149">
            <w:pPr>
              <w:spacing w:after="60"/>
              <w:jc w:val="left"/>
              <w:rPr>
                <w:rFonts w:ascii="Calibri" w:hAnsi="Calibri" w:cs="Arial"/>
                <w:i/>
                <w:color w:val="548DD4"/>
                <w:sz w:val="18"/>
                <w:szCs w:val="20"/>
                <w:lang w:eastAsia="es-CL"/>
              </w:rPr>
            </w:pPr>
            <w:r>
              <w:rPr>
                <w:rFonts w:ascii="Calibri" w:hAnsi="Calibri"/>
                <w:i w:val="0"/>
                <w:sz w:val="16"/>
              </w:rPr>
              <w:t>En curso</w:t>
            </w:r>
          </w:p>
        </w:tc>
        <w:tc>
          <w:tcPr>
            <w:tcW w:w="850" w:type="dxa"/>
          </w:tcPr>
          <w:p w14:paraId="7C6D6F31" w14:textId="77777777" w:rsidR="00FD5149" w:rsidRPr="006E3B0D" w:rsidRDefault="00FD5149" w:rsidP="00FD5149">
            <w:pPr>
              <w:spacing w:after="60"/>
              <w:jc w:val="left"/>
              <w:rPr>
                <w:rFonts w:ascii="Calibri" w:hAnsi="Calibri" w:cs="Arial"/>
                <w:i/>
                <w:color w:val="548DD4"/>
                <w:sz w:val="18"/>
                <w:szCs w:val="20"/>
                <w:lang w:eastAsia="es-CL"/>
              </w:rPr>
            </w:pPr>
            <w:r>
              <w:rPr>
                <w:rFonts w:ascii="Calibri" w:hAnsi="Calibri"/>
                <w:i w:val="0"/>
                <w:sz w:val="16"/>
              </w:rPr>
              <w:t>Sin ajustes.</w:t>
            </w:r>
          </w:p>
        </w:tc>
      </w:tr>
      <w:tr w:rsidR="00FD5149" w:rsidRPr="006E3B0D" w14:paraId="0D4FAAA2" w14:textId="77777777" w:rsidTr="00EA0C09">
        <w:trPr/>
        <w:tc>
          <w:tcPr>
            <w:tcW w:w="1328" w:type="dxa"/>
          </w:tcPr>
          <w:p w14:paraId="29F01B29" w14:textId="77777777" w:rsidR="00FD5149" w:rsidRPr="006E3B0D" w:rsidRDefault="00FD5149" w:rsidP="00FD5149">
            <w:pPr>
              <w:spacing w:after="60"/>
              <w:jc w:val="left"/>
              <w:rPr>
                <w:b/>
                <w:sz w:val="18"/>
                <w:szCs w:val="24"/>
              </w:rPr>
            </w:pPr>
            <w:r>
              <w:rPr>
                <w:rFonts w:ascii="Calibri" w:hAnsi="Calibri"/>
                <w:i w:val="0"/>
                <w:sz w:val="16"/>
              </w:rPr>
              <w:t>Desarrollar una solución de software</w:t>
            </w:r>
          </w:p>
        </w:tc>
        <w:tc>
          <w:tcPr>
            <w:tcW w:w="1077" w:type="dxa"/>
          </w:tcPr>
          <w:p w14:paraId="7B4EBE25" w14:textId="77777777" w:rsidR="00FD5149" w:rsidRPr="006E3B0D" w:rsidRDefault="00FD5149" w:rsidP="00FD5149">
            <w:pPr>
              <w:spacing w:after="60"/>
              <w:jc w:val="left"/>
              <w:rPr>
                <w:rFonts w:ascii="Calibri" w:hAnsi="Calibri" w:cs="Arial"/>
                <w:i/>
                <w:color w:val="548DD4"/>
                <w:sz w:val="18"/>
                <w:szCs w:val="20"/>
                <w:lang w:eastAsia="es-CL"/>
              </w:rPr>
            </w:pPr>
            <w:r>
              <w:rPr>
                <w:rFonts w:ascii="Calibri" w:hAnsi="Calibri"/>
                <w:i w:val="0"/>
                <w:sz w:val="16"/>
              </w:rPr>
              <w:t>Sprint 2 – Orden de compra y orden de trabajo</w:t>
            </w:r>
          </w:p>
        </w:tc>
        <w:tc>
          <w:tcPr>
            <w:tcW w:w="1276" w:type="dxa"/>
          </w:tcPr>
          <w:p w14:paraId="16E191DF" w14:textId="77777777" w:rsidR="00FD5149" w:rsidRPr="006E3B0D" w:rsidRDefault="00FD5149" w:rsidP="00FD5149">
            <w:pPr>
              <w:spacing w:after="60"/>
              <w:jc w:val="left"/>
              <w:rPr>
                <w:b/>
                <w:sz w:val="18"/>
                <w:szCs w:val="24"/>
              </w:rPr>
            </w:pPr>
            <w:r>
              <w:rPr>
                <w:rFonts w:ascii="Calibri" w:hAnsi="Calibri"/>
                <w:i w:val="0"/>
                <w:sz w:val="16"/>
              </w:rPr>
              <w:t>Django, DRF, PostgreSQL</w:t>
            </w:r>
          </w:p>
        </w:tc>
        <w:tc>
          <w:tcPr>
            <w:tcW w:w="1276" w:type="dxa"/>
          </w:tcPr>
          <w:p w14:paraId="66A5D860" w14:textId="77777777" w:rsidR="00FD5149" w:rsidRPr="006E3B0D" w:rsidRDefault="00FD5149" w:rsidP="00FD5149">
            <w:pPr>
              <w:spacing w:after="60"/>
              <w:jc w:val="left"/>
              <w:rPr>
                <w:b/>
                <w:sz w:val="18"/>
                <w:szCs w:val="24"/>
              </w:rPr>
            </w:pPr>
            <w:r>
              <w:rPr>
                <w:rFonts w:ascii="Calibri" w:hAnsi="Calibri"/>
                <w:i w:val="0"/>
                <w:sz w:val="16"/>
              </w:rPr>
              <w:t>2 semanas (S11-S12)</w:t>
            </w:r>
          </w:p>
        </w:tc>
        <w:tc>
          <w:tcPr>
            <w:tcW w:w="1275" w:type="dxa"/>
          </w:tcPr>
          <w:p w14:paraId="036AB5D8" w14:textId="77777777" w:rsidR="00FD5149" w:rsidRPr="006E3B0D" w:rsidRDefault="00FD5149" w:rsidP="00FD5149">
            <w:pPr>
              <w:spacing w:after="60"/>
              <w:jc w:val="left"/>
              <w:rPr>
                <w:rFonts w:ascii="Calibri" w:hAnsi="Calibri" w:cs="Arial"/>
                <w:i/>
                <w:color w:val="548DD4"/>
                <w:sz w:val="18"/>
                <w:szCs w:val="20"/>
                <w:lang w:eastAsia="es-CL"/>
              </w:rPr>
            </w:pPr>
            <w:r>
              <w:rPr>
                <w:rFonts w:ascii="Calibri" w:hAnsi="Calibri"/>
                <w:i w:val="0"/>
                <w:sz w:val="16"/>
              </w:rPr>
              <w:t>Benjamín Delgado (planificado: Milko Soto)</w:t>
            </w:r>
          </w:p>
        </w:tc>
        <w:tc>
          <w:tcPr>
            <w:tcW w:w="1276" w:type="dxa"/>
          </w:tcPr>
          <w:p w14:paraId="2FCEC037" w14:textId="77777777" w:rsidR="00FD5149" w:rsidRPr="006E3B0D" w:rsidRDefault="00FD5149" w:rsidP="00FD5149">
            <w:pPr>
              <w:spacing w:after="60"/>
              <w:jc w:val="left"/>
              <w:rPr>
                <w:rFonts w:ascii="Calibri" w:hAnsi="Calibri" w:cs="Arial"/>
                <w:i/>
                <w:color w:val="548DD4"/>
                <w:sz w:val="18"/>
                <w:szCs w:val="20"/>
                <w:lang w:eastAsia="es-CL"/>
              </w:rPr>
            </w:pPr>
            <w:r>
              <w:rPr>
                <w:rFonts w:ascii="Calibri" w:hAnsi="Calibri"/>
                <w:i w:val="0"/>
                <w:sz w:val="16"/>
              </w:rPr>
              <w:t>Módulo de mayor complejidad de reglas de negocio.</w:t>
            </w:r>
          </w:p>
        </w:tc>
        <w:tc>
          <w:tcPr>
            <w:tcW w:w="1418" w:type="dxa"/>
          </w:tcPr>
          <w:p w14:paraId="29B0BFEB" w14:textId="77777777" w:rsidR="00FD5149" w:rsidRPr="00E54467" w:rsidRDefault="00FD5149" w:rsidP="00FD5149">
            <w:pPr>
              <w:spacing w:after="60"/>
              <w:jc w:val="left"/>
              <w:rPr>
                <w:rFonts w:ascii="Calibri" w:hAnsi="Calibri" w:cs="Arial"/>
                <w:i/>
                <w:color w:val="548DD4"/>
                <w:sz w:val="18"/>
                <w:szCs w:val="20"/>
                <w:lang w:eastAsia="es-CL"/>
              </w:rPr>
            </w:pPr>
            <w:r>
              <w:rPr>
                <w:rFonts w:ascii="Calibri" w:hAnsi="Calibri"/>
                <w:i w:val="0"/>
                <w:sz w:val="16"/>
              </w:rPr>
              <w:t>Completado (adelantado)</w:t>
            </w:r>
          </w:p>
        </w:tc>
        <w:tc>
          <w:tcPr>
            <w:tcW w:w="850" w:type="dxa"/>
          </w:tcPr>
          <w:p w14:paraId="7C6D6F31" w14:textId="77777777" w:rsidR="00FD5149" w:rsidRPr="006E3B0D" w:rsidRDefault="00FD5149" w:rsidP="00FD5149">
            <w:pPr>
              <w:spacing w:after="60"/>
              <w:jc w:val="left"/>
              <w:rPr>
                <w:rFonts w:ascii="Calibri" w:hAnsi="Calibri" w:cs="Arial"/>
                <w:i/>
                <w:color w:val="548DD4"/>
                <w:sz w:val="18"/>
                <w:szCs w:val="20"/>
                <w:lang w:eastAsia="es-CL"/>
              </w:rPr>
            </w:pPr>
            <w:r>
              <w:rPr>
                <w:rFonts w:ascii="Calibri" w:hAnsi="Calibri"/>
                <w:i w:val="0"/>
                <w:sz w:val="16"/>
              </w:rPr>
              <w:t>Desarrollo reasignado al líder técnico; se adelantó a las semanas 8-9.</w:t>
            </w:r>
          </w:p>
        </w:tc>
      </w:tr>
      <w:tr w:rsidR="00FD5149" w:rsidRPr="006E3B0D" w14:paraId="0D4FAAA2" w14:textId="77777777" w:rsidTr="00EA0C09">
        <w:trPr/>
        <w:tc>
          <w:tcPr>
            <w:tcW w:w="1328" w:type="dxa"/>
          </w:tcPr>
          <w:p w14:paraId="29F01B29" w14:textId="77777777" w:rsidR="00FD5149" w:rsidRPr="006E3B0D" w:rsidRDefault="00FD5149" w:rsidP="00FD5149">
            <w:pPr>
              <w:spacing w:after="60"/>
              <w:jc w:val="left"/>
              <w:rPr>
                <w:b/>
                <w:sz w:val="18"/>
                <w:szCs w:val="24"/>
              </w:rPr>
            </w:pPr>
            <w:r>
              <w:rPr>
                <w:rFonts w:ascii="Calibri" w:hAnsi="Calibri"/>
                <w:i w:val="0"/>
                <w:sz w:val="16"/>
              </w:rPr>
              <w:t>Desarrollar una solución de software</w:t>
            </w:r>
          </w:p>
        </w:tc>
        <w:tc>
          <w:tcPr>
            <w:tcW w:w="1077" w:type="dxa"/>
          </w:tcPr>
          <w:p w14:paraId="7B4EBE25" w14:textId="77777777" w:rsidR="00FD5149" w:rsidRPr="006E3B0D" w:rsidRDefault="00FD5149" w:rsidP="00FD5149">
            <w:pPr>
              <w:spacing w:after="60"/>
              <w:jc w:val="left"/>
              <w:rPr>
                <w:rFonts w:ascii="Calibri" w:hAnsi="Calibri" w:cs="Arial"/>
                <w:i/>
                <w:color w:val="548DD4"/>
                <w:sz w:val="18"/>
                <w:szCs w:val="20"/>
                <w:lang w:eastAsia="es-CL"/>
              </w:rPr>
            </w:pPr>
            <w:r>
              <w:rPr>
                <w:rFonts w:ascii="Calibri" w:hAnsi="Calibri"/>
                <w:i w:val="0"/>
                <w:sz w:val="16"/>
              </w:rPr>
              <w:t>Aplicación de escritorio (PySide6)</w:t>
            </w:r>
          </w:p>
        </w:tc>
        <w:tc>
          <w:tcPr>
            <w:tcW w:w="1276" w:type="dxa"/>
          </w:tcPr>
          <w:p w14:paraId="16E191DF" w14:textId="77777777" w:rsidR="00FD5149" w:rsidRPr="006E3B0D" w:rsidRDefault="00FD5149" w:rsidP="00FD5149">
            <w:pPr>
              <w:spacing w:after="60"/>
              <w:jc w:val="left"/>
              <w:rPr>
                <w:b/>
                <w:sz w:val="18"/>
                <w:szCs w:val="24"/>
              </w:rPr>
            </w:pPr>
            <w:r>
              <w:rPr>
                <w:rFonts w:ascii="Calibri" w:hAnsi="Calibri"/>
                <w:i w:val="0"/>
                <w:sz w:val="16"/>
              </w:rPr>
              <w:t>PySide6, API REST propia</w:t>
            </w:r>
          </w:p>
        </w:tc>
        <w:tc>
          <w:tcPr>
            <w:tcW w:w="1276" w:type="dxa"/>
          </w:tcPr>
          <w:p w14:paraId="66A5D860" w14:textId="77777777" w:rsidR="00FD5149" w:rsidRPr="006E3B0D" w:rsidRDefault="00FD5149" w:rsidP="00FD5149">
            <w:pPr>
              <w:spacing w:after="60"/>
              <w:jc w:val="left"/>
              <w:rPr>
                <w:b/>
                <w:sz w:val="18"/>
                <w:szCs w:val="24"/>
              </w:rPr>
            </w:pPr>
            <w:r>
              <w:rPr>
                <w:rFonts w:ascii="Calibri" w:hAnsi="Calibri"/>
                <w:i w:val="0"/>
                <w:sz w:val="16"/>
              </w:rPr>
              <w:t>4 semanas (S11-S14)</w:t>
            </w:r>
          </w:p>
        </w:tc>
        <w:tc>
          <w:tcPr>
            <w:tcW w:w="1275" w:type="dxa"/>
          </w:tcPr>
          <w:p w14:paraId="036AB5D8" w14:textId="77777777" w:rsidR="00FD5149" w:rsidRPr="006E3B0D" w:rsidRDefault="00FD5149" w:rsidP="00FD5149">
            <w:pPr>
              <w:spacing w:after="60"/>
              <w:jc w:val="left"/>
              <w:rPr>
                <w:rFonts w:ascii="Calibri" w:hAnsi="Calibri" w:cs="Arial"/>
                <w:i/>
                <w:color w:val="548DD4"/>
                <w:sz w:val="18"/>
                <w:szCs w:val="20"/>
                <w:lang w:eastAsia="es-CL"/>
              </w:rPr>
            </w:pPr>
            <w:r>
              <w:rPr>
                <w:rFonts w:ascii="Calibri" w:hAnsi="Calibri"/>
                <w:i w:val="0"/>
                <w:sz w:val="16"/>
              </w:rPr>
              <w:t>Benjamín Delgado</w:t>
            </w:r>
          </w:p>
        </w:tc>
        <w:tc>
          <w:tcPr>
            <w:tcW w:w="1276" w:type="dxa"/>
          </w:tcPr>
          <w:p w14:paraId="2FCEC037" w14:textId="77777777" w:rsidR="00FD5149" w:rsidRPr="006E3B0D" w:rsidRDefault="00FD5149" w:rsidP="00FD5149">
            <w:pPr>
              <w:spacing w:after="60"/>
              <w:jc w:val="left"/>
              <w:rPr>
                <w:rFonts w:ascii="Calibri" w:hAnsi="Calibri" w:cs="Arial"/>
                <w:i/>
                <w:color w:val="548DD4"/>
                <w:sz w:val="18"/>
                <w:szCs w:val="20"/>
                <w:lang w:eastAsia="es-CL"/>
              </w:rPr>
            </w:pPr>
            <w:r>
              <w:rPr>
                <w:rFonts w:ascii="Calibri" w:hAnsi="Calibri"/>
                <w:i w:val="0"/>
                <w:sz w:val="16"/>
              </w:rPr>
              <w:t>Se mantuvo la regla de acceso exclusivo vía API.</w:t>
            </w:r>
          </w:p>
        </w:tc>
        <w:tc>
          <w:tcPr>
            <w:tcW w:w="1418" w:type="dxa"/>
          </w:tcPr>
          <w:p w14:paraId="29B0BFEB" w14:textId="77777777" w:rsidR="00FD5149" w:rsidRPr="00E54467" w:rsidRDefault="00FD5149" w:rsidP="00FD5149">
            <w:pPr>
              <w:spacing w:after="60"/>
              <w:jc w:val="left"/>
              <w:rPr>
                <w:rFonts w:ascii="Calibri" w:hAnsi="Calibri" w:cs="Arial"/>
                <w:i/>
                <w:color w:val="548DD4"/>
                <w:sz w:val="18"/>
                <w:szCs w:val="20"/>
                <w:lang w:eastAsia="es-CL"/>
              </w:rPr>
            </w:pPr>
            <w:r>
              <w:rPr>
                <w:rFonts w:ascii="Calibri" w:hAnsi="Calibri"/>
                <w:i w:val="0"/>
                <w:sz w:val="16"/>
              </w:rPr>
              <w:t>Completado (adelantado)</w:t>
            </w:r>
          </w:p>
        </w:tc>
        <w:tc>
          <w:tcPr>
            <w:tcW w:w="850" w:type="dxa"/>
          </w:tcPr>
          <w:p w14:paraId="7C6D6F31" w14:textId="77777777" w:rsidR="00FD5149" w:rsidRPr="006E3B0D" w:rsidRDefault="00FD5149" w:rsidP="00FD5149">
            <w:pPr>
              <w:spacing w:after="60"/>
              <w:jc w:val="left"/>
              <w:rPr>
                <w:rFonts w:ascii="Calibri" w:hAnsi="Calibri" w:cs="Arial"/>
                <w:i/>
                <w:color w:val="548DD4"/>
                <w:sz w:val="18"/>
                <w:szCs w:val="20"/>
                <w:lang w:eastAsia="es-CL"/>
              </w:rPr>
            </w:pPr>
            <w:r>
              <w:rPr>
                <w:rFonts w:ascii="Calibri" w:hAnsi="Calibri"/>
                <w:i w:val="0"/>
                <w:sz w:val="16"/>
              </w:rPr>
              <w:t xml:space="preserve">Se amplió con vista de taller, reportes, matriz de permisos, auditoría, bandeja de pendientes y edición de parámetros.</w:t>
            </w:r>
          </w:p>
        </w:tc>
      </w:tr>
      <w:tr w:rsidR="00FD5149" w:rsidRPr="006E3B0D" w14:paraId="0D4FAAA2" w14:textId="77777777" w:rsidTr="00EA0C09">
        <w:trPr/>
        <w:tc>
          <w:tcPr>
            <w:tcW w:w="1328" w:type="dxa"/>
          </w:tcPr>
          <w:p w14:paraId="29F01B29" w14:textId="77777777" w:rsidR="00FD5149" w:rsidRPr="006E3B0D" w:rsidRDefault="00FD5149" w:rsidP="00FD5149">
            <w:pPr>
              <w:spacing w:after="60"/>
              <w:jc w:val="left"/>
              <w:rPr>
                <w:b/>
                <w:sz w:val="18"/>
                <w:szCs w:val="24"/>
              </w:rPr>
            </w:pPr>
            <w:r>
              <w:rPr>
                <w:rFonts w:ascii="Calibri" w:hAnsi="Calibri"/>
                <w:i w:val="0"/>
                <w:sz w:val="16"/>
              </w:rPr>
              <w:t>Realizar pruebas de certificación</w:t>
            </w:r>
          </w:p>
        </w:tc>
        <w:tc>
          <w:tcPr>
            <w:tcW w:w="1077" w:type="dxa"/>
          </w:tcPr>
          <w:p w14:paraId="7B4EBE25" w14:textId="77777777" w:rsidR="00FD5149" w:rsidRPr="006E3B0D" w:rsidRDefault="00FD5149" w:rsidP="00FD5149">
            <w:pPr>
              <w:spacing w:after="60"/>
              <w:jc w:val="left"/>
              <w:rPr>
                <w:rFonts w:ascii="Calibri" w:hAnsi="Calibri" w:cs="Arial"/>
                <w:i/>
                <w:color w:val="548DD4"/>
                <w:sz w:val="18"/>
                <w:szCs w:val="20"/>
                <w:lang w:eastAsia="es-CL"/>
              </w:rPr>
            </w:pPr>
            <w:r>
              <w:rPr>
                <w:rFonts w:ascii="Calibri" w:hAnsi="Calibri"/>
                <w:i w:val="0"/>
                <w:sz w:val="16"/>
              </w:rPr>
              <w:t>Sprint 3 – Inventario, calidad, pago e integraciones</w:t>
            </w:r>
          </w:p>
        </w:tc>
        <w:tc>
          <w:tcPr>
            <w:tcW w:w="1276" w:type="dxa"/>
          </w:tcPr>
          <w:p w14:paraId="16E191DF" w14:textId="77777777" w:rsidR="00FD5149" w:rsidRPr="006E3B0D" w:rsidRDefault="00FD5149" w:rsidP="00FD5149">
            <w:pPr>
              <w:spacing w:after="60"/>
              <w:jc w:val="left"/>
              <w:rPr>
                <w:b/>
                <w:sz w:val="18"/>
                <w:szCs w:val="24"/>
              </w:rPr>
            </w:pPr>
            <w:r>
              <w:rPr>
                <w:rFonts w:ascii="Calibri" w:hAnsi="Calibri"/>
                <w:i w:val="0"/>
                <w:sz w:val="16"/>
              </w:rPr>
              <w:t>PayPal Sandbox, mindicador.cl, Nager.Date, Brevo, Nominatim</w:t>
            </w:r>
          </w:p>
        </w:tc>
        <w:tc>
          <w:tcPr>
            <w:tcW w:w="1276" w:type="dxa"/>
          </w:tcPr>
          <w:p w14:paraId="66A5D860" w14:textId="77777777" w:rsidR="00FD5149" w:rsidRPr="006E3B0D" w:rsidRDefault="00FD5149" w:rsidP="00FD5149">
            <w:pPr>
              <w:spacing w:after="60"/>
              <w:jc w:val="left"/>
              <w:rPr>
                <w:b/>
                <w:sz w:val="18"/>
                <w:szCs w:val="24"/>
              </w:rPr>
            </w:pPr>
            <w:r>
              <w:rPr>
                <w:rFonts w:ascii="Calibri" w:hAnsi="Calibri"/>
                <w:i w:val="0"/>
                <w:sz w:val="16"/>
              </w:rPr>
              <w:t>2 semanas (S13-S14)</w:t>
            </w:r>
          </w:p>
        </w:tc>
        <w:tc>
          <w:tcPr>
            <w:tcW w:w="1275" w:type="dxa"/>
          </w:tcPr>
          <w:p w14:paraId="036AB5D8" w14:textId="77777777" w:rsidR="00FD5149" w:rsidRPr="006E3B0D" w:rsidRDefault="00FD5149" w:rsidP="00FD5149">
            <w:pPr>
              <w:spacing w:after="60"/>
              <w:jc w:val="left"/>
              <w:rPr>
                <w:rFonts w:ascii="Calibri" w:hAnsi="Calibri" w:cs="Arial"/>
                <w:i/>
                <w:color w:val="548DD4"/>
                <w:sz w:val="18"/>
                <w:szCs w:val="20"/>
                <w:lang w:eastAsia="es-CL"/>
              </w:rPr>
            </w:pPr>
            <w:r>
              <w:rPr>
                <w:rFonts w:ascii="Calibri" w:hAnsi="Calibri"/>
                <w:i w:val="0"/>
                <w:sz w:val="16"/>
              </w:rPr>
              <w:t>Benjamín Delgado (planificado: Milko Soto)</w:t>
            </w:r>
          </w:p>
        </w:tc>
        <w:tc>
          <w:tcPr>
            <w:tcW w:w="1276" w:type="dxa"/>
          </w:tcPr>
          <w:p w14:paraId="2FCEC037" w14:textId="77777777" w:rsidR="00FD5149" w:rsidRPr="006E3B0D" w:rsidRDefault="00FD5149" w:rsidP="00FD5149">
            <w:pPr>
              <w:spacing w:after="60"/>
              <w:jc w:val="left"/>
              <w:rPr>
                <w:rFonts w:ascii="Calibri" w:hAnsi="Calibri" w:cs="Arial"/>
                <w:i/>
                <w:color w:val="548DD4"/>
                <w:sz w:val="18"/>
                <w:szCs w:val="20"/>
                <w:lang w:eastAsia="es-CL"/>
              </w:rPr>
            </w:pPr>
            <w:r>
              <w:rPr>
                <w:rFonts w:ascii="Calibri" w:hAnsi="Calibri"/>
                <w:i w:val="0"/>
                <w:sz w:val="16"/>
              </w:rPr>
              <w:t>La API de feriados del Estado fue descontinuada durante el proyecto.</w:t>
            </w:r>
          </w:p>
        </w:tc>
        <w:tc>
          <w:tcPr>
            <w:tcW w:w="1418" w:type="dxa"/>
          </w:tcPr>
          <w:p w14:paraId="29B0BFEB" w14:textId="77777777" w:rsidR="00FD5149" w:rsidRPr="00E54467" w:rsidRDefault="00FD5149" w:rsidP="00FD5149">
            <w:pPr>
              <w:spacing w:after="60"/>
              <w:jc w:val="left"/>
              <w:rPr>
                <w:rFonts w:ascii="Calibri" w:hAnsi="Calibri" w:cs="Arial"/>
                <w:i/>
                <w:color w:val="548DD4"/>
                <w:sz w:val="18"/>
                <w:szCs w:val="20"/>
                <w:lang w:eastAsia="es-CL"/>
              </w:rPr>
            </w:pPr>
            <w:r>
              <w:rPr>
                <w:rFonts w:ascii="Calibri" w:hAnsi="Calibri"/>
                <w:i w:val="0"/>
                <w:sz w:val="16"/>
              </w:rPr>
              <w:t>Completado (adelantado)</w:t>
            </w:r>
          </w:p>
        </w:tc>
        <w:tc>
          <w:tcPr>
            <w:tcW w:w="850" w:type="dxa"/>
          </w:tcPr>
          <w:p w14:paraId="7C6D6F31" w14:textId="77777777" w:rsidR="00FD5149" w:rsidRPr="006E3B0D" w:rsidRDefault="00FD5149" w:rsidP="00FD5149">
            <w:pPr>
              <w:spacing w:after="60"/>
              <w:jc w:val="left"/>
              <w:rPr>
                <w:rFonts w:ascii="Calibri" w:hAnsi="Calibri" w:cs="Arial"/>
                <w:i/>
                <w:color w:val="548DD4"/>
                <w:sz w:val="18"/>
                <w:szCs w:val="20"/>
                <w:lang w:eastAsia="es-CL"/>
              </w:rPr>
            </w:pPr>
            <w:r>
              <w:rPr>
                <w:rFonts w:ascii="Calibri" w:hAnsi="Calibri"/>
                <w:i w:val="0"/>
                <w:sz w:val="16"/>
              </w:rPr>
              <w:t>Cambio de proveedor de feriados; se agregaron anticipo y saldo con PayPal.</w:t>
            </w:r>
          </w:p>
        </w:tc>
      </w:tr>
      <w:tr w:rsidR="00FD5149" w:rsidRPr="006E3B0D" w14:paraId="0D4FAAA2" w14:textId="77777777" w:rsidTr="00EA0C09">
        <w:trPr/>
        <w:tc>
          <w:tcPr>
            <w:tcW w:w="1328" w:type="dxa"/>
          </w:tcPr>
          <w:p w14:paraId="29F01B29" w14:textId="77777777" w:rsidR="00FD5149" w:rsidRPr="006E3B0D" w:rsidRDefault="00FD5149" w:rsidP="00FD5149">
            <w:pPr>
              <w:spacing w:after="60"/>
              <w:jc w:val="left"/>
              <w:rPr>
                <w:b/>
                <w:sz w:val="18"/>
                <w:szCs w:val="24"/>
              </w:rPr>
            </w:pPr>
            <w:r>
              <w:rPr>
                <w:rFonts w:ascii="Calibri" w:hAnsi="Calibri"/>
                <w:i w:val="0"/>
                <w:sz w:val="16"/>
              </w:rPr>
              <w:t>Realizar pruebas de certificación</w:t>
            </w:r>
          </w:p>
        </w:tc>
        <w:tc>
          <w:tcPr>
            <w:tcW w:w="1077" w:type="dxa"/>
          </w:tcPr>
          <w:p w14:paraId="7B4EBE25" w14:textId="77777777" w:rsidR="00FD5149" w:rsidRPr="006E3B0D" w:rsidRDefault="00FD5149" w:rsidP="00FD5149">
            <w:pPr>
              <w:spacing w:after="60"/>
              <w:jc w:val="left"/>
              <w:rPr>
                <w:rFonts w:ascii="Calibri" w:hAnsi="Calibri" w:cs="Arial"/>
                <w:i/>
                <w:color w:val="548DD4"/>
                <w:sz w:val="18"/>
                <w:szCs w:val="20"/>
                <w:lang w:eastAsia="es-CL"/>
              </w:rPr>
            </w:pPr>
            <w:r>
              <w:rPr>
                <w:rFonts w:ascii="Calibri" w:hAnsi="Calibri"/>
                <w:i w:val="0"/>
                <w:sz w:val="16"/>
              </w:rPr>
              <w:t>Verificación, pruebas y despliegue</w:t>
            </w:r>
          </w:p>
        </w:tc>
        <w:tc>
          <w:tcPr>
            <w:tcW w:w="1276" w:type="dxa"/>
          </w:tcPr>
          <w:p w14:paraId="16E191DF" w14:textId="77777777" w:rsidR="00FD5149" w:rsidRPr="006E3B0D" w:rsidRDefault="00FD5149" w:rsidP="00FD5149">
            <w:pPr>
              <w:spacing w:after="60"/>
              <w:jc w:val="left"/>
              <w:rPr>
                <w:b/>
                <w:sz w:val="18"/>
                <w:szCs w:val="24"/>
              </w:rPr>
            </w:pPr>
            <w:r>
              <w:rPr>
                <w:rFonts w:ascii="Calibri" w:hAnsi="Calibri"/>
                <w:i w:val="0"/>
                <w:sz w:val="16"/>
              </w:rPr>
              <w:t>pytest-django, GitHub Actions, Render, OWASP ZAP, Selenium</w:t>
            </w:r>
          </w:p>
        </w:tc>
        <w:tc>
          <w:tcPr>
            <w:tcW w:w="1276" w:type="dxa"/>
          </w:tcPr>
          <w:p w14:paraId="66A5D860" w14:textId="77777777" w:rsidR="00FD5149" w:rsidRPr="006E3B0D" w:rsidRDefault="00FD5149" w:rsidP="00FD5149">
            <w:pPr>
              <w:spacing w:after="60"/>
              <w:jc w:val="left"/>
              <w:rPr>
                <w:b/>
                <w:sz w:val="18"/>
                <w:szCs w:val="24"/>
              </w:rPr>
            </w:pPr>
            <w:r>
              <w:rPr>
                <w:rFonts w:ascii="Calibri" w:hAnsi="Calibri"/>
                <w:i w:val="0"/>
                <w:sz w:val="16"/>
              </w:rPr>
              <w:t>1 semana (S15)</w:t>
            </w:r>
          </w:p>
        </w:tc>
        <w:tc>
          <w:tcPr>
            <w:tcW w:w="1275" w:type="dxa"/>
          </w:tcPr>
          <w:p w14:paraId="036AB5D8" w14:textId="77777777" w:rsidR="00FD5149" w:rsidRPr="006E3B0D" w:rsidRDefault="00FD5149" w:rsidP="00FD5149">
            <w:pPr>
              <w:spacing w:after="60"/>
              <w:jc w:val="left"/>
              <w:rPr>
                <w:rFonts w:ascii="Calibri" w:hAnsi="Calibri" w:cs="Arial"/>
                <w:i/>
                <w:color w:val="548DD4"/>
                <w:sz w:val="18"/>
                <w:szCs w:val="20"/>
                <w:lang w:eastAsia="es-CL"/>
              </w:rPr>
            </w:pPr>
            <w:r>
              <w:rPr>
                <w:rFonts w:ascii="Calibri" w:hAnsi="Calibri"/>
                <w:i w:val="0"/>
                <w:sz w:val="16"/>
              </w:rPr>
              <w:t>Benjamín Delgado (pruebas, CI, despliegue); Milko Soto (ZAP, carga, Selenium)</w:t>
            </w:r>
          </w:p>
        </w:tc>
        <w:tc>
          <w:tcPr>
            <w:tcW w:w="1276" w:type="dxa"/>
          </w:tcPr>
          <w:p w14:paraId="2FCEC037" w14:textId="77777777" w:rsidR="00FD5149" w:rsidRPr="006E3B0D" w:rsidRDefault="00FD5149" w:rsidP="00FD5149">
            <w:pPr>
              <w:spacing w:after="60"/>
              <w:jc w:val="left"/>
              <w:rPr>
                <w:rFonts w:ascii="Calibri" w:hAnsi="Calibri" w:cs="Arial"/>
                <w:i/>
                <w:color w:val="548DD4"/>
                <w:sz w:val="18"/>
                <w:szCs w:val="20"/>
                <w:lang w:eastAsia="es-CL"/>
              </w:rPr>
            </w:pPr>
            <w:r>
              <w:rPr>
                <w:rFonts w:ascii="Calibri" w:hAnsi="Calibri"/>
                <w:i w:val="0"/>
                <w:sz w:val="16"/>
              </w:rPr>
              <w:t>La CI detectó configuraciones dependientes del entorno local.</w:t>
            </w:r>
          </w:p>
        </w:tc>
        <w:tc>
          <w:tcPr>
            <w:tcW w:w="1418" w:type="dxa"/>
          </w:tcPr>
          <w:p w14:paraId="29B0BFEB" w14:textId="77777777" w:rsidR="00FD5149" w:rsidRPr="00E54467" w:rsidRDefault="00FD5149" w:rsidP="00FD5149">
            <w:pPr>
              <w:spacing w:after="60"/>
              <w:jc w:val="left"/>
              <w:rPr>
                <w:rFonts w:ascii="Calibri" w:hAnsi="Calibri" w:cs="Arial"/>
                <w:i/>
                <w:color w:val="548DD4"/>
                <w:sz w:val="18"/>
                <w:szCs w:val="20"/>
                <w:lang w:eastAsia="es-CL"/>
              </w:rPr>
            </w:pPr>
            <w:r>
              <w:rPr>
                <w:rFonts w:ascii="Calibri" w:hAnsi="Calibri"/>
                <w:i w:val="0"/>
                <w:sz w:val="16"/>
              </w:rPr>
              <w:t>En curso</w:t>
            </w:r>
          </w:p>
        </w:tc>
        <w:tc>
          <w:tcPr>
            <w:tcW w:w="850" w:type="dxa"/>
          </w:tcPr>
          <w:p w14:paraId="7C6D6F31" w14:textId="77777777" w:rsidR="00FD5149" w:rsidRPr="006E3B0D" w:rsidRDefault="00FD5149" w:rsidP="00FD5149">
            <w:pPr>
              <w:spacing w:after="60"/>
              <w:jc w:val="left"/>
              <w:rPr>
                <w:rFonts w:ascii="Calibri" w:hAnsi="Calibri" w:cs="Arial"/>
                <w:i/>
                <w:color w:val="548DD4"/>
                <w:sz w:val="18"/>
                <w:szCs w:val="20"/>
                <w:lang w:eastAsia="es-CL"/>
              </w:rPr>
            </w:pPr>
            <w:r>
              <w:rPr>
                <w:rFonts w:ascii="Calibri" w:hAnsi="Calibri"/>
                <w:i w:val="0"/>
                <w:sz w:val="16"/>
              </w:rPr>
              <w:t>Se adelantó la CI; el sistema quedó desplegado en Render, con despliegue automático después de pasar la CI.</w:t>
            </w:r>
          </w:p>
        </w:tc>
      </w:tr>
      <w:tr w:rsidR="00FD5149" w:rsidRPr="006E3B0D" w14:paraId="0D4FAAA2" w14:textId="77777777" w:rsidTr="00EA0C09">
        <w:trPr/>
        <w:tc>
          <w:tcPr>
            <w:tcW w:w="1328" w:type="dxa"/>
          </w:tcPr>
          <w:p w14:paraId="29F01B29" w14:textId="77777777" w:rsidR="00FD5149" w:rsidRPr="006E3B0D" w:rsidRDefault="00FD5149" w:rsidP="00FD5149">
            <w:pPr>
              <w:spacing w:after="60"/>
              <w:jc w:val="left"/>
              <w:rPr>
                <w:b/>
                <w:sz w:val="18"/>
                <w:szCs w:val="24"/>
              </w:rPr>
            </w:pPr>
            <w:r>
              <w:rPr>
                <w:rFonts w:ascii="Calibri" w:hAnsi="Calibri"/>
                <w:i w:val="0"/>
                <w:sz w:val="16"/>
              </w:rPr>
              <w:t>Gestionar proyectos informáticos</w:t>
            </w:r>
          </w:p>
        </w:tc>
        <w:tc>
          <w:tcPr>
            <w:tcW w:w="1077" w:type="dxa"/>
          </w:tcPr>
          <w:p w14:paraId="7B4EBE25" w14:textId="77777777" w:rsidR="00FD5149" w:rsidRPr="006E3B0D" w:rsidRDefault="00FD5149" w:rsidP="00FD5149">
            <w:pPr>
              <w:spacing w:after="60"/>
              <w:jc w:val="left"/>
              <w:rPr>
                <w:rFonts w:ascii="Calibri" w:hAnsi="Calibri" w:cs="Arial"/>
                <w:i/>
                <w:color w:val="548DD4"/>
                <w:sz w:val="18"/>
                <w:szCs w:val="20"/>
                <w:lang w:eastAsia="es-CL"/>
              </w:rPr>
            </w:pPr>
            <w:r>
              <w:rPr>
                <w:rFonts w:ascii="Calibri" w:hAnsi="Calibri"/>
                <w:i w:val="0"/>
                <w:sz w:val="16"/>
              </w:rPr>
              <w:t>Documentación Scrum y evidencias</w:t>
            </w:r>
          </w:p>
        </w:tc>
        <w:tc>
          <w:tcPr>
            <w:tcW w:w="1276" w:type="dxa"/>
          </w:tcPr>
          <w:p w14:paraId="16E191DF" w14:textId="77777777" w:rsidR="00FD5149" w:rsidRPr="006E3B0D" w:rsidRDefault="00FD5149" w:rsidP="00FD5149">
            <w:pPr>
              <w:spacing w:after="60"/>
              <w:jc w:val="left"/>
              <w:rPr>
                <w:b/>
                <w:sz w:val="18"/>
                <w:szCs w:val="24"/>
              </w:rPr>
            </w:pPr>
            <w:r>
              <w:rPr>
                <w:rFonts w:ascii="Calibri" w:hAnsi="Calibri"/>
                <w:i w:val="0"/>
                <w:sz w:val="16"/>
              </w:rPr>
              <w:t>Plantillas de backlog, sprint backlog y burndown; guía de recorrido</w:t>
            </w:r>
          </w:p>
        </w:tc>
        <w:tc>
          <w:tcPr>
            <w:tcW w:w="1276" w:type="dxa"/>
          </w:tcPr>
          <w:p w14:paraId="66A5D860" w14:textId="77777777" w:rsidR="00FD5149" w:rsidRPr="006E3B0D" w:rsidRDefault="00FD5149" w:rsidP="00FD5149">
            <w:pPr>
              <w:spacing w:after="60"/>
              <w:jc w:val="left"/>
              <w:rPr>
                <w:b/>
                <w:sz w:val="18"/>
                <w:szCs w:val="24"/>
              </w:rPr>
            </w:pPr>
            <w:r>
              <w:rPr>
                <w:rFonts w:ascii="Calibri" w:hAnsi="Calibri"/>
                <w:i w:val="0"/>
                <w:sz w:val="16"/>
              </w:rPr>
              <w:t>2 semanas (S10-S11)</w:t>
            </w:r>
          </w:p>
        </w:tc>
        <w:tc>
          <w:tcPr>
            <w:tcW w:w="1275" w:type="dxa"/>
          </w:tcPr>
          <w:p w14:paraId="036AB5D8" w14:textId="77777777" w:rsidR="00FD5149" w:rsidRPr="006E3B0D" w:rsidRDefault="00FD5149" w:rsidP="00FD5149">
            <w:pPr>
              <w:spacing w:after="60"/>
              <w:jc w:val="left"/>
              <w:rPr>
                <w:rFonts w:ascii="Calibri" w:hAnsi="Calibri" w:cs="Arial"/>
                <w:i/>
                <w:color w:val="548DD4"/>
                <w:sz w:val="18"/>
                <w:szCs w:val="20"/>
                <w:lang w:eastAsia="es-CL"/>
              </w:rPr>
            </w:pPr>
            <w:r>
              <w:rPr>
                <w:rFonts w:ascii="Calibri" w:hAnsi="Calibri"/>
                <w:i w:val="0"/>
                <w:sz w:val="16"/>
              </w:rPr>
              <w:t>Camila Olivares</w:t>
            </w:r>
          </w:p>
        </w:tc>
        <w:tc>
          <w:tcPr>
            <w:tcW w:w="1276" w:type="dxa"/>
          </w:tcPr>
          <w:p w14:paraId="2FCEC037" w14:textId="77777777" w:rsidR="00FD5149" w:rsidRPr="006E3B0D" w:rsidRDefault="00FD5149" w:rsidP="00FD5149">
            <w:pPr>
              <w:spacing w:after="60"/>
              <w:jc w:val="left"/>
              <w:rPr>
                <w:rFonts w:ascii="Calibri" w:hAnsi="Calibri" w:cs="Arial"/>
                <w:i/>
                <w:color w:val="548DD4"/>
                <w:sz w:val="18"/>
                <w:szCs w:val="20"/>
                <w:lang w:eastAsia="es-CL"/>
              </w:rPr>
            </w:pPr>
            <w:r>
              <w:rPr>
                <w:rFonts w:ascii="Calibri" w:hAnsi="Calibri"/>
                <w:i w:val="0"/>
                <w:sz w:val="16"/>
              </w:rPr>
              <w:t xml:space="preserve">El recorrido con capturas del flujo (EVI-01) ya está realizado. Pendientes a su cargo: product backlog, sprint backlog, burndown y manual de usuario, con plazo el 14-10-2026.</w:t>
            </w:r>
          </w:p>
        </w:tc>
        <w:tc>
          <w:tcPr>
            <w:tcW w:w="1418" w:type="dxa"/>
          </w:tcPr>
          <w:p w14:paraId="29B0BFEB" w14:textId="77777777" w:rsidR="00FD5149" w:rsidRPr="00E54467" w:rsidRDefault="00FD5149" w:rsidP="00FD5149">
            <w:pPr>
              <w:spacing w:after="60"/>
              <w:jc w:val="left"/>
              <w:rPr>
                <w:rFonts w:ascii="Calibri" w:hAnsi="Calibri" w:cs="Arial"/>
                <w:i/>
                <w:color w:val="548DD4"/>
                <w:sz w:val="18"/>
                <w:szCs w:val="20"/>
                <w:lang w:eastAsia="es-CL"/>
              </w:rPr>
            </w:pPr>
            <w:r>
              <w:rPr>
                <w:rFonts w:ascii="Calibri" w:hAnsi="Calibri"/>
                <w:i w:val="0"/>
                <w:sz w:val="16"/>
              </w:rPr>
              <w:t>En curso</w:t>
            </w:r>
          </w:p>
        </w:tc>
        <w:tc>
          <w:tcPr>
            <w:tcW w:w="850" w:type="dxa"/>
          </w:tcPr>
          <w:p w14:paraId="7C6D6F31" w14:textId="77777777" w:rsidR="00FD5149" w:rsidRPr="006E3B0D" w:rsidRDefault="00FD5149" w:rsidP="00FD5149">
            <w:pPr>
              <w:spacing w:after="60"/>
              <w:jc w:val="left"/>
              <w:rPr>
                <w:rFonts w:ascii="Calibri" w:hAnsi="Calibri" w:cs="Arial"/>
                <w:i/>
                <w:color w:val="548DD4"/>
                <w:sz w:val="18"/>
                <w:szCs w:val="20"/>
                <w:lang w:eastAsia="es-CL"/>
              </w:rPr>
            </w:pPr>
            <w:r>
              <w:rPr>
                <w:rFonts w:ascii="Calibri" w:hAnsi="Calibri"/>
                <w:i w:val="0"/>
                <w:sz w:val="16"/>
              </w:rPr>
              <w:t>Nueva: backlog, burndown, capturas del flujo y manual de usuario.</w:t>
            </w:r>
          </w:p>
        </w:tc>
      </w:tr>
      <w:tr w:rsidR="00FD5149" w:rsidRPr="006E3B0D" w14:paraId="0D4FAAA2" w14:textId="77777777" w:rsidTr="00EA0C09">
        <w:trPr/>
        <w:tc>
          <w:tcPr>
            <w:tcW w:w="1328" w:type="dxa"/>
          </w:tcPr>
          <w:p w14:paraId="29F01B29" w14:textId="77777777" w:rsidR="00FD5149" w:rsidRPr="006E3B0D" w:rsidRDefault="00FD5149" w:rsidP="00FD5149">
            <w:pPr>
              <w:spacing w:after="60"/>
              <w:jc w:val="left"/>
              <w:rPr>
                <w:b/>
                <w:sz w:val="18"/>
                <w:szCs w:val="24"/>
              </w:rPr>
            </w:pPr>
            <w:r>
              <w:rPr>
                <w:rFonts w:ascii="Calibri" w:hAnsi="Calibri"/>
                <w:i w:val="0"/>
                <w:sz w:val="16"/>
              </w:rPr>
              <w:t>Realizar pruebas de certificación</w:t>
            </w:r>
          </w:p>
        </w:tc>
        <w:tc>
          <w:tcPr>
            <w:tcW w:w="1077" w:type="dxa"/>
          </w:tcPr>
          <w:p w14:paraId="7B4EBE25" w14:textId="77777777" w:rsidR="00FD5149" w:rsidRPr="006E3B0D" w:rsidRDefault="00FD5149" w:rsidP="00FD5149">
            <w:pPr>
              <w:spacing w:after="60"/>
              <w:jc w:val="left"/>
              <w:rPr>
                <w:rFonts w:ascii="Calibri" w:hAnsi="Calibri" w:cs="Arial"/>
                <w:i/>
                <w:color w:val="548DD4"/>
                <w:sz w:val="18"/>
                <w:szCs w:val="20"/>
                <w:lang w:eastAsia="es-CL"/>
              </w:rPr>
            </w:pPr>
            <w:r>
              <w:rPr>
                <w:rFonts w:ascii="Calibri" w:hAnsi="Calibri"/>
                <w:i w:val="0"/>
                <w:sz w:val="16"/>
              </w:rPr>
              <w:t>Verificación de calidad y seguridad</w:t>
            </w:r>
          </w:p>
        </w:tc>
        <w:tc>
          <w:tcPr>
            <w:tcW w:w="1276" w:type="dxa"/>
          </w:tcPr>
          <w:p w14:paraId="16E191DF" w14:textId="77777777" w:rsidR="00FD5149" w:rsidRPr="006E3B0D" w:rsidRDefault="00FD5149" w:rsidP="00FD5149">
            <w:pPr>
              <w:spacing w:after="60"/>
              <w:jc w:val="left"/>
              <w:rPr>
                <w:b/>
                <w:sz w:val="18"/>
                <w:szCs w:val="24"/>
              </w:rPr>
            </w:pPr>
            <w:r>
              <w:rPr>
                <w:rFonts w:ascii="Calibri" w:hAnsi="Calibri"/>
                <w:i w:val="0"/>
                <w:sz w:val="16"/>
              </w:rPr>
              <w:t>OWASP ZAP, script de prueba de carga, Selenium</w:t>
            </w:r>
          </w:p>
        </w:tc>
        <w:tc>
          <w:tcPr>
            <w:tcW w:w="1276" w:type="dxa"/>
          </w:tcPr>
          <w:p w14:paraId="66A5D860" w14:textId="77777777" w:rsidR="00FD5149" w:rsidRPr="006E3B0D" w:rsidRDefault="00FD5149" w:rsidP="00FD5149">
            <w:pPr>
              <w:spacing w:after="60"/>
              <w:jc w:val="left"/>
              <w:rPr>
                <w:b/>
                <w:sz w:val="18"/>
                <w:szCs w:val="24"/>
              </w:rPr>
            </w:pPr>
            <w:r>
              <w:rPr>
                <w:rFonts w:ascii="Calibri" w:hAnsi="Calibri"/>
                <w:i w:val="0"/>
                <w:sz w:val="16"/>
              </w:rPr>
              <w:t>2 semanas (S11-S12)</w:t>
            </w:r>
          </w:p>
        </w:tc>
        <w:tc>
          <w:tcPr>
            <w:tcW w:w="1275" w:type="dxa"/>
          </w:tcPr>
          <w:p w14:paraId="036AB5D8" w14:textId="77777777" w:rsidR="00FD5149" w:rsidRPr="006E3B0D" w:rsidRDefault="00FD5149" w:rsidP="00FD5149">
            <w:pPr>
              <w:spacing w:after="60"/>
              <w:jc w:val="left"/>
              <w:rPr>
                <w:rFonts w:ascii="Calibri" w:hAnsi="Calibri" w:cs="Arial"/>
                <w:i/>
                <w:color w:val="548DD4"/>
                <w:sz w:val="18"/>
                <w:szCs w:val="20"/>
                <w:lang w:eastAsia="es-CL"/>
              </w:rPr>
            </w:pPr>
            <w:r>
              <w:rPr>
                <w:rFonts w:ascii="Calibri" w:hAnsi="Calibri"/>
                <w:i w:val="0"/>
                <w:sz w:val="16"/>
              </w:rPr>
              <w:t>Milko Soto</w:t>
            </w:r>
          </w:p>
        </w:tc>
        <w:tc>
          <w:tcPr>
            <w:tcW w:w="1276" w:type="dxa"/>
          </w:tcPr>
          <w:p w14:paraId="2FCEC037" w14:textId="77777777" w:rsidR="00FD5149" w:rsidRPr="006E3B0D" w:rsidRDefault="00FD5149" w:rsidP="00FD5149">
            <w:pPr>
              <w:spacing w:after="60"/>
              <w:jc w:val="left"/>
              <w:rPr>
                <w:rFonts w:ascii="Calibri" w:hAnsi="Calibri" w:cs="Arial"/>
                <w:i/>
                <w:color w:val="548DD4"/>
                <w:sz w:val="18"/>
                <w:szCs w:val="20"/>
                <w:lang w:eastAsia="es-CL"/>
              </w:rPr>
            </w:pPr>
            <w:r>
              <w:rPr>
                <w:rFonts w:ascii="Calibri" w:hAnsi="Calibri"/>
                <w:i w:val="0"/>
                <w:sz w:val="16"/>
              </w:rPr>
              <w:t xml:space="preserve">El sistema ya está desplegado y cuenta con guía paso a paso; plazo 14-10-2026.</w:t>
            </w:r>
          </w:p>
        </w:tc>
        <w:tc>
          <w:tcPr>
            <w:tcW w:w="1418" w:type="dxa"/>
          </w:tcPr>
          <w:p w14:paraId="29B0BFEB" w14:textId="77777777" w:rsidR="00FD5149" w:rsidRPr="00E54467" w:rsidRDefault="00FD5149" w:rsidP="00FD5149">
            <w:pPr>
              <w:spacing w:after="60"/>
              <w:jc w:val="left"/>
              <w:rPr>
                <w:rFonts w:ascii="Calibri" w:hAnsi="Calibri" w:cs="Arial"/>
                <w:i/>
                <w:color w:val="548DD4"/>
                <w:sz w:val="18"/>
                <w:szCs w:val="20"/>
                <w:lang w:eastAsia="es-CL"/>
              </w:rPr>
            </w:pPr>
            <w:r>
              <w:rPr>
                <w:rFonts w:ascii="Calibri" w:hAnsi="Calibri"/>
                <w:i w:val="0"/>
                <w:sz w:val="16"/>
              </w:rPr>
              <w:t>No iniciado</w:t>
            </w:r>
          </w:p>
        </w:tc>
        <w:tc>
          <w:tcPr>
            <w:tcW w:w="850" w:type="dxa"/>
          </w:tcPr>
          <w:p w14:paraId="7C6D6F31" w14:textId="77777777" w:rsidR="00FD5149" w:rsidRPr="006E3B0D" w:rsidRDefault="00FD5149" w:rsidP="00FD5149">
            <w:pPr>
              <w:spacing w:after="60"/>
              <w:jc w:val="left"/>
              <w:rPr>
                <w:rFonts w:ascii="Calibri" w:hAnsi="Calibri" w:cs="Arial"/>
                <w:i/>
                <w:color w:val="548DD4"/>
                <w:sz w:val="18"/>
                <w:szCs w:val="20"/>
                <w:lang w:eastAsia="es-CL"/>
              </w:rPr>
            </w:pPr>
            <w:r>
              <w:rPr>
                <w:rFonts w:ascii="Calibri" w:hAnsi="Calibri"/>
                <w:i w:val="0"/>
                <w:sz w:val="16"/>
              </w:rPr>
              <w:t>Nueva: análisis ZAP, prueba de carga y pruebas de interfaz.</w:t>
            </w:r>
          </w:p>
        </w:tc>
      </w:tr>
      <w:tr w:rsidR="00FD5149" w:rsidRPr="006E3B0D" w14:paraId="0D4FAAA2" w14:textId="77777777" w:rsidTr="00EA0C09">
        <w:trPr/>
        <w:tc>
          <w:tcPr>
            <w:tcW w:w="1328" w:type="dxa"/>
          </w:tcPr>
          <w:p w14:paraId="29F01B29" w14:textId="77777777" w:rsidR="00FD5149" w:rsidRPr="006E3B0D" w:rsidRDefault="00FD5149" w:rsidP="00FD5149">
            <w:pPr>
              <w:spacing w:after="60"/>
              <w:jc w:val="left"/>
              <w:rPr>
                <w:b/>
                <w:sz w:val="18"/>
                <w:szCs w:val="24"/>
              </w:rPr>
            </w:pPr>
            <w:r>
              <w:rPr>
                <w:rFonts w:ascii="Calibri" w:hAnsi="Calibri"/>
                <w:i w:val="0"/>
                <w:sz w:val="16"/>
              </w:rPr>
              <w:t>Gestionar proyectos informáticos</w:t>
            </w:r>
          </w:p>
        </w:tc>
        <w:tc>
          <w:tcPr>
            <w:tcW w:w="1077" w:type="dxa"/>
          </w:tcPr>
          <w:p w14:paraId="7B4EBE25" w14:textId="77777777" w:rsidR="00FD5149" w:rsidRPr="006E3B0D" w:rsidRDefault="00FD5149" w:rsidP="00FD5149">
            <w:pPr>
              <w:spacing w:after="60"/>
              <w:jc w:val="left"/>
              <w:rPr>
                <w:rFonts w:ascii="Calibri" w:hAnsi="Calibri" w:cs="Arial"/>
                <w:i/>
                <w:color w:val="548DD4"/>
                <w:sz w:val="18"/>
                <w:szCs w:val="20"/>
                <w:lang w:eastAsia="es-CL"/>
              </w:rPr>
            </w:pPr>
            <w:r>
              <w:rPr>
                <w:rFonts w:ascii="Calibri" w:hAnsi="Calibri"/>
                <w:i w:val="0"/>
                <w:sz w:val="16"/>
              </w:rPr>
              <w:t>Informe final Fase 2</w:t>
            </w:r>
          </w:p>
        </w:tc>
        <w:tc>
          <w:tcPr>
            <w:tcW w:w="1276" w:type="dxa"/>
          </w:tcPr>
          <w:p w14:paraId="16E191DF" w14:textId="77777777" w:rsidR="00FD5149" w:rsidRPr="006E3B0D" w:rsidRDefault="00FD5149" w:rsidP="00FD5149">
            <w:pPr>
              <w:spacing w:after="60"/>
              <w:jc w:val="left"/>
              <w:rPr>
                <w:b/>
                <w:sz w:val="18"/>
                <w:szCs w:val="24"/>
              </w:rPr>
            </w:pPr>
            <w:r>
              <w:rPr>
                <w:rFonts w:ascii="Calibri" w:hAnsi="Calibri"/>
                <w:i w:val="0"/>
                <w:sz w:val="16"/>
              </w:rPr>
              <w:t>Repositorio, backlog, evidencias</w:t>
            </w:r>
          </w:p>
        </w:tc>
        <w:tc>
          <w:tcPr>
            <w:tcW w:w="1276" w:type="dxa"/>
          </w:tcPr>
          <w:p w14:paraId="66A5D860" w14:textId="77777777" w:rsidR="00FD5149" w:rsidRPr="006E3B0D" w:rsidRDefault="00FD5149" w:rsidP="00FD5149">
            <w:pPr>
              <w:spacing w:after="60"/>
              <w:jc w:val="left"/>
              <w:rPr>
                <w:b/>
                <w:sz w:val="18"/>
                <w:szCs w:val="24"/>
              </w:rPr>
            </w:pPr>
            <w:r>
              <w:rPr>
                <w:rFonts w:ascii="Calibri" w:hAnsi="Calibri"/>
                <w:i w:val="0"/>
                <w:sz w:val="16"/>
              </w:rPr>
              <w:t>1 semana (S15)</w:t>
            </w:r>
          </w:p>
        </w:tc>
        <w:tc>
          <w:tcPr>
            <w:tcW w:w="1275" w:type="dxa"/>
          </w:tcPr>
          <w:p w14:paraId="036AB5D8" w14:textId="77777777" w:rsidR="00FD5149" w:rsidRPr="006E3B0D" w:rsidRDefault="00FD5149" w:rsidP="00FD5149">
            <w:pPr>
              <w:spacing w:after="60"/>
              <w:jc w:val="left"/>
              <w:rPr>
                <w:rFonts w:ascii="Calibri" w:hAnsi="Calibri" w:cs="Arial"/>
                <w:i/>
                <w:color w:val="548DD4"/>
                <w:sz w:val="18"/>
                <w:szCs w:val="20"/>
                <w:lang w:eastAsia="es-CL"/>
              </w:rPr>
            </w:pPr>
            <w:r>
              <w:rPr>
                <w:rFonts w:ascii="Calibri" w:hAnsi="Calibri"/>
                <w:i w:val="0"/>
                <w:sz w:val="16"/>
              </w:rPr>
              <w:t>Benjamín Delgado</w:t>
            </w:r>
          </w:p>
        </w:tc>
        <w:tc>
          <w:tcPr>
            <w:tcW w:w="1276" w:type="dxa"/>
          </w:tcPr>
          <w:p w14:paraId="2FCEC037" w14:textId="77777777" w:rsidR="00FD5149" w:rsidRPr="006E3B0D" w:rsidRDefault="00FD5149" w:rsidP="00FD5149">
            <w:pPr>
              <w:spacing w:after="60"/>
              <w:jc w:val="left"/>
              <w:rPr>
                <w:rFonts w:ascii="Calibri" w:hAnsi="Calibri" w:cs="Arial"/>
                <w:i/>
                <w:color w:val="548DD4"/>
                <w:sz w:val="18"/>
                <w:szCs w:val="20"/>
                <w:lang w:eastAsia="es-CL"/>
              </w:rPr>
            </w:pPr>
            <w:r>
              <w:rPr>
                <w:rFonts w:ascii="Calibri" w:hAnsi="Calibri"/>
                <w:i w:val="0"/>
                <w:sz w:val="16"/>
              </w:rPr>
              <w:t>Depende de las evidencias de las actividades nuevas.</w:t>
            </w:r>
          </w:p>
        </w:tc>
        <w:tc>
          <w:tcPr>
            <w:tcW w:w="1418" w:type="dxa"/>
          </w:tcPr>
          <w:p w14:paraId="29B0BFEB" w14:textId="77777777" w:rsidR="00FD5149" w:rsidRPr="00E54467" w:rsidRDefault="00FD5149" w:rsidP="00FD5149">
            <w:pPr>
              <w:spacing w:after="60"/>
              <w:jc w:val="left"/>
              <w:rPr>
                <w:rFonts w:ascii="Calibri" w:hAnsi="Calibri" w:cs="Arial"/>
                <w:i/>
                <w:color w:val="548DD4"/>
                <w:sz w:val="18"/>
                <w:szCs w:val="20"/>
                <w:lang w:eastAsia="es-CL"/>
              </w:rPr>
            </w:pPr>
            <w:r>
              <w:rPr>
                <w:rFonts w:ascii="Calibri" w:hAnsi="Calibri"/>
                <w:i w:val="0"/>
                <w:sz w:val="16"/>
              </w:rPr>
              <w:t>No iniciado</w:t>
            </w:r>
          </w:p>
        </w:tc>
        <w:tc>
          <w:tcPr>
            <w:tcW w:w="850" w:type="dxa"/>
          </w:tcPr>
          <w:p w14:paraId="7C6D6F31" w14:textId="77777777" w:rsidR="00FD5149" w:rsidRPr="006E3B0D" w:rsidRDefault="00FD5149" w:rsidP="00FD5149">
            <w:pPr>
              <w:spacing w:after="60"/>
              <w:jc w:val="left"/>
              <w:rPr>
                <w:rFonts w:ascii="Calibri" w:hAnsi="Calibri" w:cs="Arial"/>
                <w:i/>
                <w:color w:val="548DD4"/>
                <w:sz w:val="18"/>
                <w:szCs w:val="20"/>
                <w:lang w:eastAsia="es-CL"/>
              </w:rPr>
            </w:pPr>
            <w:r>
              <w:rPr>
                <w:rFonts w:ascii="Calibri" w:hAnsi="Calibri"/>
                <w:i w:val="0"/>
                <w:sz w:val="16"/>
              </w:rPr>
              <w:t>Sin ajustes.</w:t>
            </w:r>
          </w:p>
        </w:tc>
      </w:tr>
      <w:tr w:rsidR="00FD5149" w:rsidRPr="006E3B0D" w14:paraId="0D4FAAA2" w14:textId="77777777" w:rsidTr="00EA0C09">
        <w:trPr/>
        <w:tc>
          <w:tcPr>
            <w:tcW w:w="1328" w:type="dxa"/>
          </w:tcPr>
          <w:p w14:paraId="29F01B29" w14:textId="77777777" w:rsidR="00FD5149" w:rsidRPr="006E3B0D" w:rsidRDefault="00FD5149" w:rsidP="00FD5149">
            <w:pPr>
              <w:spacing w:after="60"/>
              <w:jc w:val="left"/>
              <w:rPr>
                <w:b/>
                <w:sz w:val="18"/>
                <w:szCs w:val="24"/>
              </w:rPr>
            </w:pPr>
            <w:r>
              <w:rPr>
                <w:rFonts w:ascii="Calibri" w:hAnsi="Calibri"/>
                <w:i w:val="0"/>
                <w:sz w:val="16"/>
              </w:rPr>
              <w:t>Gestionar proyectos informáticos</w:t>
            </w:r>
          </w:p>
        </w:tc>
        <w:tc>
          <w:tcPr>
            <w:tcW w:w="1077" w:type="dxa"/>
          </w:tcPr>
          <w:p w14:paraId="7B4EBE25" w14:textId="77777777" w:rsidR="00FD5149" w:rsidRPr="006E3B0D" w:rsidRDefault="00FD5149" w:rsidP="00FD5149">
            <w:pPr>
              <w:spacing w:after="60"/>
              <w:jc w:val="left"/>
              <w:rPr>
                <w:rFonts w:ascii="Calibri" w:hAnsi="Calibri" w:cs="Arial"/>
                <w:i/>
                <w:color w:val="548DD4"/>
                <w:sz w:val="18"/>
                <w:szCs w:val="20"/>
                <w:lang w:eastAsia="es-CL"/>
              </w:rPr>
            </w:pPr>
            <w:r>
              <w:rPr>
                <w:rFonts w:ascii="Calibri" w:hAnsi="Calibri"/>
                <w:i w:val="0"/>
                <w:sz w:val="16"/>
              </w:rPr>
              <w:t>Cierre del proyecto y defensa</w:t>
            </w:r>
          </w:p>
        </w:tc>
        <w:tc>
          <w:tcPr>
            <w:tcW w:w="1276" w:type="dxa"/>
          </w:tcPr>
          <w:p w14:paraId="16E191DF" w14:textId="77777777" w:rsidR="00FD5149" w:rsidRPr="006E3B0D" w:rsidRDefault="00FD5149" w:rsidP="00FD5149">
            <w:pPr>
              <w:spacing w:after="60"/>
              <w:jc w:val="left"/>
              <w:rPr>
                <w:b/>
                <w:sz w:val="18"/>
                <w:szCs w:val="24"/>
              </w:rPr>
            </w:pPr>
            <w:r>
              <w:rPr>
                <w:rFonts w:ascii="Calibri" w:hAnsi="Calibri"/>
                <w:i w:val="0"/>
                <w:sz w:val="16"/>
              </w:rPr>
              <w:t>Presentación, ambiente desplegado</w:t>
            </w:r>
          </w:p>
        </w:tc>
        <w:tc>
          <w:tcPr>
            <w:tcW w:w="1276" w:type="dxa"/>
          </w:tcPr>
          <w:p w14:paraId="66A5D860" w14:textId="77777777" w:rsidR="00FD5149" w:rsidRPr="006E3B0D" w:rsidRDefault="00FD5149" w:rsidP="00FD5149">
            <w:pPr>
              <w:spacing w:after="60"/>
              <w:jc w:val="left"/>
              <w:rPr>
                <w:b/>
                <w:sz w:val="18"/>
                <w:szCs w:val="24"/>
              </w:rPr>
            </w:pPr>
            <w:r>
              <w:rPr>
                <w:rFonts w:ascii="Calibri" w:hAnsi="Calibri"/>
                <w:i w:val="0"/>
                <w:sz w:val="16"/>
              </w:rPr>
              <w:t>3 semanas (S16-S18)</w:t>
            </w:r>
          </w:p>
        </w:tc>
        <w:tc>
          <w:tcPr>
            <w:tcW w:w="1275" w:type="dxa"/>
          </w:tcPr>
          <w:p w14:paraId="036AB5D8" w14:textId="77777777" w:rsidR="00FD5149" w:rsidRPr="006E3B0D" w:rsidRDefault="00FD5149" w:rsidP="00FD5149">
            <w:pPr>
              <w:spacing w:after="60"/>
              <w:jc w:val="left"/>
              <w:rPr>
                <w:rFonts w:ascii="Calibri" w:hAnsi="Calibri" w:cs="Arial"/>
                <w:i/>
                <w:color w:val="548DD4"/>
                <w:sz w:val="18"/>
                <w:szCs w:val="20"/>
                <w:lang w:eastAsia="es-CL"/>
              </w:rPr>
            </w:pPr>
            <w:r>
              <w:rPr>
                <w:rFonts w:ascii="Calibri" w:hAnsi="Calibri"/>
                <w:i w:val="0"/>
                <w:sz w:val="16"/>
              </w:rPr>
              <w:t>Benjamín Delgado, Camila Olivares, Milko Soto</w:t>
            </w:r>
          </w:p>
        </w:tc>
        <w:tc>
          <w:tcPr>
            <w:tcW w:w="1276" w:type="dxa"/>
          </w:tcPr>
          <w:p w14:paraId="2FCEC037" w14:textId="77777777" w:rsidR="00FD5149" w:rsidRPr="006E3B0D" w:rsidRDefault="00FD5149" w:rsidP="00FD5149">
            <w:pPr>
              <w:spacing w:after="60"/>
              <w:jc w:val="left"/>
              <w:rPr>
                <w:rFonts w:ascii="Calibri" w:hAnsi="Calibri" w:cs="Arial"/>
                <w:i/>
                <w:color w:val="548DD4"/>
                <w:sz w:val="18"/>
                <w:szCs w:val="20"/>
                <w:lang w:eastAsia="es-CL"/>
              </w:rPr>
            </w:pPr>
            <w:r>
              <w:rPr>
                <w:rFonts w:ascii="Calibri" w:hAnsi="Calibri"/>
                <w:i w:val="0"/>
                <w:sz w:val="16"/>
              </w:rPr>
              <w:t>Cada integrante defiende de forma individual.</w:t>
            </w:r>
          </w:p>
        </w:tc>
        <w:tc>
          <w:tcPr>
            <w:tcW w:w="1418" w:type="dxa"/>
          </w:tcPr>
          <w:p w14:paraId="29B0BFEB" w14:textId="77777777" w:rsidR="00FD5149" w:rsidRPr="00E54467" w:rsidRDefault="00FD5149" w:rsidP="00FD5149">
            <w:pPr>
              <w:spacing w:after="60"/>
              <w:jc w:val="left"/>
              <w:rPr>
                <w:rFonts w:ascii="Calibri" w:hAnsi="Calibri" w:cs="Arial"/>
                <w:i/>
                <w:color w:val="548DD4"/>
                <w:sz w:val="18"/>
                <w:szCs w:val="20"/>
                <w:lang w:eastAsia="es-CL"/>
              </w:rPr>
            </w:pPr>
            <w:r>
              <w:rPr>
                <w:rFonts w:ascii="Calibri" w:hAnsi="Calibri"/>
                <w:i w:val="0"/>
                <w:sz w:val="16"/>
              </w:rPr>
              <w:t>No iniciado</w:t>
            </w:r>
          </w:p>
        </w:tc>
        <w:tc>
          <w:tcPr>
            <w:tcW w:w="850" w:type="dxa"/>
          </w:tcPr>
          <w:p w14:paraId="7C6D6F31" w14:textId="77777777" w:rsidR="00FD5149" w:rsidRPr="006E3B0D" w:rsidRDefault="00FD5149" w:rsidP="00FD5149">
            <w:pPr>
              <w:spacing w:after="60"/>
              <w:jc w:val="left"/>
              <w:rPr>
                <w:rFonts w:ascii="Calibri" w:hAnsi="Calibri" w:cs="Arial"/>
                <w:i/>
                <w:color w:val="548DD4"/>
                <w:sz w:val="18"/>
                <w:szCs w:val="20"/>
                <w:lang w:eastAsia="es-CL"/>
              </w:rPr>
            </w:pPr>
            <w:r>
              <w:rPr>
                <w:rFonts w:ascii="Calibri" w:hAnsi="Calibri"/>
                <w:i w:val="0"/>
                <w:sz w:val="16"/>
              </w:rPr>
              <w:t>Sin ajustes.</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 xml:space="preserve">3. Ajustes a partir del monitoreo </w:t>
            </w:r>
          </w:p>
        </w:tc>
      </w:tr>
      <w:tr w:rsidR="0003309E" w14:paraId="08F9EDA3" w14:textId="77777777" w:rsidTr="00C5122E">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Pr>
                <w:rFonts w:ascii="Calibri" w:hAnsi="Calibri"/>
                <w:color w:val="1F3864" w:themeColor="accent1" w:themeShade="8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c>
          <w:tcPr>
            <w:tcW w:w="5000" w:type="pct"/>
            <w:vAlign w:val="center"/>
          </w:tcPr>
          <w:p w14:paraId="17CE44DE" w14:textId="77777777" w:rsidR="0003309E" w:rsidRPr="00371CBB" w:rsidRDefault="0003309E" w:rsidP="00C5122E">
            <w:pPr>
              <w:jc w:val="both"/>
              <w:rPr>
                <w:rFonts w:ascii="Calibri" w:hAnsi="Calibri" w:cs="Arial"/>
                <w:i/>
                <w:iCs/>
                <w:color w:val="548DD4"/>
                <w:sz w:val="20"/>
                <w:szCs w:val="20"/>
                <w:lang w:eastAsia="es-CL"/>
              </w:rPr>
            </w:pPr>
            <w:r>
              <w:rPr>
                <w:rFonts w:ascii="Calibri" w:hAnsi="Calibri"/>
                <w:color w:val="1F3864" w:themeColor="accent1" w:themeShade="80"/>
              </w:rPr>
              <w:t xml:space="preserve">Factores que han facilitado y/o dificultado el desarrollo de mi plan de trabajo</w:t>
            </w:r>
            <w:r>
              <w:rPr>
                <w:rFonts w:ascii="Calibri" w:hAnsi="Calibri" w:cs="Arial"/>
                <w:color w:val="548DD4"/>
                <w:sz w:val="20"/>
                <w:szCs w:val="20"/>
                <w:lang w:eastAsia="es-CL"/>
              </w:rPr>
              <w:t xml:space="preserve">: </w:t>
            </w:r>
          </w:p>
          <w:p>
            <w:pPr>
              <w:spacing w:after="60"/>
              <w:jc w:val="left"/>
            </w:pPr>
            <w:r>
              <w:rPr>
                <w:rFonts w:ascii="Calibri" w:hAnsi="Calibri"/>
                <w:b/>
                <w:i w:val="0"/>
                <w:sz w:val="20"/>
              </w:rPr>
              <w:t>Facilitadores:</w:t>
            </w:r>
          </w:p>
          <w:p>
            <w:pPr>
              <w:spacing w:after="60"/>
              <w:ind w:left="160"/>
              <w:jc w:val="left"/>
            </w:pPr>
            <w:r>
              <w:rPr>
                <w:rFonts w:ascii="Calibri" w:hAnsi="Calibri"/>
                <w:i w:val="0"/>
                <w:sz w:val="20"/>
              </w:rPr>
              <w:t>• La definición completa en la Fase 1 (ERS-01, CU-01 y MER-01) permitió desarrollar sin rediseños mayores.</w:t>
            </w:r>
          </w:p>
          <w:p>
            <w:pPr>
              <w:spacing w:after="60"/>
              <w:ind w:left="160"/>
              <w:jc w:val="left"/>
            </w:pPr>
            <w:r>
              <w:rPr>
                <w:rFonts w:ascii="Calibri" w:hAnsi="Calibri"/>
                <w:i w:val="0"/>
                <w:sz w:val="20"/>
              </w:rPr>
              <w:t>• El uso de Docker dejó un entorno idéntico en cada ejecución, y la integración continua detectó errores de inmediato.</w:t>
            </w:r>
          </w:p>
          <w:p>
            <w:pPr>
              <w:spacing w:after="60"/>
              <w:ind w:left="160"/>
              <w:jc w:val="left"/>
            </w:pPr>
            <w:r>
              <w:rPr>
                <w:rFonts w:ascii="Calibri" w:hAnsi="Calibri"/>
                <w:i w:val="0"/>
                <w:sz w:val="20"/>
              </w:rPr>
              <w:t>• El uso de asistencia de inteligencia artificial (Claude) para apoyar la generación y revisión de código, la depuración y la documentación, siempre con revisión, prueba local y decisión final del equipo.</w:t>
            </w:r>
          </w:p>
          <w:p>
            <w:pPr>
              <w:spacing w:after="60"/>
              <w:jc w:val="left"/>
            </w:pPr>
            <w:r>
              <w:rPr>
                <w:rFonts w:ascii="Calibri" w:hAnsi="Calibri"/>
                <w:b/>
                <w:i w:val="0"/>
                <w:sz w:val="20"/>
              </w:rPr>
              <w:t>Dificultades y acciones tomadas:</w:t>
            </w:r>
          </w:p>
          <w:p>
            <w:pPr>
              <w:spacing w:after="60"/>
              <w:ind w:left="160"/>
              <w:jc w:val="left"/>
            </w:pPr>
            <w:r>
              <w:rPr>
                <w:rFonts w:ascii="Calibri" w:hAnsi="Calibri"/>
                <w:i w:val="0"/>
                <w:sz w:val="20"/>
              </w:rPr>
              <w:t>• La API de feriados del Estado (apis.digital.gob.cl) fue descontinuada y el reemplazo evaluado (feriadito.cl) aún no publicaba su API. Se migró a Nager.Date y se diseñó el cliente para aceptar varios formatos, de modo que un nuevo cambio sea solo de configuración.</w:t>
            </w:r>
          </w:p>
          <w:p>
            <w:pPr>
              <w:spacing w:after="60"/>
              <w:ind w:left="160"/>
              <w:jc w:val="left"/>
            </w:pPr>
            <w:r>
              <w:rPr>
                <w:rFonts w:ascii="Calibri" w:hAnsi="Calibri"/>
                <w:i w:val="0"/>
                <w:sz w:val="20"/>
              </w:rPr>
              <w:t>• PayPal no opera en pesos chilenos: el cobro se realiza en dólares, convertido con el dólar observado de mindicador.cl, y se concilia el monto antes de marcar el pago.</w:t>
            </w:r>
          </w:p>
          <w:p>
            <w:pPr>
              <w:spacing w:after="60"/>
              <w:ind w:left="160"/>
              <w:jc w:val="left"/>
            </w:pPr>
            <w:r>
              <w:rPr>
                <w:rFonts w:ascii="Calibri" w:hAnsi="Calibri"/>
                <w:i w:val="0"/>
                <w:sz w:val="20"/>
              </w:rPr>
              <w:t>• La coordinación de tres integrantes con distintas cargas llevó a que el desarrollo se concentrara en el líder técnico. Se reasignaron responsabilidades (ver cuadro siguiente) para que cada integrante tenga trabajo propio, verificable en el repositorio y defendible en la Fase 3.</w:t>
            </w:r>
          </w:p>
          <w:p>
            <w:pPr>
              <w:spacing w:after="60"/>
              <w:ind w:left="160"/>
              <w:jc w:val="left"/>
            </w:pPr>
            <w:r>
              <w:rPr>
                <w:rFonts w:ascii="Calibri" w:hAnsi="Calibri"/>
                <w:i w:val="0"/>
                <w:sz w:val="20"/>
              </w:rPr>
              <w:t>• Diferencias entre el entorno local y la CI (por ejemplo, variables de entorno que afectaban las pruebas) se corrigieron aislando la configuración de pruebas.</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c>
          <w:tcPr>
            <w:tcW w:w="5000" w:type="pct"/>
            <w:vAlign w:val="center"/>
          </w:tcPr>
          <w:p w14:paraId="0E567A33" w14:textId="2A8FED79" w:rsidR="0003309E" w:rsidRDefault="0003309E" w:rsidP="00C5122E">
            <w:pPr>
              <w:jc w:val="both"/>
              <w:rPr>
                <w:rFonts w:ascii="Calibri" w:hAnsi="Calibri" w:cs="Arial"/>
                <w:i/>
                <w:color w:val="548DD4"/>
                <w:sz w:val="20"/>
                <w:szCs w:val="20"/>
                <w:lang w:eastAsia="es-CL"/>
              </w:rPr>
            </w:pPr>
            <w:r>
              <w:rPr>
                <w:rFonts w:ascii="Calibri" w:hAnsi="Calibri"/>
                <w:color w:val="1F3864" w:themeColor="accent1" w:themeShade="80"/>
              </w:rPr>
              <w:lastRenderedPageBreak/>
              <w:t xml:space="preserve">Actividades ajustadas o eliminadas: </w:t>
            </w:r>
          </w:p>
          <w:p>
            <w:pPr>
              <w:spacing w:after="60"/>
              <w:ind w:left="160"/>
              <w:jc w:val="left"/>
            </w:pPr>
            <w:r>
              <w:rPr>
                <w:rFonts w:ascii="Calibri" w:hAnsi="Calibri"/>
                <w:i w:val="0"/>
                <w:sz w:val="20"/>
              </w:rPr>
              <w:t>• Desarrollo de los sprints 1, 2 y 3: se reasignó al líder técnico (Benjamín Delgado), quien lo ejecutó por completo. Motivo: mantener la coherencia de la arquitectura y el ritmo de avance ante la baja disponibilidad del resto del equipo en esa etapa.</w:t>
            </w:r>
          </w:p>
          <w:p>
            <w:pPr>
              <w:spacing w:after="60"/>
              <w:ind w:left="160"/>
              <w:jc w:val="left"/>
            </w:pPr>
            <w:r>
              <w:rPr>
                <w:rFonts w:ascii="Calibri" w:hAnsi="Calibri"/>
                <w:i w:val="0"/>
                <w:sz w:val="20"/>
              </w:rPr>
              <w:t>• Camila Olivares se reasigna a la documentación Scrum (product backlog, sprint backlog y burndown actualizados), al recorrido y captura de evidencias del flujo comercial y al manual de usuario.</w:t>
            </w:r>
          </w:p>
          <w:p>
            <w:pPr>
              <w:spacing w:after="60"/>
              <w:ind w:left="160"/>
              <w:jc w:val="left"/>
            </w:pPr>
            <w:r>
              <w:rPr>
                <w:rFonts w:ascii="Calibri" w:hAnsi="Calibri"/>
                <w:i w:val="0"/>
                <w:sz w:val="20"/>
              </w:rPr>
              <w:t>• Milko Soto se reasigna a la verificación de calidad y seguridad: análisis OWASP ZAP, prueba de carga sobre el sistema desplegado y pruebas de interfaz con Selenium.</w:t>
            </w:r>
          </w:p>
          <w:p>
            <w:pPr>
              <w:spacing w:after="60"/>
              <w:ind w:left="160"/>
              <w:jc w:val="left"/>
            </w:pPr>
            <w:r>
              <w:rPr>
                <w:rFonts w:ascii="Calibri" w:hAnsi="Calibri"/>
                <w:i w:val="0"/>
                <w:sz w:val="20"/>
              </w:rPr>
              <w:t>• htmx: se eliminó del alcance. Las interacciones de la web se resolvieron con Django y Bootstrap sin necesidad de esa librería, reduciendo complejidad.</w:t>
            </w:r>
          </w:p>
          <w:p>
            <w:pPr>
              <w:spacing w:after="60"/>
              <w:ind w:left="160"/>
              <w:jc w:val="left"/>
            </w:pPr>
            <w:r>
              <w:rPr>
                <w:rFonts w:ascii="Calibri" w:hAnsi="Calibri"/>
                <w:i w:val="0"/>
                <w:sz w:val="20"/>
              </w:rPr>
              <w:t>• RF-SEG-06 (caducidad periódica de contraseñas): se difiere, porque las guías actuales de seguridad (NIST SP 800-63B) desaconsejan forzar cambios periódicos. Se compensa con bloqueo temporal, recuperación por enlace de un solo uso y restablecimiento por el administrador.</w:t>
            </w:r>
          </w:p>
          <w:p>
            <w:pPr>
              <w:spacing w:after="60"/>
              <w:ind w:left="160"/>
              <w:jc w:val="left"/>
            </w:pPr>
            <w:r>
              <w:rPr>
                <w:rFonts w:ascii="Calibri" w:hAnsi="Calibri"/>
                <w:i w:val="0"/>
                <w:sz w:val="20"/>
              </w:rPr>
              <w:t xml:space="preserve">• Se agregaron funcionalidades no planificadas que el negocio requería: cobro del saldo al terminar la fabricación, anulación de documentos con motivo, reportes exportables a Excel y PDF, avisos del sitio con vigencia, aprobación del control de calidad que libera la orden, avisos internos por correo y bandeja de pendientes por rol, parámetros de negocio editables con validación de rango, y mantención de contactos, familias, parámetros técnicos y bodegas con desactivación en lugar de borrado.</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c>
          <w:tcPr>
            <w:tcW w:w="5000" w:type="pct"/>
            <w:vAlign w:val="center"/>
          </w:tcPr>
          <w:p w14:paraId="71F24186" w14:textId="6C9A0274" w:rsidR="0003309E" w:rsidRDefault="0003309E" w:rsidP="00585A13">
            <w:pPr>
              <w:jc w:val="both"/>
              <w:rPr>
                <w:rFonts w:ascii="Calibri" w:hAnsi="Calibri" w:cs="Arial"/>
                <w:i/>
                <w:color w:val="548DD4"/>
                <w:sz w:val="20"/>
                <w:szCs w:val="20"/>
                <w:lang w:eastAsia="es-CL"/>
              </w:rPr>
            </w:pPr>
            <w:r>
              <w:rPr>
                <w:rFonts w:ascii="Calibri" w:hAnsi="Calibri"/>
                <w:color w:val="1F3864" w:themeColor="accent1" w:themeShade="80"/>
              </w:rPr>
              <w:t>Actividades que no has iniciado o están retrasadas:</w:t>
            </w:r>
          </w:p>
          <w:p>
            <w:pPr>
              <w:spacing w:after="60"/>
              <w:ind w:left="160"/>
              <w:jc w:val="left"/>
            </w:pPr>
            <w:r>
              <w:rPr>
                <w:rFonts w:ascii="Calibri" w:hAnsi="Calibri"/>
                <w:i w:val="0"/>
                <w:sz w:val="20"/>
              </w:rPr>
              <w:t>• Despliegue en Render (completado): la API, la aplicación web, la base de datos PostgreSQL y la tarea diaria programada operan en producción en https://sitrafo.onrender.com; cada cambio en la rama principal se despliega automáticamente tras pasar la integración continua.</w:t>
            </w:r>
          </w:p>
          <w:p>
            <w:pPr>
              <w:spacing w:after="60"/>
              <w:ind w:left="160"/>
              <w:jc w:val="left"/>
            </w:pPr>
            <w:r>
              <w:rPr>
                <w:rFonts w:ascii="Calibri" w:hAnsi="Calibri"/>
                <w:i w:val="0"/>
                <w:sz w:val="20"/>
              </w:rPr>
              <w:t xml:space="preserve">• Documentación Scrum y evidencias (Camila Olivares) y verificación de calidad y seguridad (Milko Soto): actividades nuevas producto de la reasignación. Estrategia: tareas con guía paso a paso, entregables concretos y commits propios en el repositorio, con revisión del líder y plazo el 14 de octubre de 2026, para llegar al informe final con todas las evidencias.</w:t>
            </w:r>
          </w:p>
          <w:p>
            <w:pPr>
              <w:spacing w:after="60"/>
              <w:ind w:left="160"/>
              <w:jc w:val="left"/>
            </w:pPr>
            <w:r>
              <w:rPr>
                <w:rFonts w:ascii="Calibri" w:hAnsi="Calibri"/>
                <w:i w:val="0"/>
                <w:sz w:val="20"/>
              </w:rPr>
              <w:t xml:space="preserve">• Pruebas de interfaz con Selenium: pendientes dentro de la tarea de Milko Soto. La lógica ya está cubierta por 236 pruebas automatizadas con 92 % de cobertura; Selenium agrega la verificación de las pantallas.</w:t>
            </w:r>
          </w:p>
        </w:tc>
      </w:tr>
    </w:tbl>
    <w:p w14:paraId="23A72E3B" w14:textId="77777777" w:rsidR="0003309E" w:rsidRPr="0003309E" w:rsidRDefault="0003309E">
      <w:pPr>
        <w:rPr>
          <w:lang w:val="es-ES"/>
        </w:rPr>
      </w:pPr>
    </w:p>
    <w:p>
      <w:r>
        <w:br w:type="page"/>
      </w:r>
    </w:p>
    <w:p>
      <w:pPr>
        <w:spacing w:before="0" w:after="120"/>
      </w:pPr>
      <w:r>
        <w:rPr>
          <w:rFonts w:ascii="Calibri" w:hAnsi="Calibri"/>
          <w:b/>
          <w:i w:val="0"/>
          <w:color w:val="1F3864"/>
          <w:sz w:val="28"/>
        </w:rPr>
        <w:t>Anexo. Evidencias del sistema desplegado</w:t>
      </w:r>
    </w:p>
    <w:p>
      <w:pPr>
        <w:spacing w:before="0" w:after="160"/>
      </w:pPr>
      <w:r>
        <w:rPr>
          <w:rFonts w:ascii="Calibri" w:hAnsi="Calibri"/>
          <w:b w:val="0"/>
          <w:i w:val="0"/>
          <w:sz w:val="20"/>
        </w:rPr>
        <w:t>Capturas tomadas el 8 y 9 de octubre de 2026 sobre el sistema publicado en https://sitrafo.onrender.com (web del cliente) y la aplicación de escritorio SITRAFO.exe conectada a su API. Se muestra una captura por etapa del flujo; el detalle completo está en el documento EVI-01 del repositorio.</w:t>
      </w:r>
    </w:p>
    <w:p>
      <w:pPr>
        <w:keepNext/>
        <w:spacing w:before="160" w:after="80"/>
      </w:pPr>
      <w:r>
        <w:rPr>
          <w:rFonts w:ascii="Calibri" w:hAnsi="Calibri"/>
          <w:b/>
          <w:i w:val="0"/>
          <w:color w:val="1F3864"/>
          <w:sz w:val="22"/>
        </w:rPr>
        <w:t>1. Ingreso del cliente y solicitud de presupuesto (web)</w:t>
      </w:r>
    </w:p>
    <w:p>
      <w:pPr>
        <w:keepNext/>
        <w:jc w:val="center"/>
      </w:pPr>
      <w:r>
        <w:drawing>
          <wp:inline xmlns:a="http://schemas.openxmlformats.org/drawingml/2006/main" xmlns:pic="http://schemas.openxmlformats.org/drawingml/2006/picture">
            <wp:extent cx="5400000" cy="2803032"/>
            <wp:docPr id="50" name="Picture 50"/>
            <wp:cNvGraphicFramePr>
              <a:graphicFrameLocks noChangeAspect="1"/>
            </wp:cNvGraphicFramePr>
            <a:graphic>
              <a:graphicData uri="http://schemas.openxmlformats.org/drawingml/2006/picture">
                <pic:pic>
                  <pic:nvPicPr>
                    <pic:cNvPr id="0" name="e01b.png"/>
                    <pic:cNvPicPr/>
                  </pic:nvPicPr>
                  <pic:blipFill>
                    <a:blip r:embed="rId13"/>
                    <a:stretch>
                      <a:fillRect/>
                    </a:stretch>
                  </pic:blipFill>
                  <pic:spPr>
                    <a:xfrm>
                      <a:off x="0" y="0"/>
                      <a:ext cx="5400000" cy="2803032"/>
                    </a:xfrm>
                    <a:prstGeom prst="rect"/>
                  </pic:spPr>
                </pic:pic>
              </a:graphicData>
            </a:graphic>
          </wp:inline>
        </w:drawing>
      </w:r>
    </w:p>
    <w:p>
      <w:pPr>
        <w:spacing w:before="0" w:after="160"/>
        <w:jc w:val="center"/>
      </w:pPr>
      <w:r>
        <w:rPr>
          <w:rFonts w:ascii="Calibri" w:hAnsi="Calibri"/>
          <w:b w:val="0"/>
          <w:i/>
          <w:color w:val="595959"/>
          <w:sz w:val="18"/>
        </w:rPr>
        <w:t>Figura 1. Solicitud de presupuesto con la especificación técnica del modelo.</w:t>
      </w:r>
    </w:p>
    <w:p>
      <w:pPr>
        <w:keepNext/>
        <w:spacing w:before="160" w:after="80"/>
      </w:pPr>
      <w:r>
        <w:rPr>
          <w:rFonts w:ascii="Calibri" w:hAnsi="Calibri"/>
          <w:b/>
          <w:i w:val="0"/>
          <w:color w:val="1F3864"/>
          <w:sz w:val="22"/>
        </w:rPr>
        <w:t>3. Aprobación del descuento por otro usuario (RN-05)</w:t>
      </w:r>
    </w:p>
    <w:p>
      <w:pPr>
        <w:keepNext/>
        <w:jc w:val="center"/>
      </w:pPr>
      <w:r>
        <w:drawing>
          <wp:inline xmlns:a="http://schemas.openxmlformats.org/drawingml/2006/main" xmlns:pic="http://schemas.openxmlformats.org/drawingml/2006/picture">
            <wp:extent cx="5400000" cy="2912676"/>
            <wp:docPr id="51" name="Picture 51"/>
            <wp:cNvGraphicFramePr>
              <a:graphicFrameLocks noChangeAspect="1"/>
            </wp:cNvGraphicFramePr>
            <a:graphic>
              <a:graphicData uri="http://schemas.openxmlformats.org/drawingml/2006/picture">
                <pic:pic>
                  <pic:nvPicPr>
                    <pic:cNvPr id="0" name="e03b.png"/>
                    <pic:cNvPicPr/>
                  </pic:nvPicPr>
                  <pic:blipFill>
                    <a:blip r:embed="rId14"/>
                    <a:stretch>
                      <a:fillRect/>
                    </a:stretch>
                  </pic:blipFill>
                  <pic:spPr>
                    <a:xfrm>
                      <a:off x="0" y="0"/>
                      <a:ext cx="5400000" cy="2912676"/>
                    </a:xfrm>
                    <a:prstGeom prst="rect"/>
                  </pic:spPr>
                </pic:pic>
              </a:graphicData>
            </a:graphic>
          </wp:inline>
        </w:drawing>
      </w:r>
    </w:p>
    <w:p>
      <w:pPr>
        <w:spacing w:before="0" w:after="160"/>
        <w:jc w:val="center"/>
      </w:pPr>
      <w:r>
        <w:rPr>
          <w:rFonts w:ascii="Calibri" w:hAnsi="Calibri"/>
          <w:b w:val="0"/>
          <w:i/>
          <w:color w:val="595959"/>
          <w:sz w:val="18"/>
        </w:rPr>
        <w:t>Figura 2. Otro ejecutivo aprueba y emite (comercial2).</w:t>
      </w:r>
    </w:p>
    <w:p>
      <w:pPr>
        <w:keepNext/>
        <w:spacing w:before="160" w:after="80"/>
      </w:pPr>
      <w:r>
        <w:rPr>
          <w:rFonts w:ascii="Calibri" w:hAnsi="Calibri"/>
          <w:b/>
          <w:i w:val="0"/>
          <w:color w:val="1F3864"/>
          <w:sz w:val="22"/>
        </w:rPr>
        <w:t>5. Aceptación del cliente y orden de compra automática (RN-06)</w:t>
      </w:r>
    </w:p>
    <w:p>
      <w:pPr>
        <w:keepNext/>
        <w:jc w:val="center"/>
      </w:pPr>
      <w:r>
        <w:drawing>
          <wp:inline xmlns:a="http://schemas.openxmlformats.org/drawingml/2006/main" xmlns:pic="http://schemas.openxmlformats.org/drawingml/2006/picture">
            <wp:extent cx="5400000" cy="2814563"/>
            <wp:docPr id="52" name="Picture 52"/>
            <wp:cNvGraphicFramePr>
              <a:graphicFrameLocks noChangeAspect="1"/>
            </wp:cNvGraphicFramePr>
            <a:graphic>
              <a:graphicData uri="http://schemas.openxmlformats.org/drawingml/2006/picture">
                <pic:pic>
                  <pic:nvPicPr>
                    <pic:cNvPr id="0" name="e05a.png"/>
                    <pic:cNvPicPr/>
                  </pic:nvPicPr>
                  <pic:blipFill>
                    <a:blip r:embed="rId15"/>
                    <a:stretch>
                      <a:fillRect/>
                    </a:stretch>
                  </pic:blipFill>
                  <pic:spPr>
                    <a:xfrm>
                      <a:off x="0" y="0"/>
                      <a:ext cx="5400000" cy="2814563"/>
                    </a:xfrm>
                    <a:prstGeom prst="rect"/>
                  </pic:spPr>
                </pic:pic>
              </a:graphicData>
            </a:graphic>
          </wp:inline>
        </w:drawing>
      </w:r>
    </w:p>
    <w:p>
      <w:pPr>
        <w:spacing w:before="0" w:after="160"/>
        <w:jc w:val="center"/>
      </w:pPr>
      <w:r>
        <w:rPr>
          <w:rFonts w:ascii="Calibri" w:hAnsi="Calibri"/>
          <w:b w:val="0"/>
          <w:i/>
          <w:color w:val="595959"/>
          <w:sz w:val="18"/>
        </w:rPr>
        <w:t>Figura 3. Confirmación de la aceptación en el portal.</w:t>
      </w:r>
    </w:p>
    <w:p>
      <w:pPr>
        <w:keepNext/>
        <w:spacing w:before="160" w:after="80"/>
      </w:pPr>
      <w:r>
        <w:rPr>
          <w:rFonts w:ascii="Calibri" w:hAnsi="Calibri"/>
          <w:b/>
          <w:i w:val="0"/>
          <w:color w:val="1F3864"/>
          <w:sz w:val="22"/>
        </w:rPr>
        <w:t>6. Pago del anticipo con PayPal sandbox (RN-15)</w:t>
      </w:r>
    </w:p>
    <w:p>
      <w:pPr>
        <w:keepNext/>
        <w:jc w:val="center"/>
      </w:pPr>
      <w:r>
        <w:drawing>
          <wp:inline xmlns:a="http://schemas.openxmlformats.org/drawingml/2006/main" xmlns:pic="http://schemas.openxmlformats.org/drawingml/2006/picture">
            <wp:extent cx="5400000" cy="2804607"/>
            <wp:docPr id="53" name="Picture 53"/>
            <wp:cNvGraphicFramePr>
              <a:graphicFrameLocks noChangeAspect="1"/>
            </wp:cNvGraphicFramePr>
            <a:graphic>
              <a:graphicData uri="http://schemas.openxmlformats.org/drawingml/2006/picture">
                <pic:pic>
                  <pic:nvPicPr>
                    <pic:cNvPr id="0" name="e06b.png"/>
                    <pic:cNvPicPr/>
                  </pic:nvPicPr>
                  <pic:blipFill>
                    <a:blip r:embed="rId16"/>
                    <a:stretch>
                      <a:fillRect/>
                    </a:stretch>
                  </pic:blipFill>
                  <pic:spPr>
                    <a:xfrm>
                      <a:off x="0" y="0"/>
                      <a:ext cx="5400000" cy="2804607"/>
                    </a:xfrm>
                    <a:prstGeom prst="rect"/>
                  </pic:spPr>
                </pic:pic>
              </a:graphicData>
            </a:graphic>
          </wp:inline>
        </w:drawing>
      </w:r>
    </w:p>
    <w:p>
      <w:pPr>
        <w:spacing w:before="0" w:after="160"/>
        <w:jc w:val="center"/>
      </w:pPr>
      <w:r>
        <w:rPr>
          <w:rFonts w:ascii="Calibri" w:hAnsi="Calibri"/>
          <w:b w:val="0"/>
          <w:i/>
          <w:color w:val="595959"/>
          <w:sz w:val="18"/>
        </w:rPr>
        <w:t>Figura 4. Regreso desde PayPal con el pago registrado y su referencia.</w:t>
      </w:r>
    </w:p>
    <w:p>
      <w:pPr>
        <w:keepNext/>
        <w:spacing w:before="160" w:after="80"/>
      </w:pPr>
      <w:r>
        <w:rPr>
          <w:rFonts w:ascii="Calibri" w:hAnsi="Calibri"/>
          <w:b/>
          <w:i w:val="0"/>
          <w:color w:val="1F3864"/>
          <w:sz w:val="22"/>
        </w:rPr>
        <w:t>7. Orden de trabajo con tareas y responsables (producción)</w:t>
      </w:r>
    </w:p>
    <w:p>
      <w:pPr>
        <w:keepNext/>
        <w:jc w:val="center"/>
      </w:pPr>
      <w:r>
        <w:drawing>
          <wp:inline xmlns:a="http://schemas.openxmlformats.org/drawingml/2006/main" xmlns:pic="http://schemas.openxmlformats.org/drawingml/2006/picture">
            <wp:extent cx="5400000" cy="2911378"/>
            <wp:docPr id="54" name="Picture 54"/>
            <wp:cNvGraphicFramePr>
              <a:graphicFrameLocks noChangeAspect="1"/>
            </wp:cNvGraphicFramePr>
            <a:graphic>
              <a:graphicData uri="http://schemas.openxmlformats.org/drawingml/2006/picture">
                <pic:pic>
                  <pic:nvPicPr>
                    <pic:cNvPr id="0" name="e07.png"/>
                    <pic:cNvPicPr/>
                  </pic:nvPicPr>
                  <pic:blipFill>
                    <a:blip r:embed="rId17"/>
                    <a:stretch>
                      <a:fillRect/>
                    </a:stretch>
                  </pic:blipFill>
                  <pic:spPr>
                    <a:xfrm>
                      <a:off x="0" y="0"/>
                      <a:ext cx="5400000" cy="2911378"/>
                    </a:xfrm>
                    <a:prstGeom prst="rect"/>
                  </pic:spPr>
                </pic:pic>
              </a:graphicData>
            </a:graphic>
          </wp:inline>
        </w:drawing>
      </w:r>
    </w:p>
    <w:p>
      <w:pPr>
        <w:spacing w:before="0" w:after="160"/>
        <w:jc w:val="center"/>
      </w:pPr>
      <w:r>
        <w:rPr>
          <w:rFonts w:ascii="Calibri" w:hAnsi="Calibri"/>
          <w:b w:val="0"/>
          <w:i/>
          <w:color w:val="595959"/>
          <w:sz w:val="18"/>
        </w:rPr>
        <w:t>Figura 5. OT-2026-0005 en ejecución con sus tareas asignadas.</w:t>
      </w:r>
    </w:p>
    <w:p>
      <w:pPr>
        <w:keepNext/>
        <w:spacing w:before="160" w:after="80"/>
      </w:pPr>
      <w:r>
        <w:rPr>
          <w:rFonts w:ascii="Calibri" w:hAnsi="Calibri"/>
          <w:b/>
          <w:i w:val="0"/>
          <w:color w:val="1F3864"/>
          <w:sz w:val="22"/>
        </w:rPr>
        <w:t>8. Registro en taller y rechazo por stock insuficiente (RN-09)</w:t>
      </w:r>
    </w:p>
    <w:p>
      <w:pPr>
        <w:keepNext/>
        <w:jc w:val="center"/>
      </w:pPr>
      <w:r>
        <w:drawing>
          <wp:inline xmlns:a="http://schemas.openxmlformats.org/drawingml/2006/main" xmlns:pic="http://schemas.openxmlformats.org/drawingml/2006/picture">
            <wp:extent cx="5400000" cy="2908342"/>
            <wp:docPr id="55" name="Picture 55"/>
            <wp:cNvGraphicFramePr>
              <a:graphicFrameLocks noChangeAspect="1"/>
            </wp:cNvGraphicFramePr>
            <a:graphic>
              <a:graphicData uri="http://schemas.openxmlformats.org/drawingml/2006/picture">
                <pic:pic>
                  <pic:nvPicPr>
                    <pic:cNvPr id="0" name="e08b.png"/>
                    <pic:cNvPicPr/>
                  </pic:nvPicPr>
                  <pic:blipFill>
                    <a:blip r:embed="rId18"/>
                    <a:stretch>
                      <a:fillRect/>
                    </a:stretch>
                  </pic:blipFill>
                  <pic:spPr>
                    <a:xfrm>
                      <a:off x="0" y="0"/>
                      <a:ext cx="5400000" cy="2908342"/>
                    </a:xfrm>
                    <a:prstGeom prst="rect"/>
                  </pic:spPr>
                </pic:pic>
              </a:graphicData>
            </a:graphic>
          </wp:inline>
        </w:drawing>
      </w:r>
    </w:p>
    <w:p>
      <w:pPr>
        <w:spacing w:before="0" w:after="160"/>
        <w:jc w:val="center"/>
      </w:pPr>
      <w:r>
        <w:rPr>
          <w:rFonts w:ascii="Calibri" w:hAnsi="Calibri"/>
          <w:b w:val="0"/>
          <w:i/>
          <w:color w:val="595959"/>
          <w:sz w:val="18"/>
        </w:rPr>
        <w:t>Figura 6. Rechazo del consumo por stock insuficiente.</w:t>
      </w:r>
    </w:p>
    <w:p>
      <w:pPr>
        <w:keepNext/>
        <w:spacing w:before="160" w:after="80"/>
      </w:pPr>
      <w:r>
        <w:rPr>
          <w:rFonts w:ascii="Calibri" w:hAnsi="Calibri"/>
          <w:b/>
          <w:i w:val="0"/>
          <w:color w:val="1F3864"/>
          <w:sz w:val="22"/>
        </w:rPr>
        <w:t>9. Ensayo fuera de rango y no conformidad (RN-12)</w:t>
      </w:r>
    </w:p>
    <w:p>
      <w:pPr>
        <w:keepNext/>
        <w:jc w:val="center"/>
      </w:pPr>
      <w:r>
        <w:drawing>
          <wp:inline xmlns:a="http://schemas.openxmlformats.org/drawingml/2006/main" xmlns:pic="http://schemas.openxmlformats.org/drawingml/2006/picture">
            <wp:extent cx="5400000" cy="2910078"/>
            <wp:docPr id="56" name="Picture 56"/>
            <wp:cNvGraphicFramePr>
              <a:graphicFrameLocks noChangeAspect="1"/>
            </wp:cNvGraphicFramePr>
            <a:graphic>
              <a:graphicData uri="http://schemas.openxmlformats.org/drawingml/2006/picture">
                <pic:pic>
                  <pic:nvPicPr>
                    <pic:cNvPr id="0" name="e09a.png"/>
                    <pic:cNvPicPr/>
                  </pic:nvPicPr>
                  <pic:blipFill>
                    <a:blip r:embed="rId19"/>
                    <a:stretch>
                      <a:fillRect/>
                    </a:stretch>
                  </pic:blipFill>
                  <pic:spPr>
                    <a:xfrm>
                      <a:off x="0" y="0"/>
                      <a:ext cx="5400000" cy="2910078"/>
                    </a:xfrm>
                    <a:prstGeom prst="rect"/>
                  </pic:spPr>
                </pic:pic>
              </a:graphicData>
            </a:graphic>
          </wp:inline>
        </w:drawing>
      </w:r>
    </w:p>
    <w:p>
      <w:pPr>
        <w:spacing w:before="0" w:after="160"/>
        <w:jc w:val="center"/>
      </w:pPr>
      <w:r>
        <w:rPr>
          <w:rFonts w:ascii="Calibri" w:hAnsi="Calibri"/>
          <w:b w:val="0"/>
          <w:i/>
          <w:color w:val="595959"/>
          <w:sz w:val="18"/>
        </w:rPr>
        <w:t>Figura 7. Ensayos evaluados contra el rango del protocolo.</w:t>
      </w:r>
    </w:p>
    <w:p>
      <w:pPr>
        <w:keepNext/>
        <w:spacing w:before="160" w:after="80"/>
      </w:pPr>
      <w:r>
        <w:rPr>
          <w:rFonts w:ascii="Calibri" w:hAnsi="Calibri"/>
          <w:b/>
          <w:i w:val="0"/>
          <w:color w:val="1F3864"/>
          <w:sz w:val="22"/>
        </w:rPr>
        <w:t>10. Cierre de la OT y cobro del saldo (RN-14)</w:t>
      </w:r>
    </w:p>
    <w:p>
      <w:pPr>
        <w:keepNext/>
        <w:jc w:val="center"/>
      </w:pPr>
      <w:r>
        <w:drawing>
          <wp:inline xmlns:a="http://schemas.openxmlformats.org/drawingml/2006/main" xmlns:pic="http://schemas.openxmlformats.org/drawingml/2006/picture">
            <wp:extent cx="5400000" cy="2904225"/>
            <wp:docPr id="57" name="Picture 57"/>
            <wp:cNvGraphicFramePr>
              <a:graphicFrameLocks noChangeAspect="1"/>
            </wp:cNvGraphicFramePr>
            <a:graphic>
              <a:graphicData uri="http://schemas.openxmlformats.org/drawingml/2006/picture">
                <pic:pic>
                  <pic:nvPicPr>
                    <pic:cNvPr id="0" name="e10a.png"/>
                    <pic:cNvPicPr/>
                  </pic:nvPicPr>
                  <pic:blipFill>
                    <a:blip r:embed="rId20"/>
                    <a:stretch>
                      <a:fillRect/>
                    </a:stretch>
                  </pic:blipFill>
                  <pic:spPr>
                    <a:xfrm>
                      <a:off x="0" y="0"/>
                      <a:ext cx="5400000" cy="2904225"/>
                    </a:xfrm>
                    <a:prstGeom prst="rect"/>
                  </pic:spPr>
                </pic:pic>
              </a:graphicData>
            </a:graphic>
          </wp:inline>
        </w:drawing>
      </w:r>
    </w:p>
    <w:p>
      <w:pPr>
        <w:spacing w:before="0" w:after="160"/>
        <w:jc w:val="center"/>
      </w:pPr>
      <w:r>
        <w:rPr>
          <w:rFonts w:ascii="Calibri" w:hAnsi="Calibri"/>
          <w:b w:val="0"/>
          <w:i/>
          <w:color w:val="595959"/>
          <w:sz w:val="18"/>
        </w:rPr>
        <w:t>Figura 8. Cierre de la orden de trabajo con costo real y desviación.</w:t>
      </w:r>
    </w:p>
    <w:p>
      <w:pPr>
        <w:keepNext/>
        <w:spacing w:before="160" w:after="80"/>
      </w:pPr>
      <w:r>
        <w:rPr>
          <w:rFonts w:ascii="Calibri" w:hAnsi="Calibri"/>
          <w:b/>
          <w:i w:val="0"/>
          <w:color w:val="1F3864"/>
          <w:sz w:val="22"/>
        </w:rPr>
        <w:t>11. Entrega, kardex y auditoría</w:t>
      </w:r>
    </w:p>
    <w:p>
      <w:pPr>
        <w:keepNext/>
        <w:jc w:val="center"/>
      </w:pPr>
      <w:r>
        <w:drawing>
          <wp:inline xmlns:a="http://schemas.openxmlformats.org/drawingml/2006/main" xmlns:pic="http://schemas.openxmlformats.org/drawingml/2006/picture">
            <wp:extent cx="5400000" cy="2921358"/>
            <wp:docPr id="58" name="Picture 58"/>
            <wp:cNvGraphicFramePr>
              <a:graphicFrameLocks noChangeAspect="1"/>
            </wp:cNvGraphicFramePr>
            <a:graphic>
              <a:graphicData uri="http://schemas.openxmlformats.org/drawingml/2006/picture">
                <pic:pic>
                  <pic:nvPicPr>
                    <pic:cNvPr id="0" name="e11a.png"/>
                    <pic:cNvPicPr/>
                  </pic:nvPicPr>
                  <pic:blipFill>
                    <a:blip r:embed="rId21"/>
                    <a:stretch>
                      <a:fillRect/>
                    </a:stretch>
                  </pic:blipFill>
                  <pic:spPr>
                    <a:xfrm>
                      <a:off x="0" y="0"/>
                      <a:ext cx="5400000" cy="2921358"/>
                    </a:xfrm>
                    <a:prstGeom prst="rect"/>
                  </pic:spPr>
                </pic:pic>
              </a:graphicData>
            </a:graphic>
          </wp:inline>
        </w:drawing>
      </w:r>
    </w:p>
    <w:p>
      <w:pPr>
        <w:spacing w:before="0" w:after="160"/>
        <w:jc w:val="center"/>
      </w:pPr>
      <w:r>
        <w:rPr>
          <w:rFonts w:ascii="Calibri" w:hAnsi="Calibri"/>
          <w:b w:val="0"/>
          <w:i/>
          <w:color w:val="595959"/>
          <w:sz w:val="18"/>
        </w:rPr>
        <w:t>Figura 9. OC-2026-0007 entregada con anticipo y saldo pagados.</w:t>
      </w:r>
    </w:p>
    <w:p>
      <w:pPr>
        <w:keepNext/>
        <w:jc w:val="center"/>
      </w:pPr>
      <w:r>
        <w:drawing>
          <wp:inline xmlns:a="http://schemas.openxmlformats.org/drawingml/2006/main" xmlns:pic="http://schemas.openxmlformats.org/drawingml/2006/picture">
            <wp:extent cx="5400000" cy="2904013"/>
            <wp:docPr id="59" name="Picture 59"/>
            <wp:cNvGraphicFramePr>
              <a:graphicFrameLocks noChangeAspect="1"/>
            </wp:cNvGraphicFramePr>
            <a:graphic>
              <a:graphicData uri="http://schemas.openxmlformats.org/drawingml/2006/picture">
                <pic:pic>
                  <pic:nvPicPr>
                    <pic:cNvPr id="0" name="e11c.png"/>
                    <pic:cNvPicPr/>
                  </pic:nvPicPr>
                  <pic:blipFill>
                    <a:blip r:embed="rId22"/>
                    <a:stretch>
                      <a:fillRect/>
                    </a:stretch>
                  </pic:blipFill>
                  <pic:spPr>
                    <a:xfrm>
                      <a:off x="0" y="0"/>
                      <a:ext cx="5400000" cy="2904013"/>
                    </a:xfrm>
                    <a:prstGeom prst="rect"/>
                  </pic:spPr>
                </pic:pic>
              </a:graphicData>
            </a:graphic>
          </wp:inline>
        </w:drawing>
      </w:r>
    </w:p>
    <w:p>
      <w:pPr>
        <w:spacing w:before="0" w:after="160"/>
        <w:jc w:val="center"/>
      </w:pPr>
      <w:r>
        <w:rPr>
          <w:rFonts w:ascii="Calibri" w:hAnsi="Calibri"/>
          <w:b w:val="0"/>
          <w:i/>
          <w:color w:val="595959"/>
          <w:sz w:val="18"/>
        </w:rPr>
        <w:t>Figura 10. Bitácora de auditoría.</w:t>
      </w: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31069C" w14:textId="77777777" w:rsidR="005A0A7C" w:rsidRDefault="005A0A7C" w:rsidP="0003309E">
      <w:pPr>
        <w:spacing w:after="0" w:line="240" w:lineRule="auto"/>
      </w:pPr>
      <w:r>
        <w:separator/>
      </w:r>
    </w:p>
  </w:endnote>
  <w:endnote w:type="continuationSeparator" w:id="0">
    <w:p w14:paraId="69B8617C" w14:textId="77777777" w:rsidR="005A0A7C" w:rsidRDefault="005A0A7C"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21B8F5" w14:textId="77777777" w:rsidR="005A0A7C" w:rsidRDefault="005A0A7C" w:rsidP="0003309E">
      <w:pPr>
        <w:spacing w:after="0" w:line="240" w:lineRule="auto"/>
      </w:pPr>
      <w:r>
        <w:separator/>
      </w:r>
    </w:p>
  </w:footnote>
  <w:footnote w:type="continuationSeparator" w:id="0">
    <w:p w14:paraId="362472A8" w14:textId="77777777" w:rsidR="005A0A7C" w:rsidRDefault="005A0A7C"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purl.org/dc/terms/"/>
    <ds:schemaRef ds:uri="http://purl.org/dc/elements/1.1/"/>
    <ds:schemaRef ds:uri="http://schemas.openxmlformats.org/package/2006/metadata/core-properties"/>
    <ds:schemaRef ds:uri="http://www.w3.org/XML/1998/namespace"/>
    <ds:schemaRef ds:uri="http://schemas.microsoft.com/office/2006/metadata/properties"/>
    <ds:schemaRef ds:uri="http://schemas.microsoft.com/office/2006/documentManagement/types"/>
    <ds:schemaRef ds:uri="http://purl.org/dc/dcmitype/"/>
    <ds:schemaRef ds:uri="http://schemas.microsoft.com/office/infopath/2007/PartnerControls"/>
    <ds:schemaRef ds:uri="126e8a1c-9ea9-435a-ac89-d06c80d62e30"/>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538</Words>
  <Characters>2960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4</cp:revision>
  <dcterms:created xsi:type="dcterms:W3CDTF">2022-08-24T18:14:00Z</dcterms:created>
  <dcterms:modified xsi:type="dcterms:W3CDTF">2023-02-06T15:14:00Z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