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Guía3. Informe final Proyecto 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2OGTAvAMAAFgJAAAOAAAAZHJzL2Uyb0RvYy54bWy0Vm1v2zYQ/j6g/4Hg90aWYsuWEKVw3SYY kLVB06GfaYqyhFE8jqQjZ/9mv2V/bEfqxZmddUC7JoBMirzj3XPPc9TVm0MryaMwtgFV0PhiRolQ HMpG7Qr66+eb1ytKrGOqZBKUKOiTsPTN9aufrjqdiwRqkKUwBJ0om3e6oLVzOo8iy2vRMnsBWihc rMC0zOHU7KLSsA69tzJKZrM06sCU2gAX1uLbd/0ivQ7+q0pw97GqrHBEFhRjc+FpwnPrn9H1Fct3 hum64UMY7BuiaFmj8NDJ1TvmGNmb5sxV23ADFip3waGNoKoaLkIOmE08O8nm1sBeh1x2ebfTE0wI 7QlO3+yWf3i8N6QpC7q4pESxFmt0a/YaCM4RnE7vctxza/SDvjfDi10/8/keKtP6X8yEHAKsTxOs 4uAIx5dpcrlaLReUcFyLF2kSzwbgeY3VObPj9fvBcpFlcZKcW0bjwZGPbwqn00gie8TJfh9ODzXT IsBvPQYjThhOj9Nmz0oDpBTEYapAkh6wsNmjRdzhLWD+cWCG1XfAf7NEwaZmaifWxkBXC1ZilLG3 xFwmUw+8za13su1+gRKrwvYOgqMTyONZMk+XMSUIbpJl82WoG8tH9OdZmi4W8wH9JMX/ZThuxJDl 2lh3K6AlflBQg6oJJ7HHO+t8ZMctvtYKbhop8T3LpSJdQbMF1uhkpW0cCls2bUFXM//nz2S5T/i9 KsPYsUb2YzxAqgEBn3SfvjtsD7jRI7GF8gmxMNALGBsODmowf1DSoXgLan/fMyMokT8rxDOL53Ov 9jCZL5YJTszzle3zFaY4uiqoo6QfblzoEH1Ga8S9agIMx0iGWJFsfXw/nnXpyLpPWJ2//lS7vUSN pieUG+DqMTwW+GvqzLLL2IMVxDlfpats/n30sCCb0jPE4xcaudhIQx4ZtmDGuVCuF4Tct8js/v1i ZAgyYTIJxPuHN0+SZ/x7mTbWPUnh90n1SVTY21CCSaDn5Pk8GFsz1HGI8d9jCQ695wqzm3wP8vY3 1nmiWBCMctjvTUW4lCbj2dcC640ni3AyKDcZt40C85IDiRAPJ/f7R2310Bx5PCnKan7ToPrvmHX3 zOAdiJTwMvuIj0oCqhyGESVeeC+9/39lqfbtBpAz2NowujD0MnZyHFYG2i94/a99M8ClUcfcmXEy KJngBwQX63XYhhevZu5OPWg+9mbf9z4fvjCjhxboG/oHGC8Alp90wn6vr4eC/+wP4Y7C6zswYfjU 8N8Hz+ehPscPouu/AQAA//8DAFBLAwQUAAYACAAAACEAEPC1BeEAAAAJAQAADwAAAGRycy9kb3du cmV2LnhtbEyPT0vDQBTE74LfYXmCt3bzpy025qWUop6KYCuIt9fsaxKa3Q3ZbZJ+e9eTHocZZn6T bybdioF711iDEM8jEGxKqxpTIXweX2dPIJwno6i1hhFu7GBT3N/llCk7mg8eDr4SocS4jBBq77tM SlfWrMnNbccmeGfba/JB9pVUPY2hXLcyiaKV1NSYsFBTx7uay8vhqhHeRhq3afwy7C/n3e37uHz/ 2seM+PgwbZ9BeJ78Xxh+8QM6FIHpZK9GOdEizBbrRYgirMKl4K/TNAZxQkiWSQSyyOX/B8UPAAAA //8DAFBLAQItABQABgAIAAAAIQC2gziS/gAAAOEBAAATAAAAAAAAAAAAAAAAAAAAAABbQ29udGVu dF9UeXBlc10ueG1sUEsBAi0AFAAGAAgAAAAhADj9If/WAAAAlAEAAAsAAAAAAAAAAAAAAAAALwEA AF9yZWxzLy5yZWxzUEsBAi0AFAAGAAgAAAAhADY4ZMC8AwAAWAkAAA4AAAAAAAAAAAAAAAAALgIA AGRycy9lMm9Eb2MueG1sUEsBAi0AFAAGAAgAAAAhABDwtQXhAAAACQEAAA8AAAAAAAAAAAAAAAAA FgYAAGRycy9kb3ducmV2LnhtbFBLBQYAAAAABAAEAPMAAAAkBwAAAAA= ">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nc+hwgAAANsAAAAPAAAAZHJzL2Rvd25yZXYueG1sRI9Ba8JA FITvBf/D8gRvdddiikZXkYrgSalVwdsj+0yC2bchu5r4791CocdhZr5h5svOVuJBjS8daxgNFQji zJmScw3Hn837BIQPyAYrx6ThSR6Wi97bHFPjWv6mxyHkIkLYp6ihCKFOpfRZQRb90NXE0bu6xmKI ssmlabCNcFvJD6U+pcWS40KBNX0VlN0Od6vhtLtezmO1z9c2qVvXKcl2KrUe9LvVDESgLvyH/9pb oyFJ4PdL/AFy8QIAAP//AwBQSwECLQAUAAYACAAAACEA2+H2y+4AAACFAQAAEwAAAAAAAAAAAAAA AAAAAAAAW0NvbnRlbnRfVHlwZXNdLnhtbFBLAQItABQABgAIAAAAIQBa9CxbvwAAABUBAAALAAAA AAAAAAAAAAAAAB8BAABfcmVscy8ucmVsc1BLAQItABQABgAIAAAAIQDanc+hwgAAANsAAAAPAAAA AAAAAAAAAAAAAAcCAABkcnMvZG93bnJldi54bWxQSwUGAAAAAAMAAwC3AAAA9gIAAAAA "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Guía3. Informe final Proyecto 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yryVwQAAANsAAAAPAAAAZHJzL2Rvd25yZXYueG1sRI/BigIx EETvwv5D6AVvmllBkdEoqyB4Enb0A9qknczupDNMosa/3wiCx6KqXlHLdXKtuFEfGs8KvsYFCGLt TcO1gtNxN5qDCBHZYOuZFDwowHr1MVhiafydf+hWxVpkCIcSFdgYu1LKoC05DGPfEWfv4nuHMcu+ lqbHe4a7Vk6KYiYdNpwXLHa0taT/qqtT0F3SZK83u82jOs6v9vd8kEmTUsPP9L0AESnFd/jV3hsF 0xk8v+QfIFf/AAAA//8DAFBLAQItABQABgAIAAAAIQDb4fbL7gAAAIUBAAATAAAAAAAAAAAAAAAA AAAAAABbQ29udGVudF9UeXBlc10ueG1sUEsBAi0AFAAGAAgAAAAhAFr0LFu/AAAAFQEAAAsAAAAA AAAAAAAAAAAAHwEAAF9yZWxzLy5yZWxzUEsBAi0AFAAGAAgAAAAhAHLKvJXBAAAA2wAAAA8AAAAA AAAAAAAAAAAABwIAAGRycy9kb3ducmV2LnhtbFBLBQYAAAAAAwADALcAAAD1AgAAAAA= "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 xml:space="preserve">1. Informe final Proyecto APT</w:t>
            </w:r>
          </w:p>
        </w:tc>
      </w:tr>
      <w:tr w:rsidR="001202BF" w14:paraId="34B1D0B2" w14:textId="77777777" w:rsidTr="00D608E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Pr>
                <w:rFonts w:ascii="Calibri" w:hAnsi="Calibri"/>
                <w:color w:val="1F3864" w:themeColor="accent1" w:themeShade="80"/>
              </w:rPr>
              <w:t xml:space="preserve">El objetivo de este informe es que describas los aspectos más relevantes de tu Proyecto APT. Es importante que fundamentes las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Pr>
                <w:rFonts w:ascii="Calibri" w:hAnsi="Calibri"/>
                <w:color w:val="1F3864" w:themeColor="accent1" w:themeShade="80"/>
              </w:rPr>
              <w:t xml:space="preserve">A continuación, encontrarás distintos campos que deberás completar con la información solicitada, los que dan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E42375">
            <w:pPr>
              <w:spacing w:after="60"/>
              <w:jc w:val="left"/>
              <w:rPr>
                <w:b/>
              </w:rPr>
            </w:pPr>
            <w:r>
              <w:rPr>
                <w:rFonts w:ascii="Calibri" w:hAnsi="Calibri"/>
                <w:i w:val="0"/>
                <w:sz w:val="20"/>
              </w:rPr>
              <w:t>SITRAFO — Sistema Integral de Gestión Comercial y Productiva para Transformadores Eléctricos</w:t>
            </w:r>
          </w:p>
        </w:tc>
      </w:tr>
      <w:tr w:rsidR="00050706" w:rsidRPr="00B4008E" w14:paraId="0C90D500" w14:textId="77777777" w:rsidTr="00434472">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Pr>
                <w:rFonts w:ascii="Calibri" w:hAnsi="Calibri"/>
                <w:color w:val="1F3864" w:themeColor="accent1" w:themeShade="80"/>
              </w:rPr>
              <w:t>Área (s) de desempeño(s)</w:t>
            </w:r>
          </w:p>
        </w:tc>
        <w:tc>
          <w:tcPr>
            <w:tcW w:w="6622" w:type="dxa"/>
            <w:vAlign w:val="center"/>
          </w:tcPr>
          <w:p w14:paraId="2466888A" w14:textId="33BA552F" w:rsidR="00050706" w:rsidRPr="00B4008E" w:rsidRDefault="00050706" w:rsidP="00050706">
            <w:pPr>
              <w:spacing w:after="60"/>
              <w:jc w:val="left"/>
              <w:rPr>
                <w:b/>
              </w:rPr>
            </w:pPr>
            <w:r>
              <w:rPr>
                <w:rFonts w:ascii="Calibri" w:hAnsi="Calibri"/>
                <w:i w:val="0"/>
                <w:sz w:val="20"/>
              </w:rPr>
              <w:t>Desarrollo de software, gestión de proyectos informáticos, modelamiento y administración de bases de datos, y seguridad informática aplicada.</w:t>
            </w:r>
          </w:p>
        </w:tc>
      </w:tr>
      <w:tr w:rsidR="00050706" w:rsidRPr="00B4008E" w14:paraId="34A68B25" w14:textId="77777777" w:rsidTr="00434472">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spacing w:after="60"/>
              <w:ind w:left="160"/>
              <w:jc w:val="left"/>
              <w:rPr>
                <w:b/>
              </w:rPr>
            </w:pPr>
            <w:r>
              <w:rPr>
                <w:rFonts w:ascii="Calibri" w:hAnsi="Calibri"/>
                <w:i w:val="0"/>
                <w:sz w:val="20"/>
              </w:rPr>
              <w:t>• Gestionar proyectos informáticos, ofreciendo alternativas para la toma de decisiones de acuerdo a los requerimientos de la organización.</w:t>
            </w:r>
          </w:p>
          <w:p>
            <w:pPr>
              <w:spacing w:after="60"/>
              <w:ind w:left="160"/>
              <w:jc w:val="left"/>
            </w:pPr>
            <w:r>
              <w:rPr>
                <w:rFonts w:ascii="Calibri" w:hAnsi="Calibri"/>
                <w:i w:val="0"/>
                <w:sz w:val="20"/>
              </w:rPr>
              <w:t>• Construir modelos de datos para soportar los requerimientos de la organización de acuerdo a un diseño definido y escalable en el tiempo.</w:t>
            </w:r>
          </w:p>
          <w:p>
            <w:pPr>
              <w:spacing w:after="60"/>
              <w:ind w:left="160"/>
              <w:jc w:val="left"/>
            </w:pPr>
            <w:r>
              <w:rPr>
                <w:rFonts w:ascii="Calibri" w:hAnsi="Calibri"/>
                <w:i w:val="0"/>
                <w:sz w:val="20"/>
              </w:rPr>
              <w:t>• Desarrollar una solución de software utilizando técnicas que permitan sistematizar el proceso de desarrollo y mantenimiento, asegurando el logro de los objetivos.</w:t>
            </w:r>
          </w:p>
          <w:p>
            <w:pPr>
              <w:spacing w:after="60"/>
              <w:ind w:left="160"/>
              <w:jc w:val="left"/>
            </w:pPr>
            <w:r>
              <w:rPr>
                <w:rFonts w:ascii="Calibri" w:hAnsi="Calibri"/>
                <w:i w:val="0"/>
                <w:sz w:val="20"/>
              </w:rPr>
              <w:t>• Realizar pruebas de certificación tanto de los productos como de los procesos utilizando buenas prácticas definidas por la industria.</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Pr>
                <w:rFonts w:ascii="Calibri" w:hAnsi="Calibri"/>
                <w:b/>
                <w:color w:val="1F3864" w:themeColor="accent1" w:themeShade="80"/>
                <w:sz w:val="18"/>
              </w:rPr>
              <w:t>Contenidos del informe final</w:t>
            </w:r>
          </w:p>
        </w:tc>
      </w:tr>
      <w:tr w:rsidR="001202BF" w14:paraId="55DAFFA5" w14:textId="77777777" w:rsidTr="7EB51544">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t xml:space="preserve">1. </w:t>
            </w:r>
            <w:r>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spacing w:before="0" w:beforeAutospacing="0" w:after="60" w:afterAutospacing="0"/>
              <w:jc w:val="left"/>
              <w:textAlignment w:val="baseline"/>
              <w:rPr>
                <w:rFonts w:ascii="Segoe UI" w:hAnsi="Segoe UI" w:cs="Segoe UI"/>
                <w:color w:val="0070C0"/>
                <w:sz w:val="18"/>
                <w:szCs w:val="18"/>
              </w:rPr>
            </w:pPr>
            <w:r>
              <w:rPr>
                <w:rFonts w:ascii="Calibri" w:hAnsi="Calibri"/>
                <w:i w:val="0"/>
                <w:sz w:val="20"/>
              </w:rPr>
              <w:t>En las pymes chilenas fabricantes de transformadores eléctricos, la cadena comercial y productiva se gestiona con herramientas desconectadas: cotizaciones en planillas, órdenes de compra por correo y avance de fabricación en papel. Esto provoca falta de trazabilidad entre lo cotizado y lo fabricado, costeo impreciso (no se registran los materiales ni las horas reales), nula visibilidad del cliente sobre su pedido y controles de calidad que no quedan documentados.</w:t>
            </w:r>
          </w:p>
          <w:p>
            <w:pPr>
              <w:spacing w:after="60"/>
              <w:jc w:val="left"/>
            </w:pPr>
            <w:r>
              <w:rPr>
                <w:rFonts w:ascii="Calibri" w:hAnsi="Calibri"/>
                <w:i w:val="0"/>
                <w:sz w:val="20"/>
              </w:rPr>
              <w:t>El tema es relevante para la Ingeniería en Informática porque es un caso real de transformación digital en la industria manufacturera: un transformador no es un producto de catálogo, se fabrica a pedido según especificaciones técnicas (potencia, tensiones, refrigeración, grupo de conexión). Resolverlo exige integrar procesos, datos, seguridad y servicios externos, no solo construir una tienda en línea.</w:t>
            </w:r>
          </w:p>
          <w:p>
            <w:pPr>
              <w:spacing w:after="60"/>
              <w:jc w:val="left"/>
            </w:pPr>
            <w:r>
              <w:rPr>
                <w:rFonts w:ascii="Calibri" w:hAnsi="Calibri"/>
                <w:i w:val="0"/>
                <w:sz w:val="20"/>
              </w:rPr>
              <w:t>La situación impacta al área comercial, que cotiza sin conocer el costo real; al área de producción, que no registra consumos ni horas; al área de calidad, cuyos ensayos no quedan trazados; y a los clientes, empresas que no saben en qué estado está su pedido.</w:t>
            </w:r>
          </w:p>
          <w:p>
            <w:pPr>
              <w:spacing w:after="60"/>
              <w:jc w:val="left"/>
            </w:pPr>
            <w:r>
              <w:rPr>
                <w:rFonts w:ascii="Calibri" w:hAnsi="Calibri"/>
                <w:b/>
                <w:i w:val="0"/>
                <w:sz w:val="20"/>
              </w:rPr>
              <w:t>Aporte de valor (simulado):</w:t>
            </w:r>
            <w:r>
              <w:rPr>
                <w:rFonts w:ascii="Calibri" w:hAnsi="Calibri"/>
                <w:i w:val="0"/>
                <w:sz w:val="20"/>
              </w:rPr>
              <w:t xml:space="preserve"> SITRAFO conecta todo el ciclo en un solo sistema con trazabilidad completa: cada documento guarda su historial de estados con responsable y fecha; el costeo se calcula desde la receta del modelo y se compara con el costo real registrado en taller; el cliente sigue su pedido y paga en línea; y la orden no se cierra sin la aprobación de calidad.</w:t>
            </w:r>
          </w:p>
        </w:tc>
      </w:tr>
      <w:tr w:rsidR="001202BF" w14:paraId="69DA8CAD" w14:textId="77777777" w:rsidTr="7EB51544">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t xml:space="preserve">2. Objetivos </w:t>
            </w:r>
          </w:p>
        </w:tc>
        <w:tc>
          <w:tcPr>
            <w:tcW w:w="6780" w:type="dxa"/>
            <w:vAlign w:val="center"/>
          </w:tcPr>
          <w:p w14:paraId="62E9D30F" w14:textId="77777777" w:rsidR="001202BF" w:rsidRPr="00B340E1" w:rsidRDefault="001202BF" w:rsidP="001202BF">
            <w:pPr>
              <w:spacing w:after="60" w:line="240" w:lineRule="auto"/>
              <w:jc w:val="left"/>
              <w:rPr>
                <w:rFonts w:ascii="Calibri" w:hAnsi="Calibri" w:cs="Arial"/>
                <w:i/>
                <w:color w:val="0070C0"/>
                <w:sz w:val="18"/>
                <w:szCs w:val="20"/>
                <w:lang w:eastAsia="es-CL"/>
              </w:rPr>
            </w:pPr>
            <w:r>
              <w:rPr>
                <w:rFonts w:ascii="Calibri" w:hAnsi="Calibri"/>
                <w:b/>
                <w:i w:val="0"/>
                <w:sz w:val="20"/>
              </w:rPr>
              <w:t>Objetivo general:</w:t>
            </w:r>
            <w:r>
              <w:rPr>
                <w:rFonts w:ascii="Calibri" w:hAnsi="Calibri"/>
                <w:i w:val="0"/>
                <w:sz w:val="20"/>
              </w:rPr>
              <w:t xml:space="preserve"> Desarrollar SITRAFO, un sistema integral de gestión comercial y productiva para una empresa fabricante de transformadores eléctricos, que integre catálogo, cotización, orden de compra, orden de trabajo, control de calidad, inventario y pago en línea sobre una arquitectura de tres componentes (API REST, aplicación de escritorio y aplicación web), aplicando la metodología Scrum durante las 18 semanas de la asignatura Capstone.</w:t>
            </w:r>
          </w:p>
          <w:p>
            <w:pPr>
              <w:spacing w:after="60"/>
              <w:jc w:val="left"/>
            </w:pPr>
            <w:r>
              <w:rPr>
                <w:rFonts w:ascii="Calibri" w:hAnsi="Calibri"/>
                <w:b/>
                <w:i w:val="0"/>
                <w:sz w:val="20"/>
              </w:rPr>
              <w:t>Objetivos específicos y resultado:</w:t>
            </w:r>
          </w:p>
          <w:p>
            <w:pPr>
              <w:spacing w:after="60"/>
              <w:ind w:left="160"/>
              <w:jc w:val="left"/>
            </w:pPr>
            <w:r>
              <w:rPr>
                <w:rFonts w:ascii="Calibri" w:hAnsi="Calibri"/>
                <w:i w:val="0"/>
                <w:sz w:val="20"/>
              </w:rPr>
              <w:t>• OE1. Levantar y documentar requerimientos y reglas de negocio. Cumplido: ERS-01 y CU-01.</w:t>
            </w:r>
          </w:p>
          <w:p>
            <w:pPr>
              <w:spacing w:after="60"/>
              <w:ind w:left="160"/>
              <w:jc w:val="left"/>
            </w:pPr>
            <w:r>
              <w:rPr>
                <w:rFonts w:ascii="Calibri" w:hAnsi="Calibri"/>
                <w:i w:val="0"/>
                <w:sz w:val="20"/>
              </w:rPr>
              <w:t>• OE2. Diseñar un modelo de datos normalizado de al menos 30 tablas. Cumplido: 54 tablas.</w:t>
            </w:r>
          </w:p>
          <w:p>
            <w:pPr>
              <w:spacing w:after="60"/>
              <w:ind w:left="160"/>
              <w:jc w:val="left"/>
            </w:pPr>
            <w:r>
              <w:rPr>
                <w:rFonts w:ascii="Calibri" w:hAnsi="Calibri"/>
                <w:i w:val="0"/>
                <w:sz w:val="20"/>
              </w:rPr>
              <w:t>• OE3. Implementar una API REST como único punto de acceso a los datos. Cumplido.</w:t>
            </w:r>
          </w:p>
          <w:p>
            <w:pPr>
              <w:spacing w:after="60"/>
              <w:ind w:left="160"/>
              <w:jc w:val="left"/>
            </w:pPr>
            <w:r>
              <w:rPr>
                <w:rFonts w:ascii="Calibri" w:hAnsi="Calibri"/>
                <w:i w:val="0"/>
                <w:sz w:val="20"/>
              </w:rPr>
              <w:t>• OE4. Desarrollar la aplicación de escritorio que administra la operación interna consumiendo solo la API. Cumplido.</w:t>
            </w:r>
          </w:p>
          <w:p>
            <w:pPr>
              <w:spacing w:after="60"/>
              <w:ind w:left="160"/>
              <w:jc w:val="left"/>
            </w:pPr>
            <w:r>
              <w:rPr>
                <w:rFonts w:ascii="Calibri" w:hAnsi="Calibri"/>
                <w:i w:val="0"/>
                <w:sz w:val="20"/>
              </w:rPr>
              <w:t>• OE5. Desarrollar la aplicación web para clientes con pago en línea. Cumplido.</w:t>
            </w:r>
          </w:p>
          <w:p>
            <w:pPr>
              <w:spacing w:after="60"/>
              <w:ind w:left="160"/>
              <w:jc w:val="left"/>
            </w:pPr>
            <w:r>
              <w:rPr>
                <w:rFonts w:ascii="Calibri" w:hAnsi="Calibri"/>
                <w:i w:val="0"/>
                <w:sz w:val="20"/>
              </w:rPr>
              <w:t>• OE6. Integrar entre 4 y 5 APIs externas. Cumplido: 5 integraciones.</w:t>
            </w:r>
          </w:p>
          <w:p>
            <w:pPr>
              <w:spacing w:after="60"/>
              <w:ind w:left="160"/>
              <w:jc w:val="left"/>
            </w:pPr>
            <w:r>
              <w:rPr>
                <w:rFonts w:ascii="Calibri" w:hAnsi="Calibri"/>
                <w:i w:val="0"/>
                <w:sz w:val="20"/>
              </w:rPr>
              <w:t>• OE7. Aplicar Scrum con evidencia de sprints, backlog y contribución individual. Cumplido con ajustes en la distribución del trabajo (ver Desarrollo).</w:t>
            </w:r>
          </w:p>
          <w:p>
            <w:pPr>
              <w:spacing w:after="60"/>
              <w:ind w:left="160"/>
              <w:jc w:val="left"/>
            </w:pPr>
            <w:r>
              <w:rPr>
                <w:rFonts w:ascii="Calibri" w:hAnsi="Calibri"/>
                <w:i w:val="0"/>
                <w:sz w:val="20"/>
              </w:rPr>
              <w:t xml:space="preserve">• OE8. Verificar la calidad del software y desplegar en producción. Cumplido en pruebas, integración continua y despliegue: 236 pruebas automatizadas con 92 % de cobertura, CI en GitHub Actions y sistema en producción en Render (https://sitrafo.onrender.com). El análisis OWASP ZAP, la prueba de carga y las pruebas con Selenium sobre el sistema desplegado están a cargo de Milko Soto, con plazo el 14-10-2026; sus resultados se incorporan a este informe al recibirlos.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spacing w:after="60" w:line="240" w:lineRule="auto"/>
              <w:jc w:val="left"/>
              <w:rPr>
                <w:rFonts w:ascii="Calibri" w:hAnsi="Calibri" w:cs="Arial"/>
                <w:i/>
                <w:color w:val="0070C0"/>
                <w:sz w:val="18"/>
                <w:szCs w:val="20"/>
                <w:lang w:eastAsia="es-CL"/>
              </w:rPr>
            </w:pPr>
            <w:r>
              <w:rPr>
                <w:rFonts w:ascii="Calibri" w:hAnsi="Calibri"/>
                <w:i w:val="0"/>
                <w:sz w:val="20"/>
              </w:rPr>
              <w:t>Se aplicó Scrum desde la Fase 1 hasta el cierre. Benjamín Delgado actuó como líder de proyecto y Product Owner, Camila Olivares como Scrum Master y Milko Soto como responsable de calidad. Los artefactos fueron el product backlog de 14 historias de usuario con criterios de aceptación, el sprint backlog, el burndown, la definición de terminado y los incrementos funcionales, con commits referenciados a las historias.</w:t>
            </w:r>
          </w:p>
          <w:p>
            <w:pPr>
              <w:spacing w:after="60"/>
              <w:jc w:val="left"/>
            </w:pPr>
            <w:r>
              <w:rPr>
                <w:rFonts w:ascii="Calibri" w:hAnsi="Calibri"/>
                <w:b/>
                <w:i w:val="0"/>
                <w:sz w:val="20"/>
              </w:rPr>
              <w:t>Fases y procedimientos:</w:t>
            </w:r>
          </w:p>
          <w:p>
            <w:pPr>
              <w:spacing w:after="60"/>
              <w:ind w:left="160"/>
              <w:jc w:val="left"/>
            </w:pPr>
            <w:r>
              <w:rPr>
                <w:rFonts w:ascii="Calibri" w:hAnsi="Calibri"/>
                <w:i w:val="0"/>
                <w:sz w:val="20"/>
              </w:rPr>
              <w:t>• Análisis y diseño (S1-S6): ERS-01, CU-01, MER-01 y arquitectura de tres componentes sobre un backend común, con la regla de que el escritorio accede a los datos solo vía API.</w:t>
            </w:r>
          </w:p>
          <w:p>
            <w:pPr>
              <w:spacing w:after="60"/>
              <w:ind w:left="160"/>
              <w:jc w:val="left"/>
            </w:pPr>
            <w:r>
              <w:rPr>
                <w:rFonts w:ascii="Calibri" w:hAnsi="Calibri"/>
                <w:i w:val="0"/>
                <w:sz w:val="20"/>
              </w:rPr>
              <w:t>• Desarrollo incremental (S7-S14): sprints de catálogo y cotización, órdenes de compra y de trabajo, e inventario, calidad, pagos e integraciones; la aplicación de escritorio en paralelo. Cada incremento se verificó con Docker y pruebas automatizadas.</w:t>
            </w:r>
          </w:p>
          <w:p>
            <w:pPr>
              <w:spacing w:after="60"/>
              <w:ind w:left="160"/>
              <w:jc w:val="left"/>
            </w:pPr>
            <w:r>
              <w:rPr>
                <w:rFonts w:ascii="Calibri" w:hAnsi="Calibri"/>
                <w:i w:val="0"/>
                <w:sz w:val="20"/>
              </w:rPr>
              <w:t>• Verificación y despliegue (S14-S15): integración continua en GitHub Actions (ruff, migraciones y pruebas con cobertura mínima), prueba de carga, análisis de seguridad y despliegue en Render.</w:t>
            </w:r>
          </w:p>
          <w:p>
            <w:pPr>
              <w:spacing w:after="60"/>
              <w:jc w:val="left"/>
            </w:pPr>
            <w:r>
              <w:rPr>
                <w:rFonts w:ascii="Calibri" w:hAnsi="Calibri"/>
                <w:b/>
                <w:i w:val="0"/>
                <w:sz w:val="20"/>
              </w:rPr>
              <w:t>Pertinencia:</w:t>
            </w:r>
            <w:r>
              <w:rPr>
                <w:rFonts w:ascii="Calibri" w:hAnsi="Calibri"/>
                <w:i w:val="0"/>
                <w:sz w:val="20"/>
              </w:rPr>
              <w:t xml:space="preserve"> Scrum permitió entregar valor en incrementos verificables y repriorizar el backlog ante imprevistos (el cambio de proveedor de feriados o la redistribución del equipo) sin perder de vista el objetivo general. La trazabilidad commit-historia-prueba permitió demostrar el cumplimiento de cada requisito.</w:t>
            </w:r>
          </w:p>
        </w:tc>
      </w:tr>
      <w:tr w:rsidR="001202BF" w14:paraId="76BFA255" w14:textId="77777777" w:rsidTr="7EB51544">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spacing w:after="60" w:line="240" w:lineRule="auto"/>
              <w:jc w:val="left"/>
              <w:rPr>
                <w:rFonts w:ascii="Calibri" w:hAnsi="Calibri" w:cs="Arial"/>
                <w:i/>
                <w:color w:val="0070C0"/>
                <w:sz w:val="18"/>
                <w:szCs w:val="20"/>
                <w:lang w:eastAsia="es-CL"/>
              </w:rPr>
            </w:pPr>
            <w:r>
              <w:rPr>
                <w:rFonts w:ascii="Calibri" w:hAnsi="Calibri"/>
                <w:b/>
                <w:i w:val="0"/>
                <w:sz w:val="20"/>
              </w:rPr>
              <w:t>Etapas y actividades:</w:t>
            </w:r>
          </w:p>
          <w:p>
            <w:pPr>
              <w:spacing w:after="60"/>
              <w:ind w:left="160"/>
              <w:jc w:val="left"/>
            </w:pPr>
            <w:r>
              <w:rPr>
                <w:rFonts w:ascii="Calibri" w:hAnsi="Calibri"/>
                <w:i w:val="0"/>
                <w:sz w:val="20"/>
              </w:rPr>
              <w:t>• Modelo de datos de 54 tablas con historial de estados por documento, precios, tarifas y protocolos versionados, y stock calculado desde los movimientos.</w:t>
            </w:r>
          </w:p>
          <w:p>
            <w:pPr>
              <w:spacing w:after="60"/>
              <w:ind w:left="160"/>
              <w:jc w:val="left"/>
            </w:pPr>
            <w:r>
              <w:rPr>
                <w:rFonts w:ascii="Calibri" w:hAnsi="Calibri"/>
                <w:i w:val="0"/>
                <w:sz w:val="20"/>
              </w:rPr>
              <w:t>• API REST con autenticación JWT, matriz de permisos por rol (6 roles) con denegación por defecto y auditoría de cambios y accesos denegados.</w:t>
            </w:r>
          </w:p>
          <w:p>
            <w:pPr>
              <w:spacing w:after="60"/>
              <w:ind w:left="160"/>
              <w:jc w:val="left"/>
            </w:pPr>
            <w:r>
              <w:rPr>
                <w:rFonts w:ascii="Calibri" w:hAnsi="Calibri"/>
                <w:i w:val="0"/>
                <w:sz w:val="20"/>
              </w:rPr>
              <w:t>• Proceso comercial: catálogo con receta de materiales y tareas, costeo automático, cotizaciones con varias líneas, versiones, aprobación de descuentos por un segundo ejecutivo, PDF adjunto por correo, orden de compra generada automáticamente al aceptar la cotización y confirmada al pagarse el anticipo, anticipo y saldo con PayPal.</w:t>
            </w:r>
          </w:p>
          <w:p>
            <w:pPr>
              <w:spacing w:after="60"/>
              <w:ind w:left="160"/>
              <w:jc w:val="left"/>
            </w:pPr>
            <w:r>
              <w:rPr>
                <w:rFonts w:ascii="Calibri" w:hAnsi="Calibri"/>
                <w:i w:val="0"/>
                <w:sz w:val="20"/>
              </w:rPr>
              <w:t xml:space="preserve">• Proceso productivo: órdenes de trabajo generadas automáticamente al pagarse el anticipo, registro de horas valorizadas con tarifa vigente (con anulación auditada), consumo con descuento de stock, vista de taller para el operario, costo real contra estimado y cierre solo después de que el inspector aprueba el control y libera la orden.</w:t>
            </w:r>
          </w:p>
          <w:p>
            <w:pPr>
              <w:spacing w:after="60"/>
              <w:ind w:left="160"/>
              <w:jc w:val="left"/>
            </w:pPr>
            <w:r>
              <w:rPr>
                <w:rFonts w:ascii="Calibri" w:hAnsi="Calibri"/>
                <w:i w:val="0"/>
                <w:sz w:val="20"/>
              </w:rPr>
              <w:t>• Calidad e inventario: protocolos versionados, conformidad calculada por el sistema, no conformidades con acción correctiva, recepciones, ajustes, devoluciones, kardex y valorización a costo promedio.</w:t>
            </w:r>
          </w:p>
          <w:p>
            <w:pPr>
              <w:spacing w:after="60"/>
              <w:ind w:left="160"/>
              <w:jc w:val="left"/>
            </w:pPr>
            <w:r>
              <w:rPr>
                <w:rFonts w:ascii="Calibri" w:hAnsi="Calibri"/>
                <w:i w:val="0"/>
                <w:sz w:val="20"/>
              </w:rPr>
              <w:t>• Integraciones: mindicador.cl, Nager.Date, PayPal Sandbox, Brevo y Nominatim, con reintentos, registro de cada llamada y degradación controlada.</w:t>
            </w:r>
          </w:p>
          <w:p>
            <w:pPr>
              <w:spacing w:after="60"/>
              <w:ind w:left="160"/>
              <w:jc w:val="left"/>
            </w:pPr>
            <w:r>
              <w:rPr>
                <w:rFonts w:ascii="Calibri" w:hAnsi="Calibri"/>
                <w:i w:val="0"/>
                <w:sz w:val="20"/>
              </w:rPr>
              <w:t xml:space="preserve">• Coordinación entre roles: avisos por correo a quien debe actuar (solicitud nueva, cotización por aprobar o resuelta, orden lista para producción, orden en calidad, no conformidad, orden liberada y saldo pagado) y bandeja de pendientes por rol en la aplicación de escritorio.</w:t>
            </w:r>
          </w:p>
          <w:p>
            <w:pPr>
              <w:spacing w:after="60"/>
              <w:ind w:left="160"/>
              <w:jc w:val="left"/>
            </w:pPr>
            <w:r>
              <w:rPr>
                <w:rFonts w:ascii="Calibri" w:hAnsi="Calibri"/>
                <w:i w:val="0"/>
                <w:sz w:val="20"/>
              </w:rPr>
              <w:t xml:space="preserve">• Administración: parámetros de negocio editables con validación de rango, especificación técnica configurable (rangos y valores por parámetro), mantención de familias, bodegas y contactos con desactivación en lugar de borrado, y perfil del cliente en la web.</w:t>
            </w:r>
          </w:p>
          <w:p>
            <w:pPr>
              <w:spacing w:after="60"/>
              <w:ind w:left="160"/>
              <w:jc w:val="left"/>
            </w:pPr>
            <w:r>
              <w:rPr>
                <w:rFonts w:ascii="Calibri" w:hAnsi="Calibri"/>
                <w:i w:val="0"/>
                <w:sz w:val="20"/>
              </w:rPr>
              <w:t xml:space="preserve">• Calidad del software: 236 pruebas automatizadas con 92 % de cobertura e integración continua; reportes exportables a Excel y PDF; despliegue en producción en Render (https://sitrafo.onrender.com).</w:t>
            </w:r>
          </w:p>
          <w:p>
            <w:pPr>
              <w:spacing w:after="60"/>
              <w:jc w:val="left"/>
            </w:pPr>
            <w:r>
              <w:rPr>
                <w:rFonts w:ascii="Calibri" w:hAnsi="Calibri"/>
                <w:b/>
                <w:i w:val="0"/>
                <w:sz w:val="20"/>
              </w:rPr>
              <w:t>Facilitadores:</w:t>
            </w:r>
            <w:r>
              <w:rPr>
                <w:rFonts w:ascii="Calibri" w:hAnsi="Calibri"/>
                <w:i w:val="0"/>
                <w:sz w:val="20"/>
              </w:rPr>
              <w:t xml:space="preserve"> la definición completa de la Fase 1, el uso de Docker y de integración continua, y el apoyo de un asistente de inteligencia artificial (Claude) para la generación y revisión de código, la depuración y la documentación, siempre con revisión, prueba y decisión final propias.</w:t>
            </w:r>
          </w:p>
          <w:p>
            <w:pPr>
              <w:spacing w:after="60"/>
              <w:jc w:val="left"/>
            </w:pPr>
            <w:r>
              <w:rPr>
                <w:rFonts w:ascii="Calibri" w:hAnsi="Calibri"/>
                <w:b/>
                <w:i w:val="0"/>
                <w:sz w:val="20"/>
              </w:rPr>
              <w:t>Dificultades:</w:t>
            </w:r>
            <w:r>
              <w:rPr>
                <w:rFonts w:ascii="Calibri" w:hAnsi="Calibri"/>
                <w:i w:val="0"/>
                <w:sz w:val="20"/>
              </w:rPr>
              <w:t xml:space="preserve"> la API de feriados del Estado fue descontinuada durante el proyecto; PayPal no opera en pesos chilenos; y la baja disponibilidad del resto del equipo concentró el desarrollo en el líder técnico.</w:t>
            </w:r>
          </w:p>
          <w:p>
            <w:pPr>
              <w:spacing w:after="60"/>
              <w:jc w:val="left"/>
            </w:pPr>
            <w:r>
              <w:rPr>
                <w:rFonts w:ascii="Calibri" w:hAnsi="Calibri"/>
                <w:b/>
                <w:i w:val="0"/>
                <w:sz w:val="20"/>
              </w:rPr>
              <w:t>Ajustes realizados:</w:t>
            </w:r>
            <w:r>
              <w:rPr>
                <w:rFonts w:ascii="Calibri" w:hAnsi="Calibri"/>
                <w:i w:val="0"/>
                <w:sz w:val="20"/>
              </w:rPr>
              <w:t xml:space="preserve"> se migró a Nager.Date con un cliente tolerante a cambios de proveedor; el cobro se realiza en dólares con el dólar observado y conciliación del monto; el desarrollo de los tres sprints quedó a cargo de Benjamín Delgado, mientras Camila Olivares asumió la documentación Scrum, las evidencias y el manual de usuario, y Milko Soto la verificación de seguridad, la prueba de carga y las pruebas de interfaz; htmx se eliminó por no ser necesario; y el requisito de caducidad periódica de contraseñas se difirió con justificación (NIST SP 800-63B). Además, tras la verificación del flujo se automatizó la orden de compra: se genera al aceptar la cotización y se confirma al pagarse el anticipo, manteniendo la confirmación manual como respaldo solo con el anticipo pagado. Al cierre de este informe, las tareas de Camila Olivares y Milko Soto se encuentran en ejecución.</w:t>
            </w:r>
          </w:p>
        </w:tc>
      </w:tr>
      <w:tr w:rsidR="001202BF" w14:paraId="2F172176" w14:textId="77777777" w:rsidTr="7EB51544">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spacing w:after="60" w:line="240" w:lineRule="auto"/>
              <w:ind w:left="160"/>
              <w:jc w:val="left"/>
              <w:rPr>
                <w:rFonts w:ascii="Calibri" w:hAnsi="Calibri" w:cs="Arial"/>
                <w:i/>
                <w:iCs/>
                <w:color w:val="0070C0"/>
                <w:sz w:val="18"/>
                <w:szCs w:val="20"/>
                <w:lang w:eastAsia="es-CL"/>
              </w:rPr>
            </w:pPr>
            <w:r>
              <w:rPr>
                <w:rFonts w:ascii="Calibri" w:hAnsi="Calibri"/>
                <w:i w:val="0"/>
                <w:sz w:val="20"/>
              </w:rPr>
              <w:t>• Repositorio GitHub: github.com/benjamindelgado-dev/SITRAFO, con el código de los tres componentes y el historial de commits de cada integrante.</w:t>
            </w:r>
          </w:p>
          <w:p>
            <w:pPr>
              <w:spacing w:after="60"/>
              <w:ind w:left="160"/>
              <w:jc w:val="left"/>
            </w:pPr>
            <w:r>
              <w:rPr>
                <w:rFonts w:ascii="Calibri" w:hAnsi="Calibri"/>
                <w:i w:val="0"/>
                <w:sz w:val="20"/>
              </w:rPr>
              <w:t>• Integración continua: ejecuciones de GitHub Actions en verde y reporte de cobertura.</w:t>
            </w:r>
          </w:p>
          <w:p>
            <w:pPr>
              <w:spacing w:after="60"/>
              <w:ind w:left="160"/>
              <w:jc w:val="left"/>
            </w:pPr>
            <w:r>
              <w:rPr>
                <w:rFonts w:ascii="Calibri" w:hAnsi="Calibri"/>
                <w:i w:val="0"/>
                <w:sz w:val="20"/>
              </w:rPr>
              <w:t>• Sistema desplegado: https://sitrafo.onrender.com, con cuentas por rol (las credenciales se entregan al docente por separado y no se publican).</w:t>
            </w:r>
          </w:p>
          <w:p>
            <w:pPr>
              <w:spacing w:after="60"/>
              <w:ind w:left="160"/>
              <w:jc w:val="left"/>
            </w:pPr>
            <w:r>
              <w:rPr>
                <w:rFonts w:ascii="Calibri" w:hAnsi="Calibri"/>
                <w:i w:val="0"/>
                <w:sz w:val="20"/>
              </w:rPr>
              <w:t xml:space="preserve">• Documentos de análisis y diseño: ERS-01 (con matriz de trazabilidad), CU-01 v2.2 (84 casos de uso en 10 paquetes, con su estado de implementación), MER-01 v2.1 (54 tablas, diccionario y modelo de clases), SEC-01 v1.1 (diagramas de secuencia), ARQ-01 v1.1 (componentes, despliegue, estados y actividad) y MOC-01 v1.1 (mockup de interfaces con las pantallas implementadas de la web y del escritorio).</w:t>
            </w:r>
          </w:p>
          <w:p>
            <w:pPr>
              <w:spacing w:after="60"/>
              <w:ind w:left="160"/>
              <w:jc w:val="left"/>
            </w:pPr>
            <w:r>
              <w:rPr>
                <w:rFonts w:ascii="Calibri" w:hAnsi="Calibri"/>
                <w:i w:val="0"/>
                <w:sz w:val="20"/>
              </w:rPr>
              <w:t>• Documentos de inicio y metodología: Acta de Constitución, Documento de Épicas e Historias de Usuario y MET-01 (aplicación de Scrum en el proyecto).</w:t>
            </w:r>
          </w:p>
          <w:p>
            <w:pPr>
              <w:spacing w:after="60"/>
              <w:ind w:left="160"/>
              <w:jc w:val="left"/>
            </w:pPr>
            <w:r>
              <w:rPr>
                <w:rFonts w:ascii="Calibri" w:hAnsi="Calibri"/>
                <w:i w:val="0"/>
                <w:sz w:val="20"/>
              </w:rPr>
              <w:t xml:space="preserve">• Recorrido del proceso completo verificado sobre el sistema desplegado y documentado en EVI-01 v1.3 (13 evidencias con capturas de la web, la aplicación de escritorio y los correos, incluida la aprobación de calidad, la bandeja de pendientes y los avisos entre roles); las capturas principales se incluyen en el Anexo de este informe.</w:t>
            </w:r>
          </w:p>
          <w:p>
            <w:pPr>
              <w:spacing w:after="60"/>
              <w:ind w:left="160"/>
              <w:jc w:val="left"/>
            </w:pPr>
            <w:r>
              <w:rPr>
                <w:rFonts w:ascii="Calibri" w:hAnsi="Calibri"/>
                <w:i w:val="0"/>
                <w:sz w:val="20"/>
              </w:rPr>
              <w:t xml:space="preserve">• Evidencia de base de datos: esquema DDL, datos de demostración con dos pedidos recorridos por el sistema y diccionario de datos, verificados restaurándolos en una base vacía.</w:t>
            </w:r>
          </w:p>
          <w:p>
            <w:pPr>
              <w:spacing w:after="60"/>
              <w:ind w:left="160"/>
              <w:jc w:val="left"/>
            </w:pPr>
            <w:r>
              <w:rPr>
                <w:rFonts w:ascii="Calibri" w:hAnsi="Calibri"/>
                <w:i w:val="0"/>
                <w:sz w:val="20"/>
              </w:rPr>
              <w:t>• Product backlog, sprint backlog y burndown (a cargo de Camila Olivares).</w:t>
            </w:r>
          </w:p>
          <w:p>
            <w:pPr>
              <w:spacing w:after="60"/>
              <w:ind w:left="160"/>
              <w:jc w:val="left"/>
            </w:pPr>
            <w:r>
              <w:rPr>
                <w:rFonts w:ascii="Calibri" w:hAnsi="Calibri"/>
                <w:i w:val="0"/>
                <w:sz w:val="20"/>
              </w:rPr>
              <w:t>• Reporte de análisis OWASP ZAP y de prueba de carga sobre el sistema desplegado (a cargo de Milko Soto).</w:t>
            </w:r>
          </w:p>
          <w:p>
            <w:pPr>
              <w:spacing w:after="60"/>
              <w:ind w:left="160"/>
              <w:jc w:val="left"/>
            </w:pPr>
            <w:r>
              <w:rPr>
                <w:rFonts w:ascii="Calibri" w:hAnsi="Calibri"/>
                <w:i w:val="0"/>
                <w:sz w:val="20"/>
              </w:rPr>
              <w:t>• Manual de usuario y documentación técnica (README, matriz de roles, alcance diferido).</w:t>
            </w:r>
          </w:p>
        </w:tc>
      </w:tr>
      <w:tr w:rsidR="001202BF" w14:paraId="635C2673" w14:textId="77777777" w:rsidTr="7EB51544">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 xml:space="preserve">6. Intereses y proyecciones profesionales</w:t>
            </w:r>
          </w:p>
        </w:tc>
        <w:tc>
          <w:tcPr>
            <w:tcW w:w="6780" w:type="dxa"/>
            <w:vAlign w:val="center"/>
          </w:tcPr>
          <w:p w14:paraId="0E7B9ADE" w14:textId="79AFCCBE" w:rsidR="001202BF" w:rsidRPr="00B340E1" w:rsidRDefault="001202BF" w:rsidP="7EB51544">
            <w:pPr>
              <w:spacing w:after="60" w:line="240" w:lineRule="auto"/>
              <w:jc w:val="left"/>
              <w:rPr>
                <w:rFonts w:ascii="Calibri" w:hAnsi="Calibri" w:cs="Arial"/>
                <w:i/>
                <w:iCs/>
                <w:color w:val="0070C0"/>
                <w:sz w:val="18"/>
                <w:szCs w:val="18"/>
                <w:lang w:eastAsia="es-CL"/>
              </w:rPr>
            </w:pPr>
            <w:r>
              <w:rPr>
                <w:rFonts w:ascii="Calibri" w:hAnsi="Calibri"/>
                <w:i w:val="0"/>
                <w:sz w:val="20"/>
              </w:rPr>
              <w:t>Al inicio de la asignatura declaré mi interés por la arquitectura de soluciones, la seguridad aplicada y la gestión de proyectos. SITRAFO me permitió trabajar las tres: diseñar una arquitectura de tres componentes sobre un backend común, implementar control de acceso por roles, auditoría y buenas prácticas de seguridad, e integrar servicios externos reales con tolerancia a fallas.</w:t>
            </w:r>
          </w:p>
          <w:p>
            <w:pPr>
              <w:spacing w:after="60"/>
              <w:jc w:val="left"/>
            </w:pPr>
            <w:r>
              <w:rPr>
                <w:rFonts w:ascii="Calibri" w:hAnsi="Calibri"/>
                <w:i w:val="0"/>
                <w:sz w:val="20"/>
              </w:rPr>
              <w:t>El proyecto confirmó y amplió esos intereses: descubrí el valor de la automatización del ciclo de desarrollo (integración continua y despliegue) y de la integración entre sistemas, áreas que quiero seguir profundizando.</w:t>
            </w:r>
          </w:p>
          <w:p>
            <w:pPr>
              <w:spacing w:after="60"/>
              <w:jc w:val="left"/>
            </w:pPr>
            <w:r>
              <w:rPr>
                <w:rFonts w:ascii="Calibri" w:hAnsi="Calibri"/>
                <w:i w:val="0"/>
                <w:sz w:val="20"/>
              </w:rPr>
              <w:t>Me proyecto trabajando en desarrollo de software y soluciones en la nube para empresas, con foco en la integración de sistemas y la seguridad, y aplicando la experiencia de la práctica profesional en la industria para acercar estas soluciones a procesos productivos reales.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p>
      <w:r>
        <w:br w:type="page"/>
      </w:r>
    </w:p>
    <w:p>
      <w:pPr>
        <w:spacing w:before="0" w:after="120"/>
      </w:pPr>
      <w:r>
        <w:rPr>
          <w:rFonts w:ascii="Calibri" w:hAnsi="Calibri"/>
          <w:b/>
          <w:i w:val="0"/>
          <w:color w:val="1F3864"/>
          <w:sz w:val="28"/>
        </w:rPr>
        <w:t>Anexo. Evidencias del sistema desplegado</w:t>
      </w:r>
    </w:p>
    <w:p>
      <w:pPr>
        <w:spacing w:before="0" w:after="160"/>
      </w:pPr>
      <w:r>
        <w:rPr>
          <w:rFonts w:ascii="Calibri" w:hAnsi="Calibri"/>
          <w:b w:val="0"/>
          <w:i w:val="0"/>
          <w:sz w:val="20"/>
        </w:rPr>
        <w:t>Capturas tomadas el 8 y 9 de octubre de 2026 sobre el sistema publicado en https://sitrafo.onrender.com (web del cliente) y la aplicación de escritorio SITRAFO.exe conectada a su API, con usuarios de cada rol. Los datos son de demostración y algunos pasos usan documentos distintos según lo disponible en ese momento. El documento EVI-01 del repositorio describe cada etapa con sus reglas de negocio y registra los hallazgos detectados durante este recorrido.</w:t>
      </w:r>
    </w:p>
    <w:p>
      <w:pPr>
        <w:keepNext/>
        <w:spacing w:before="160" w:after="80"/>
      </w:pPr>
      <w:r>
        <w:rPr>
          <w:rFonts w:ascii="Calibri" w:hAnsi="Calibri"/>
          <w:b/>
          <w:i w:val="0"/>
          <w:color w:val="1F3864"/>
          <w:sz w:val="22"/>
        </w:rPr>
        <w:t>1. Ingreso del cliente y solicitud de presupuesto (web)</w:t>
      </w:r>
    </w:p>
    <w:p>
      <w:pPr>
        <w:keepNext/>
        <w:jc w:val="center"/>
      </w:pPr>
      <w:r>
        <w:drawing>
          <wp:inline xmlns:a="http://schemas.openxmlformats.org/drawingml/2006/main" xmlns:pic="http://schemas.openxmlformats.org/drawingml/2006/picture">
            <wp:extent cx="5400000" cy="2776255"/>
            <wp:docPr id="57" name="Picture 57"/>
            <wp:cNvGraphicFramePr>
              <a:graphicFrameLocks noChangeAspect="1"/>
            </wp:cNvGraphicFramePr>
            <a:graphic>
              <a:graphicData uri="http://schemas.openxmlformats.org/drawingml/2006/picture">
                <pic:pic>
                  <pic:nvPicPr>
                    <pic:cNvPr id="0" name="e01a.png"/>
                    <pic:cNvPicPr/>
                  </pic:nvPicPr>
                  <pic:blipFill>
                    <a:blip r:embed="rId14"/>
                    <a:stretch>
                      <a:fillRect/>
                    </a:stretch>
                  </pic:blipFill>
                  <pic:spPr>
                    <a:xfrm>
                      <a:off x="0" y="0"/>
                      <a:ext cx="5400000" cy="2776255"/>
                    </a:xfrm>
                    <a:prstGeom prst="rect"/>
                  </pic:spPr>
                </pic:pic>
              </a:graphicData>
            </a:graphic>
          </wp:inline>
        </w:drawing>
      </w:r>
    </w:p>
    <w:p>
      <w:pPr>
        <w:spacing w:before="0" w:after="160"/>
        <w:jc w:val="center"/>
      </w:pPr>
      <w:r>
        <w:rPr>
          <w:rFonts w:ascii="Calibri" w:hAnsi="Calibri"/>
          <w:b w:val="0"/>
          <w:i/>
          <w:color w:val="595959"/>
          <w:sz w:val="18"/>
        </w:rPr>
        <w:t>Figura 1. Ingreso al portal de clientes.</w:t>
      </w:r>
    </w:p>
    <w:p>
      <w:pPr>
        <w:keepNext/>
        <w:jc w:val="center"/>
      </w:pPr>
      <w:r>
        <w:drawing>
          <wp:inline xmlns:a="http://schemas.openxmlformats.org/drawingml/2006/main" xmlns:pic="http://schemas.openxmlformats.org/drawingml/2006/picture">
            <wp:extent cx="5400000" cy="2803032"/>
            <wp:docPr id="58" name="Picture 58"/>
            <wp:cNvGraphicFramePr>
              <a:graphicFrameLocks noChangeAspect="1"/>
            </wp:cNvGraphicFramePr>
            <a:graphic>
              <a:graphicData uri="http://schemas.openxmlformats.org/drawingml/2006/picture">
                <pic:pic>
                  <pic:nvPicPr>
                    <pic:cNvPr id="0" name="e01b.png"/>
                    <pic:cNvPicPr/>
                  </pic:nvPicPr>
                  <pic:blipFill>
                    <a:blip r:embed="rId15"/>
                    <a:stretch>
                      <a:fillRect/>
                    </a:stretch>
                  </pic:blipFill>
                  <pic:spPr>
                    <a:xfrm>
                      <a:off x="0" y="0"/>
                      <a:ext cx="5400000" cy="2803032"/>
                    </a:xfrm>
                    <a:prstGeom prst="rect"/>
                  </pic:spPr>
                </pic:pic>
              </a:graphicData>
            </a:graphic>
          </wp:inline>
        </w:drawing>
      </w:r>
    </w:p>
    <w:p>
      <w:pPr>
        <w:spacing w:before="0" w:after="160"/>
        <w:jc w:val="center"/>
      </w:pPr>
      <w:r>
        <w:rPr>
          <w:rFonts w:ascii="Calibri" w:hAnsi="Calibri"/>
          <w:b w:val="0"/>
          <w:i/>
          <w:color w:val="595959"/>
          <w:sz w:val="18"/>
        </w:rPr>
        <w:t>Figura 2. Solicitud de presupuesto con la especificación técnica del modelo.</w:t>
      </w:r>
    </w:p>
    <w:p>
      <w:pPr>
        <w:keepNext/>
        <w:spacing w:before="160" w:after="80"/>
      </w:pPr>
      <w:r>
        <w:rPr>
          <w:rFonts w:ascii="Calibri" w:hAnsi="Calibri"/>
          <w:b/>
          <w:i w:val="0"/>
          <w:color w:val="1F3864"/>
          <w:sz w:val="22"/>
        </w:rPr>
        <w:t>2. Costeo y elaboración de la cotización (escritorio, comercial)</w:t>
      </w:r>
    </w:p>
    <w:p>
      <w:pPr>
        <w:keepNext/>
        <w:jc w:val="center"/>
      </w:pPr>
      <w:r>
        <w:drawing>
          <wp:inline xmlns:a="http://schemas.openxmlformats.org/drawingml/2006/main" xmlns:pic="http://schemas.openxmlformats.org/drawingml/2006/picture">
            <wp:extent cx="5400000" cy="2907042"/>
            <wp:docPr id="59" name="Picture 59"/>
            <wp:cNvGraphicFramePr>
              <a:graphicFrameLocks noChangeAspect="1"/>
            </wp:cNvGraphicFramePr>
            <a:graphic>
              <a:graphicData uri="http://schemas.openxmlformats.org/drawingml/2006/picture">
                <pic:pic>
                  <pic:nvPicPr>
                    <pic:cNvPr id="0" name="e02a.png"/>
                    <pic:cNvPicPr/>
                  </pic:nvPicPr>
                  <pic:blipFill>
                    <a:blip r:embed="rId16"/>
                    <a:stretch>
                      <a:fillRect/>
                    </a:stretch>
                  </pic:blipFill>
                  <pic:spPr>
                    <a:xfrm>
                      <a:off x="0" y="0"/>
                      <a:ext cx="5400000" cy="2907042"/>
                    </a:xfrm>
                    <a:prstGeom prst="rect"/>
                  </pic:spPr>
                </pic:pic>
              </a:graphicData>
            </a:graphic>
          </wp:inline>
        </w:drawing>
      </w:r>
    </w:p>
    <w:p>
      <w:pPr>
        <w:spacing w:before="0" w:after="160"/>
        <w:jc w:val="center"/>
      </w:pPr>
      <w:r>
        <w:rPr>
          <w:rFonts w:ascii="Calibri" w:hAnsi="Calibri"/>
          <w:b w:val="0"/>
          <w:i/>
          <w:color w:val="595959"/>
          <w:sz w:val="18"/>
        </w:rPr>
        <w:t>Figura 3. Bandeja de solicitudes con la especificación técnica.</w:t>
      </w:r>
    </w:p>
    <w:p>
      <w:pPr>
        <w:keepNext/>
        <w:jc w:val="center"/>
      </w:pPr>
      <w:r>
        <w:drawing>
          <wp:inline xmlns:a="http://schemas.openxmlformats.org/drawingml/2006/main" xmlns:pic="http://schemas.openxmlformats.org/drawingml/2006/picture">
            <wp:extent cx="5400000" cy="2904225"/>
            <wp:docPr id="60" name="Picture 60"/>
            <wp:cNvGraphicFramePr>
              <a:graphicFrameLocks noChangeAspect="1"/>
            </wp:cNvGraphicFramePr>
            <a:graphic>
              <a:graphicData uri="http://schemas.openxmlformats.org/drawingml/2006/picture">
                <pic:pic>
                  <pic:nvPicPr>
                    <pic:cNvPr id="0" name="e02b.png"/>
                    <pic:cNvPicPr/>
                  </pic:nvPicPr>
                  <pic:blipFill>
                    <a:blip r:embed="rId17"/>
                    <a:stretch>
                      <a:fillRect/>
                    </a:stretch>
                  </pic:blipFill>
                  <pic:spPr>
                    <a:xfrm>
                      <a:off x="0" y="0"/>
                      <a:ext cx="5400000" cy="2904225"/>
                    </a:xfrm>
                    <a:prstGeom prst="rect"/>
                  </pic:spPr>
                </pic:pic>
              </a:graphicData>
            </a:graphic>
          </wp:inline>
        </w:drawing>
      </w:r>
    </w:p>
    <w:p>
      <w:pPr>
        <w:spacing w:before="0" w:after="160"/>
        <w:jc w:val="center"/>
      </w:pPr>
      <w:r>
        <w:rPr>
          <w:rFonts w:ascii="Calibri" w:hAnsi="Calibri"/>
          <w:b w:val="0"/>
          <w:i/>
          <w:color w:val="595959"/>
          <w:sz w:val="18"/>
        </w:rPr>
        <w:t>Figura 4. Costeo automático desde la lista de materiales y las horas hombre.</w:t>
      </w:r>
    </w:p>
    <w:p>
      <w:pPr>
        <w:keepNext/>
        <w:spacing w:before="160" w:after="80"/>
      </w:pPr>
      <w:r>
        <w:rPr>
          <w:rFonts w:ascii="Calibri" w:hAnsi="Calibri"/>
          <w:b/>
          <w:i w:val="0"/>
          <w:color w:val="1F3864"/>
          <w:sz w:val="22"/>
        </w:rPr>
        <w:t>3. Aprobación del descuento por otro usuario (RN-05)</w:t>
      </w:r>
    </w:p>
    <w:p>
      <w:pPr>
        <w:keepNext/>
        <w:jc w:val="center"/>
      </w:pPr>
      <w:r>
        <w:drawing>
          <wp:inline xmlns:a="http://schemas.openxmlformats.org/drawingml/2006/main" xmlns:pic="http://schemas.openxmlformats.org/drawingml/2006/picture">
            <wp:extent cx="5400000" cy="2902711"/>
            <wp:docPr id="61" name="Picture 61"/>
            <wp:cNvGraphicFramePr>
              <a:graphicFrameLocks noChangeAspect="1"/>
            </wp:cNvGraphicFramePr>
            <a:graphic>
              <a:graphicData uri="http://schemas.openxmlformats.org/drawingml/2006/picture">
                <pic:pic>
                  <pic:nvPicPr>
                    <pic:cNvPr id="0" name="e03a.png"/>
                    <pic:cNvPicPr/>
                  </pic:nvPicPr>
                  <pic:blipFill>
                    <a:blip r:embed="rId18"/>
                    <a:stretch>
                      <a:fillRect/>
                    </a:stretch>
                  </pic:blipFill>
                  <pic:spPr>
                    <a:xfrm>
                      <a:off x="0" y="0"/>
                      <a:ext cx="5400000" cy="2902711"/>
                    </a:xfrm>
                    <a:prstGeom prst="rect"/>
                  </pic:spPr>
                </pic:pic>
              </a:graphicData>
            </a:graphic>
          </wp:inline>
        </w:drawing>
      </w:r>
    </w:p>
    <w:p>
      <w:pPr>
        <w:spacing w:before="0" w:after="160"/>
        <w:jc w:val="center"/>
      </w:pPr>
      <w:r>
        <w:rPr>
          <w:rFonts w:ascii="Calibri" w:hAnsi="Calibri"/>
          <w:b w:val="0"/>
          <w:i/>
          <w:color w:val="595959"/>
          <w:sz w:val="18"/>
        </w:rPr>
        <w:t>Figura 5. El autor envía la cotización a aprobación (comercial).</w:t>
      </w:r>
    </w:p>
    <w:p>
      <w:pPr>
        <w:keepNext/>
        <w:jc w:val="center"/>
      </w:pPr>
      <w:r>
        <w:drawing>
          <wp:inline xmlns:a="http://schemas.openxmlformats.org/drawingml/2006/main" xmlns:pic="http://schemas.openxmlformats.org/drawingml/2006/picture">
            <wp:extent cx="5400000" cy="2912676"/>
            <wp:docPr id="62" name="Picture 62"/>
            <wp:cNvGraphicFramePr>
              <a:graphicFrameLocks noChangeAspect="1"/>
            </wp:cNvGraphicFramePr>
            <a:graphic>
              <a:graphicData uri="http://schemas.openxmlformats.org/drawingml/2006/picture">
                <pic:pic>
                  <pic:nvPicPr>
                    <pic:cNvPr id="0" name="e03b.png"/>
                    <pic:cNvPicPr/>
                  </pic:nvPicPr>
                  <pic:blipFill>
                    <a:blip r:embed="rId19"/>
                    <a:stretch>
                      <a:fillRect/>
                    </a:stretch>
                  </pic:blipFill>
                  <pic:spPr>
                    <a:xfrm>
                      <a:off x="0" y="0"/>
                      <a:ext cx="5400000" cy="2912676"/>
                    </a:xfrm>
                    <a:prstGeom prst="rect"/>
                  </pic:spPr>
                </pic:pic>
              </a:graphicData>
            </a:graphic>
          </wp:inline>
        </w:drawing>
      </w:r>
    </w:p>
    <w:p>
      <w:pPr>
        <w:spacing w:before="0" w:after="160"/>
        <w:jc w:val="center"/>
      </w:pPr>
      <w:r>
        <w:rPr>
          <w:rFonts w:ascii="Calibri" w:hAnsi="Calibri"/>
          <w:b w:val="0"/>
          <w:i/>
          <w:color w:val="595959"/>
          <w:sz w:val="18"/>
        </w:rPr>
        <w:t>Figura 6. Otro ejecutivo aprueba y emite (comercial2).</w:t>
      </w:r>
    </w:p>
    <w:p>
      <w:pPr>
        <w:keepNext/>
        <w:spacing w:before="160" w:after="80"/>
      </w:pPr>
      <w:r>
        <w:rPr>
          <w:rFonts w:ascii="Calibri" w:hAnsi="Calibri"/>
          <w:b/>
          <w:i w:val="0"/>
          <w:color w:val="1F3864"/>
          <w:sz w:val="22"/>
        </w:rPr>
        <w:t>4. Correo con la cotización en PDF (Brevo)</w:t>
      </w:r>
    </w:p>
    <w:p>
      <w:pPr>
        <w:keepNext/>
        <w:jc w:val="center"/>
      </w:pPr>
      <w:r>
        <w:drawing>
          <wp:inline xmlns:a="http://schemas.openxmlformats.org/drawingml/2006/main" xmlns:pic="http://schemas.openxmlformats.org/drawingml/2006/picture">
            <wp:extent cx="5400000" cy="2803032"/>
            <wp:docPr id="63" name="Picture 63"/>
            <wp:cNvGraphicFramePr>
              <a:graphicFrameLocks noChangeAspect="1"/>
            </wp:cNvGraphicFramePr>
            <a:graphic>
              <a:graphicData uri="http://schemas.openxmlformats.org/drawingml/2006/picture">
                <pic:pic>
                  <pic:nvPicPr>
                    <pic:cNvPr id="0" name="e04.png"/>
                    <pic:cNvPicPr/>
                  </pic:nvPicPr>
                  <pic:blipFill>
                    <a:blip r:embed="rId20"/>
                    <a:stretch>
                      <a:fillRect/>
                    </a:stretch>
                  </pic:blipFill>
                  <pic:spPr>
                    <a:xfrm>
                      <a:off x="0" y="0"/>
                      <a:ext cx="5400000" cy="2803032"/>
                    </a:xfrm>
                    <a:prstGeom prst="rect"/>
                  </pic:spPr>
                </pic:pic>
              </a:graphicData>
            </a:graphic>
          </wp:inline>
        </w:drawing>
      </w:r>
    </w:p>
    <w:p>
      <w:pPr>
        <w:spacing w:before="0" w:after="160"/>
        <w:jc w:val="center"/>
      </w:pPr>
      <w:r>
        <w:rPr>
          <w:rFonts w:ascii="Calibri" w:hAnsi="Calibri"/>
          <w:b w:val="0"/>
          <w:i/>
          <w:color w:val="595959"/>
          <w:sz w:val="18"/>
        </w:rPr>
        <w:t>Figura 7. Correo de la cotización COT-2026-0011 con el PDF adjunto.</w:t>
      </w:r>
    </w:p>
    <w:p>
      <w:pPr>
        <w:keepNext/>
        <w:spacing w:before="160" w:after="80"/>
      </w:pPr>
      <w:r>
        <w:rPr>
          <w:rFonts w:ascii="Calibri" w:hAnsi="Calibri"/>
          <w:b/>
          <w:i w:val="0"/>
          <w:color w:val="1F3864"/>
          <w:sz w:val="22"/>
        </w:rPr>
        <w:t>5. Aceptación del cliente y orden de compra automática (RN-06)</w:t>
      </w:r>
    </w:p>
    <w:p>
      <w:pPr>
        <w:keepNext/>
        <w:jc w:val="center"/>
      </w:pPr>
      <w:r>
        <w:drawing>
          <wp:inline xmlns:a="http://schemas.openxmlformats.org/drawingml/2006/main" xmlns:pic="http://schemas.openxmlformats.org/drawingml/2006/picture">
            <wp:extent cx="5400000" cy="2814563"/>
            <wp:docPr id="64" name="Picture 64"/>
            <wp:cNvGraphicFramePr>
              <a:graphicFrameLocks noChangeAspect="1"/>
            </wp:cNvGraphicFramePr>
            <a:graphic>
              <a:graphicData uri="http://schemas.openxmlformats.org/drawingml/2006/picture">
                <pic:pic>
                  <pic:nvPicPr>
                    <pic:cNvPr id="0" name="e05a.png"/>
                    <pic:cNvPicPr/>
                  </pic:nvPicPr>
                  <pic:blipFill>
                    <a:blip r:embed="rId21"/>
                    <a:stretch>
                      <a:fillRect/>
                    </a:stretch>
                  </pic:blipFill>
                  <pic:spPr>
                    <a:xfrm>
                      <a:off x="0" y="0"/>
                      <a:ext cx="5400000" cy="2814563"/>
                    </a:xfrm>
                    <a:prstGeom prst="rect"/>
                  </pic:spPr>
                </pic:pic>
              </a:graphicData>
            </a:graphic>
          </wp:inline>
        </w:drawing>
      </w:r>
    </w:p>
    <w:p>
      <w:pPr>
        <w:spacing w:before="0" w:after="160"/>
        <w:jc w:val="center"/>
      </w:pPr>
      <w:r>
        <w:rPr>
          <w:rFonts w:ascii="Calibri" w:hAnsi="Calibri"/>
          <w:b w:val="0"/>
          <w:i/>
          <w:color w:val="595959"/>
          <w:sz w:val="18"/>
        </w:rPr>
        <w:t>Figura 8. Confirmación de la aceptación en el portal.</w:t>
      </w:r>
    </w:p>
    <w:p>
      <w:pPr>
        <w:keepNext/>
        <w:jc w:val="center"/>
      </w:pPr>
      <w:r>
        <w:drawing>
          <wp:inline xmlns:a="http://schemas.openxmlformats.org/drawingml/2006/main" xmlns:pic="http://schemas.openxmlformats.org/drawingml/2006/picture">
            <wp:extent cx="5400000" cy="2921358"/>
            <wp:docPr id="65" name="Picture 65"/>
            <wp:cNvGraphicFramePr>
              <a:graphicFrameLocks noChangeAspect="1"/>
            </wp:cNvGraphicFramePr>
            <a:graphic>
              <a:graphicData uri="http://schemas.openxmlformats.org/drawingml/2006/picture">
                <pic:pic>
                  <pic:nvPicPr>
                    <pic:cNvPr id="0" name="e05b.png"/>
                    <pic:cNvPicPr/>
                  </pic:nvPicPr>
                  <pic:blipFill>
                    <a:blip r:embed="rId22"/>
                    <a:stretch>
                      <a:fillRect/>
                    </a:stretch>
                  </pic:blipFill>
                  <pic:spPr>
                    <a:xfrm>
                      <a:off x="0" y="0"/>
                      <a:ext cx="5400000" cy="2921358"/>
                    </a:xfrm>
                    <a:prstGeom prst="rect"/>
                  </pic:spPr>
                </pic:pic>
              </a:graphicData>
            </a:graphic>
          </wp:inline>
        </w:drawing>
      </w:r>
    </w:p>
    <w:p>
      <w:pPr>
        <w:spacing w:before="0" w:after="160"/>
        <w:jc w:val="center"/>
      </w:pPr>
      <w:r>
        <w:rPr>
          <w:rFonts w:ascii="Calibri" w:hAnsi="Calibri"/>
          <w:b w:val="0"/>
          <w:i/>
          <w:color w:val="595959"/>
          <w:sz w:val="18"/>
        </w:rPr>
        <w:t>Figura 9. Órdenes de compra; OC-2026-0005 nace de la COT-2026-0011.</w:t>
      </w:r>
    </w:p>
    <w:p>
      <w:pPr>
        <w:keepNext/>
        <w:spacing w:before="160" w:after="80"/>
      </w:pPr>
      <w:r>
        <w:rPr>
          <w:rFonts w:ascii="Calibri" w:hAnsi="Calibri"/>
          <w:b/>
          <w:i w:val="0"/>
          <w:color w:val="1F3864"/>
          <w:sz w:val="22"/>
        </w:rPr>
        <w:t>6. Pago del anticipo con PayPal sandbox (RN-15)</w:t>
      </w:r>
    </w:p>
    <w:p>
      <w:pPr>
        <w:keepNext/>
        <w:jc w:val="center"/>
      </w:pPr>
      <w:r>
        <w:drawing>
          <wp:inline xmlns:a="http://schemas.openxmlformats.org/drawingml/2006/main" xmlns:pic="http://schemas.openxmlformats.org/drawingml/2006/picture">
            <wp:extent cx="5400000" cy="2821571"/>
            <wp:docPr id="66" name="Picture 66"/>
            <wp:cNvGraphicFramePr>
              <a:graphicFrameLocks noChangeAspect="1"/>
            </wp:cNvGraphicFramePr>
            <a:graphic>
              <a:graphicData uri="http://schemas.openxmlformats.org/drawingml/2006/picture">
                <pic:pic>
                  <pic:nvPicPr>
                    <pic:cNvPr id="0" name="e06a.png"/>
                    <pic:cNvPicPr/>
                  </pic:nvPicPr>
                  <pic:blipFill>
                    <a:blip r:embed="rId23"/>
                    <a:stretch>
                      <a:fillRect/>
                    </a:stretch>
                  </pic:blipFill>
                  <pic:spPr>
                    <a:xfrm>
                      <a:off x="0" y="0"/>
                      <a:ext cx="5400000" cy="2821571"/>
                    </a:xfrm>
                    <a:prstGeom prst="rect"/>
                  </pic:spPr>
                </pic:pic>
              </a:graphicData>
            </a:graphic>
          </wp:inline>
        </w:drawing>
      </w:r>
    </w:p>
    <w:p>
      <w:pPr>
        <w:spacing w:before="0" w:after="160"/>
        <w:jc w:val="center"/>
      </w:pPr>
      <w:r>
        <w:rPr>
          <w:rFonts w:ascii="Calibri" w:hAnsi="Calibri"/>
          <w:b w:val="0"/>
          <w:i/>
          <w:color w:val="595959"/>
          <w:sz w:val="18"/>
        </w:rPr>
        <w:t>Figura 10. Documento de cobro con el monto en dólares al dólar observado.</w:t>
      </w:r>
    </w:p>
    <w:p>
      <w:pPr>
        <w:keepNext/>
        <w:jc w:val="center"/>
      </w:pPr>
      <w:r>
        <w:drawing>
          <wp:inline xmlns:a="http://schemas.openxmlformats.org/drawingml/2006/main" xmlns:pic="http://schemas.openxmlformats.org/drawingml/2006/picture">
            <wp:extent cx="5400000" cy="2804607"/>
            <wp:docPr id="67" name="Picture 67"/>
            <wp:cNvGraphicFramePr>
              <a:graphicFrameLocks noChangeAspect="1"/>
            </wp:cNvGraphicFramePr>
            <a:graphic>
              <a:graphicData uri="http://schemas.openxmlformats.org/drawingml/2006/picture">
                <pic:pic>
                  <pic:nvPicPr>
                    <pic:cNvPr id="0" name="e06b.png"/>
                    <pic:cNvPicPr/>
                  </pic:nvPicPr>
                  <pic:blipFill>
                    <a:blip r:embed="rId24"/>
                    <a:stretch>
                      <a:fillRect/>
                    </a:stretch>
                  </pic:blipFill>
                  <pic:spPr>
                    <a:xfrm>
                      <a:off x="0" y="0"/>
                      <a:ext cx="5400000" cy="2804607"/>
                    </a:xfrm>
                    <a:prstGeom prst="rect"/>
                  </pic:spPr>
                </pic:pic>
              </a:graphicData>
            </a:graphic>
          </wp:inline>
        </w:drawing>
      </w:r>
    </w:p>
    <w:p>
      <w:pPr>
        <w:spacing w:before="0" w:after="160"/>
        <w:jc w:val="center"/>
      </w:pPr>
      <w:r>
        <w:rPr>
          <w:rFonts w:ascii="Calibri" w:hAnsi="Calibri"/>
          <w:b w:val="0"/>
          <w:i/>
          <w:color w:val="595959"/>
          <w:sz w:val="18"/>
        </w:rPr>
        <w:t>Figura 11. Regreso desde PayPal con el pago registrado y su referencia.</w:t>
      </w:r>
    </w:p>
    <w:p>
      <w:pPr>
        <w:keepNext/>
        <w:spacing w:before="160" w:after="80"/>
      </w:pPr>
      <w:r>
        <w:rPr>
          <w:rFonts w:ascii="Calibri" w:hAnsi="Calibri"/>
          <w:b/>
          <w:i w:val="0"/>
          <w:color w:val="1F3864"/>
          <w:sz w:val="22"/>
        </w:rPr>
        <w:t>7. Orden de trabajo con tareas y responsables (producción)</w:t>
      </w:r>
    </w:p>
    <w:p>
      <w:pPr>
        <w:keepNext/>
        <w:jc w:val="center"/>
      </w:pPr>
      <w:r>
        <w:drawing>
          <wp:inline xmlns:a="http://schemas.openxmlformats.org/drawingml/2006/main" xmlns:pic="http://schemas.openxmlformats.org/drawingml/2006/picture">
            <wp:extent cx="5400000" cy="2911378"/>
            <wp:docPr id="68" name="Picture 68"/>
            <wp:cNvGraphicFramePr>
              <a:graphicFrameLocks noChangeAspect="1"/>
            </wp:cNvGraphicFramePr>
            <a:graphic>
              <a:graphicData uri="http://schemas.openxmlformats.org/drawingml/2006/picture">
                <pic:pic>
                  <pic:nvPicPr>
                    <pic:cNvPr id="0" name="e07.png"/>
                    <pic:cNvPicPr/>
                  </pic:nvPicPr>
                  <pic:blipFill>
                    <a:blip r:embed="rId25"/>
                    <a:stretch>
                      <a:fillRect/>
                    </a:stretch>
                  </pic:blipFill>
                  <pic:spPr>
                    <a:xfrm>
                      <a:off x="0" y="0"/>
                      <a:ext cx="5400000" cy="2911378"/>
                    </a:xfrm>
                    <a:prstGeom prst="rect"/>
                  </pic:spPr>
                </pic:pic>
              </a:graphicData>
            </a:graphic>
          </wp:inline>
        </w:drawing>
      </w:r>
    </w:p>
    <w:p>
      <w:pPr>
        <w:spacing w:before="0" w:after="160"/>
        <w:jc w:val="center"/>
      </w:pPr>
      <w:r>
        <w:rPr>
          <w:rFonts w:ascii="Calibri" w:hAnsi="Calibri"/>
          <w:b w:val="0"/>
          <w:i/>
          <w:color w:val="595959"/>
          <w:sz w:val="18"/>
        </w:rPr>
        <w:t>Figura 12. OT-2026-0005 en ejecución con sus tareas asignadas.</w:t>
      </w:r>
    </w:p>
    <w:p>
      <w:pPr>
        <w:keepNext/>
        <w:spacing w:before="160" w:after="80"/>
      </w:pPr>
      <w:r>
        <w:rPr>
          <w:rFonts w:ascii="Calibri" w:hAnsi="Calibri"/>
          <w:b/>
          <w:i w:val="0"/>
          <w:color w:val="1F3864"/>
          <w:sz w:val="22"/>
        </w:rPr>
        <w:t>8. Registro en taller y rechazo por stock insuficiente (RN-09)</w:t>
      </w:r>
    </w:p>
    <w:p>
      <w:pPr>
        <w:keepNext/>
        <w:jc w:val="center"/>
      </w:pPr>
      <w:r>
        <w:drawing>
          <wp:inline xmlns:a="http://schemas.openxmlformats.org/drawingml/2006/main" xmlns:pic="http://schemas.openxmlformats.org/drawingml/2006/picture">
            <wp:extent cx="5400000" cy="2897080"/>
            <wp:docPr id="69" name="Picture 69"/>
            <wp:cNvGraphicFramePr>
              <a:graphicFrameLocks noChangeAspect="1"/>
            </wp:cNvGraphicFramePr>
            <a:graphic>
              <a:graphicData uri="http://schemas.openxmlformats.org/drawingml/2006/picture">
                <pic:pic>
                  <pic:nvPicPr>
                    <pic:cNvPr id="0" name="e08a.png"/>
                    <pic:cNvPicPr/>
                  </pic:nvPicPr>
                  <pic:blipFill>
                    <a:blip r:embed="rId26"/>
                    <a:stretch>
                      <a:fillRect/>
                    </a:stretch>
                  </pic:blipFill>
                  <pic:spPr>
                    <a:xfrm>
                      <a:off x="0" y="0"/>
                      <a:ext cx="5400000" cy="2897080"/>
                    </a:xfrm>
                    <a:prstGeom prst="rect"/>
                  </pic:spPr>
                </pic:pic>
              </a:graphicData>
            </a:graphic>
          </wp:inline>
        </w:drawing>
      </w:r>
    </w:p>
    <w:p>
      <w:pPr>
        <w:spacing w:before="0" w:after="160"/>
        <w:jc w:val="center"/>
      </w:pPr>
      <w:r>
        <w:rPr>
          <w:rFonts w:ascii="Calibri" w:hAnsi="Calibri"/>
          <w:b w:val="0"/>
          <w:i/>
          <w:color w:val="595959"/>
          <w:sz w:val="18"/>
        </w:rPr>
        <w:t>Figura 13. Vista del operario para registrar horas y material.</w:t>
      </w:r>
    </w:p>
    <w:p>
      <w:pPr>
        <w:keepNext/>
        <w:jc w:val="center"/>
      </w:pPr>
      <w:r>
        <w:drawing>
          <wp:inline xmlns:a="http://schemas.openxmlformats.org/drawingml/2006/main" xmlns:pic="http://schemas.openxmlformats.org/drawingml/2006/picture">
            <wp:extent cx="5400000" cy="2908342"/>
            <wp:docPr id="70" name="Picture 70"/>
            <wp:cNvGraphicFramePr>
              <a:graphicFrameLocks noChangeAspect="1"/>
            </wp:cNvGraphicFramePr>
            <a:graphic>
              <a:graphicData uri="http://schemas.openxmlformats.org/drawingml/2006/picture">
                <pic:pic>
                  <pic:nvPicPr>
                    <pic:cNvPr id="0" name="e08b.png"/>
                    <pic:cNvPicPr/>
                  </pic:nvPicPr>
                  <pic:blipFill>
                    <a:blip r:embed="rId27"/>
                    <a:stretch>
                      <a:fillRect/>
                    </a:stretch>
                  </pic:blipFill>
                  <pic:spPr>
                    <a:xfrm>
                      <a:off x="0" y="0"/>
                      <a:ext cx="5400000" cy="2908342"/>
                    </a:xfrm>
                    <a:prstGeom prst="rect"/>
                  </pic:spPr>
                </pic:pic>
              </a:graphicData>
            </a:graphic>
          </wp:inline>
        </w:drawing>
      </w:r>
    </w:p>
    <w:p>
      <w:pPr>
        <w:spacing w:before="0" w:after="160"/>
        <w:jc w:val="center"/>
      </w:pPr>
      <w:r>
        <w:rPr>
          <w:rFonts w:ascii="Calibri" w:hAnsi="Calibri"/>
          <w:b w:val="0"/>
          <w:i/>
          <w:color w:val="595959"/>
          <w:sz w:val="18"/>
        </w:rPr>
        <w:t>Figura 14. Rechazo del consumo por stock insuficiente.</w:t>
      </w:r>
    </w:p>
    <w:p>
      <w:pPr>
        <w:keepNext/>
        <w:spacing w:before="160" w:after="80"/>
      </w:pPr>
      <w:r>
        <w:rPr>
          <w:rFonts w:ascii="Calibri" w:hAnsi="Calibri"/>
          <w:b/>
          <w:i w:val="0"/>
          <w:color w:val="1F3864"/>
          <w:sz w:val="22"/>
        </w:rPr>
        <w:t>9. Ensayo fuera de rango y no conformidad (RN-12)</w:t>
      </w:r>
    </w:p>
    <w:p>
      <w:pPr>
        <w:keepNext/>
        <w:jc w:val="center"/>
      </w:pPr>
      <w:r>
        <w:drawing>
          <wp:inline xmlns:a="http://schemas.openxmlformats.org/drawingml/2006/main" xmlns:pic="http://schemas.openxmlformats.org/drawingml/2006/picture">
            <wp:extent cx="5400000" cy="2910078"/>
            <wp:docPr id="71" name="Picture 71"/>
            <wp:cNvGraphicFramePr>
              <a:graphicFrameLocks noChangeAspect="1"/>
            </wp:cNvGraphicFramePr>
            <a:graphic>
              <a:graphicData uri="http://schemas.openxmlformats.org/drawingml/2006/picture">
                <pic:pic>
                  <pic:nvPicPr>
                    <pic:cNvPr id="0" name="e09a.png"/>
                    <pic:cNvPicPr/>
                  </pic:nvPicPr>
                  <pic:blipFill>
                    <a:blip r:embed="rId28"/>
                    <a:stretch>
                      <a:fillRect/>
                    </a:stretch>
                  </pic:blipFill>
                  <pic:spPr>
                    <a:xfrm>
                      <a:off x="0" y="0"/>
                      <a:ext cx="5400000" cy="2910078"/>
                    </a:xfrm>
                    <a:prstGeom prst="rect"/>
                  </pic:spPr>
                </pic:pic>
              </a:graphicData>
            </a:graphic>
          </wp:inline>
        </w:drawing>
      </w:r>
    </w:p>
    <w:p>
      <w:pPr>
        <w:spacing w:before="0" w:after="160"/>
        <w:jc w:val="center"/>
      </w:pPr>
      <w:r>
        <w:rPr>
          <w:rFonts w:ascii="Calibri" w:hAnsi="Calibri"/>
          <w:b w:val="0"/>
          <w:i/>
          <w:color w:val="595959"/>
          <w:sz w:val="18"/>
        </w:rPr>
        <w:t>Figura 15. Ensayos evaluados contra el rango del protocolo.</w:t>
      </w:r>
    </w:p>
    <w:p>
      <w:pPr>
        <w:keepNext/>
        <w:jc w:val="center"/>
      </w:pPr>
      <w:r>
        <w:drawing>
          <wp:inline xmlns:a="http://schemas.openxmlformats.org/drawingml/2006/main" xmlns:pic="http://schemas.openxmlformats.org/drawingml/2006/picture">
            <wp:extent cx="5400000" cy="2904225"/>
            <wp:docPr id="72" name="Picture 72"/>
            <wp:cNvGraphicFramePr>
              <a:graphicFrameLocks noChangeAspect="1"/>
            </wp:cNvGraphicFramePr>
            <a:graphic>
              <a:graphicData uri="http://schemas.openxmlformats.org/drawingml/2006/picture">
                <pic:pic>
                  <pic:nvPicPr>
                    <pic:cNvPr id="0" name="e09b.png"/>
                    <pic:cNvPicPr/>
                  </pic:nvPicPr>
                  <pic:blipFill>
                    <a:blip r:embed="rId29"/>
                    <a:stretch>
                      <a:fillRect/>
                    </a:stretch>
                  </pic:blipFill>
                  <pic:spPr>
                    <a:xfrm>
                      <a:off x="0" y="0"/>
                      <a:ext cx="5400000" cy="2904225"/>
                    </a:xfrm>
                    <a:prstGeom prst="rect"/>
                  </pic:spPr>
                </pic:pic>
              </a:graphicData>
            </a:graphic>
          </wp:inline>
        </w:drawing>
      </w:r>
    </w:p>
    <w:p>
      <w:pPr>
        <w:spacing w:before="0" w:after="160"/>
        <w:jc w:val="center"/>
      </w:pPr>
      <w:r>
        <w:rPr>
          <w:rFonts w:ascii="Calibri" w:hAnsi="Calibri"/>
          <w:b w:val="0"/>
          <w:i/>
          <w:color w:val="595959"/>
          <w:sz w:val="18"/>
        </w:rPr>
        <w:t>Figura 16. No conformidad cerrada con acción correctiva.</w:t>
      </w:r>
    </w:p>
    <w:p>
      <w:pPr>
        <w:keepNext/>
        <w:spacing w:before="160" w:after="80"/>
      </w:pPr>
      <w:r>
        <w:rPr>
          <w:rFonts w:ascii="Calibri" w:hAnsi="Calibri"/>
          <w:b/>
          <w:i w:val="0"/>
          <w:color w:val="1F3864"/>
          <w:sz w:val="22"/>
        </w:rPr>
        <w:t>10. Cierre de la OT y cobro del saldo (RN-14)</w:t>
      </w:r>
    </w:p>
    <w:p>
      <w:pPr>
        <w:keepNext/>
        <w:jc w:val="center"/>
      </w:pPr>
      <w:r>
        <w:drawing>
          <wp:inline xmlns:a="http://schemas.openxmlformats.org/drawingml/2006/main" xmlns:pic="http://schemas.openxmlformats.org/drawingml/2006/picture">
            <wp:extent cx="5400000" cy="2904225"/>
            <wp:docPr id="73" name="Picture 73"/>
            <wp:cNvGraphicFramePr>
              <a:graphicFrameLocks noChangeAspect="1"/>
            </wp:cNvGraphicFramePr>
            <a:graphic>
              <a:graphicData uri="http://schemas.openxmlformats.org/drawingml/2006/picture">
                <pic:pic>
                  <pic:nvPicPr>
                    <pic:cNvPr id="0" name="e10a.png"/>
                    <pic:cNvPicPr/>
                  </pic:nvPicPr>
                  <pic:blipFill>
                    <a:blip r:embed="rId30"/>
                    <a:stretch>
                      <a:fillRect/>
                    </a:stretch>
                  </pic:blipFill>
                  <pic:spPr>
                    <a:xfrm>
                      <a:off x="0" y="0"/>
                      <a:ext cx="5400000" cy="2904225"/>
                    </a:xfrm>
                    <a:prstGeom prst="rect"/>
                  </pic:spPr>
                </pic:pic>
              </a:graphicData>
            </a:graphic>
          </wp:inline>
        </w:drawing>
      </w:r>
    </w:p>
    <w:p>
      <w:pPr>
        <w:spacing w:before="0" w:after="160"/>
        <w:jc w:val="center"/>
      </w:pPr>
      <w:r>
        <w:rPr>
          <w:rFonts w:ascii="Calibri" w:hAnsi="Calibri"/>
          <w:b w:val="0"/>
          <w:i/>
          <w:color w:val="595959"/>
          <w:sz w:val="18"/>
        </w:rPr>
        <w:t>Figura 17. Cierre de la orden de trabajo con costo real y desviación.</w:t>
      </w:r>
    </w:p>
    <w:p>
      <w:pPr>
        <w:keepNext/>
        <w:jc w:val="center"/>
      </w:pPr>
      <w:r>
        <w:drawing>
          <wp:inline xmlns:a="http://schemas.openxmlformats.org/drawingml/2006/main" xmlns:pic="http://schemas.openxmlformats.org/drawingml/2006/picture">
            <wp:extent cx="5400000" cy="2796126"/>
            <wp:docPr id="74" name="Picture 74"/>
            <wp:cNvGraphicFramePr>
              <a:graphicFrameLocks noChangeAspect="1"/>
            </wp:cNvGraphicFramePr>
            <a:graphic>
              <a:graphicData uri="http://schemas.openxmlformats.org/drawingml/2006/picture">
                <pic:pic>
                  <pic:nvPicPr>
                    <pic:cNvPr id="0" name="e10b.png"/>
                    <pic:cNvPicPr/>
                  </pic:nvPicPr>
                  <pic:blipFill>
                    <a:blip r:embed="rId31"/>
                    <a:stretch>
                      <a:fillRect/>
                    </a:stretch>
                  </pic:blipFill>
                  <pic:spPr>
                    <a:xfrm>
                      <a:off x="0" y="0"/>
                      <a:ext cx="5400000" cy="2796126"/>
                    </a:xfrm>
                    <a:prstGeom prst="rect"/>
                  </pic:spPr>
                </pic:pic>
              </a:graphicData>
            </a:graphic>
          </wp:inline>
        </w:drawing>
      </w:r>
    </w:p>
    <w:p>
      <w:pPr>
        <w:spacing w:before="0" w:after="160"/>
        <w:jc w:val="center"/>
      </w:pPr>
      <w:r>
        <w:rPr>
          <w:rFonts w:ascii="Calibri" w:hAnsi="Calibri"/>
          <w:b w:val="0"/>
          <w:i/>
          <w:color w:val="595959"/>
          <w:sz w:val="18"/>
        </w:rPr>
        <w:t>Figura 18. Correo al cliente con el cobro del saldo.</w:t>
      </w:r>
    </w:p>
    <w:p>
      <w:pPr>
        <w:keepNext/>
        <w:spacing w:before="160" w:after="80"/>
      </w:pPr>
      <w:r>
        <w:rPr>
          <w:rFonts w:ascii="Calibri" w:hAnsi="Calibri"/>
          <w:b/>
          <w:i w:val="0"/>
          <w:color w:val="1F3864"/>
          <w:sz w:val="22"/>
        </w:rPr>
        <w:t>11. Entrega, kardex y auditoría</w:t>
      </w:r>
    </w:p>
    <w:p>
      <w:pPr>
        <w:keepNext/>
        <w:jc w:val="center"/>
      </w:pPr>
      <w:r>
        <w:drawing>
          <wp:inline xmlns:a="http://schemas.openxmlformats.org/drawingml/2006/main" xmlns:pic="http://schemas.openxmlformats.org/drawingml/2006/picture">
            <wp:extent cx="5400000" cy="2921358"/>
            <wp:docPr id="75" name="Picture 75"/>
            <wp:cNvGraphicFramePr>
              <a:graphicFrameLocks noChangeAspect="1"/>
            </wp:cNvGraphicFramePr>
            <a:graphic>
              <a:graphicData uri="http://schemas.openxmlformats.org/drawingml/2006/picture">
                <pic:pic>
                  <pic:nvPicPr>
                    <pic:cNvPr id="0" name="e05b.png"/>
                    <pic:cNvPicPr/>
                  </pic:nvPicPr>
                  <pic:blipFill>
                    <a:blip r:embed="rId22"/>
                    <a:stretch>
                      <a:fillRect/>
                    </a:stretch>
                  </pic:blipFill>
                  <pic:spPr>
                    <a:xfrm>
                      <a:off x="0" y="0"/>
                      <a:ext cx="5400000" cy="2921358"/>
                    </a:xfrm>
                    <a:prstGeom prst="rect"/>
                  </pic:spPr>
                </pic:pic>
              </a:graphicData>
            </a:graphic>
          </wp:inline>
        </w:drawing>
      </w:r>
    </w:p>
    <w:p>
      <w:pPr>
        <w:spacing w:before="0" w:after="160"/>
        <w:jc w:val="center"/>
      </w:pPr>
      <w:r>
        <w:rPr>
          <w:rFonts w:ascii="Calibri" w:hAnsi="Calibri"/>
          <w:b w:val="0"/>
          <w:i/>
          <w:color w:val="595959"/>
          <w:sz w:val="18"/>
        </w:rPr>
        <w:t>Figura 19. OC-2026-0007 entregada con anticipo y saldo pagados.</w:t>
      </w:r>
    </w:p>
    <w:p>
      <w:pPr>
        <w:keepNext/>
        <w:jc w:val="center"/>
      </w:pPr>
      <w:r>
        <w:drawing>
          <wp:inline xmlns:a="http://schemas.openxmlformats.org/drawingml/2006/main" xmlns:pic="http://schemas.openxmlformats.org/drawingml/2006/picture">
            <wp:extent cx="5400000" cy="2908777"/>
            <wp:docPr id="76" name="Picture 76"/>
            <wp:cNvGraphicFramePr>
              <a:graphicFrameLocks noChangeAspect="1"/>
            </wp:cNvGraphicFramePr>
            <a:graphic>
              <a:graphicData uri="http://schemas.openxmlformats.org/drawingml/2006/picture">
                <pic:pic>
                  <pic:nvPicPr>
                    <pic:cNvPr id="0" name="e11b.png"/>
                    <pic:cNvPicPr/>
                  </pic:nvPicPr>
                  <pic:blipFill>
                    <a:blip r:embed="rId32"/>
                    <a:stretch>
                      <a:fillRect/>
                    </a:stretch>
                  </pic:blipFill>
                  <pic:spPr>
                    <a:xfrm>
                      <a:off x="0" y="0"/>
                      <a:ext cx="5400000" cy="2908777"/>
                    </a:xfrm>
                    <a:prstGeom prst="rect"/>
                  </pic:spPr>
                </pic:pic>
              </a:graphicData>
            </a:graphic>
          </wp:inline>
        </w:drawing>
      </w:r>
    </w:p>
    <w:p>
      <w:pPr>
        <w:spacing w:before="0" w:after="160"/>
        <w:jc w:val="center"/>
      </w:pPr>
      <w:r>
        <w:rPr>
          <w:rFonts w:ascii="Calibri" w:hAnsi="Calibri"/>
          <w:b w:val="0"/>
          <w:i/>
          <w:color w:val="595959"/>
          <w:sz w:val="18"/>
        </w:rPr>
        <w:t>Figura 20. Kardex del material con cada consumo y su usuario.</w:t>
      </w:r>
    </w:p>
    <w:p>
      <w:pPr>
        <w:keepNext/>
        <w:jc w:val="center"/>
      </w:pPr>
      <w:r>
        <w:drawing>
          <wp:inline xmlns:a="http://schemas.openxmlformats.org/drawingml/2006/main" xmlns:pic="http://schemas.openxmlformats.org/drawingml/2006/picture">
            <wp:extent cx="5400000" cy="2904013"/>
            <wp:docPr id="77" name="Picture 77"/>
            <wp:cNvGraphicFramePr>
              <a:graphicFrameLocks noChangeAspect="1"/>
            </wp:cNvGraphicFramePr>
            <a:graphic>
              <a:graphicData uri="http://schemas.openxmlformats.org/drawingml/2006/picture">
                <pic:pic>
                  <pic:nvPicPr>
                    <pic:cNvPr id="0" name="e11c.png"/>
                    <pic:cNvPicPr/>
                  </pic:nvPicPr>
                  <pic:blipFill>
                    <a:blip r:embed="rId33"/>
                    <a:stretch>
                      <a:fillRect/>
                    </a:stretch>
                  </pic:blipFill>
                  <pic:spPr>
                    <a:xfrm>
                      <a:off x="0" y="0"/>
                      <a:ext cx="5400000" cy="2904013"/>
                    </a:xfrm>
                    <a:prstGeom prst="rect"/>
                  </pic:spPr>
                </pic:pic>
              </a:graphicData>
            </a:graphic>
          </wp:inline>
        </w:drawing>
      </w:r>
    </w:p>
    <w:p>
      <w:pPr>
        <w:spacing w:before="0" w:after="160"/>
        <w:jc w:val="center"/>
      </w:pPr>
      <w:r>
        <w:rPr>
          <w:rFonts w:ascii="Calibri" w:hAnsi="Calibri"/>
          <w:b w:val="0"/>
          <w:i/>
          <w:color w:val="595959"/>
          <w:sz w:val="18"/>
        </w:rPr>
        <w:t>Figura 21. Bitácora de auditoría.</w:t>
      </w:r>
    </w:p>
    <w:p>
      <w:pPr>
        <w:keepNext/>
        <w:spacing w:before="160" w:after="80"/>
      </w:pPr>
      <w:r>
        <w:rPr>
          <w:rFonts w:ascii="Calibri" w:hAnsi="Calibri"/>
          <w:b/>
          <w:i w:val="0"/>
          <w:color w:val="1F3864"/>
          <w:sz w:val="22"/>
        </w:rPr>
        <w:t>12. Reportes de gestión</w:t>
      </w:r>
    </w:p>
    <w:p>
      <w:pPr>
        <w:keepNext/>
        <w:jc w:val="center"/>
      </w:pPr>
      <w:r>
        <w:drawing>
          <wp:inline xmlns:a="http://schemas.openxmlformats.org/drawingml/2006/main" xmlns:pic="http://schemas.openxmlformats.org/drawingml/2006/picture">
            <wp:extent cx="5400000" cy="2911378"/>
            <wp:docPr id="78" name="Picture 78"/>
            <wp:cNvGraphicFramePr>
              <a:graphicFrameLocks noChangeAspect="1"/>
            </wp:cNvGraphicFramePr>
            <a:graphic>
              <a:graphicData uri="http://schemas.openxmlformats.org/drawingml/2006/picture">
                <pic:pic>
                  <pic:nvPicPr>
                    <pic:cNvPr id="0" name="e12.png"/>
                    <pic:cNvPicPr/>
                  </pic:nvPicPr>
                  <pic:blipFill>
                    <a:blip r:embed="rId34"/>
                    <a:stretch>
                      <a:fillRect/>
                    </a:stretch>
                  </pic:blipFill>
                  <pic:spPr>
                    <a:xfrm>
                      <a:off x="0" y="0"/>
                      <a:ext cx="5400000" cy="2911378"/>
                    </a:xfrm>
                    <a:prstGeom prst="rect"/>
                  </pic:spPr>
                </pic:pic>
              </a:graphicData>
            </a:graphic>
          </wp:inline>
        </w:drawing>
      </w:r>
    </w:p>
    <w:p>
      <w:pPr>
        <w:spacing w:before="0" w:after="160"/>
        <w:jc w:val="center"/>
      </w:pPr>
      <w:r>
        <w:rPr>
          <w:rFonts w:ascii="Calibri" w:hAnsi="Calibri"/>
          <w:b w:val="0"/>
          <w:i/>
          <w:color w:val="595959"/>
          <w:sz w:val="18"/>
        </w:rPr>
        <w:t>Figura 22. Indicadores comerciales con exportación a Excel y PDF.</w:t>
      </w:r>
    </w:p>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