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51.png" ContentType="image/png"/>
  <Override PartName="/word/media/rId26.png" ContentType="image/png"/>
  <Override PartName="/word/media/rId40.png" ContentType="image/png"/>
  <Override PartName="/word/media/rId39.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Children’s</w:t>
      </w:r>
      <w:r>
        <w:t xml:space="preserve"> </w:t>
      </w:r>
      <w:r>
        <w:t xml:space="preserve">social</w:t>
      </w:r>
      <w:r>
        <w:t xml:space="preserve"> </w:t>
      </w:r>
      <w:r>
        <w:t xml:space="preserve">information</w:t>
      </w:r>
      <w:r>
        <w:t xml:space="preserve"> </w:t>
      </w:r>
      <w:r>
        <w:t xml:space="preserve">gathering</w:t>
      </w:r>
      <w:r>
        <w:t xml:space="preserve"> </w:t>
      </w:r>
      <w:r>
        <w:t xml:space="preserve">is</w:t>
      </w:r>
      <w:r>
        <w:t xml:space="preserve"> </w:t>
      </w:r>
      <w:r>
        <w:t xml:space="preserve">sensitive</w:t>
      </w:r>
      <w:r>
        <w:t xml:space="preserve"> </w:t>
      </w:r>
      <w:r>
        <w:t xml:space="preserve">to</w:t>
      </w:r>
      <w:r>
        <w:t xml:space="preserve"> </w:t>
      </w:r>
      <w:r>
        <w:t xml:space="preserve">referential</w:t>
      </w:r>
      <w:r>
        <w:t xml:space="preserve"> </w:t>
      </w:r>
      <w:r>
        <w:t xml:space="preserve">ambiguity</w:t>
      </w:r>
    </w:p>
    <w:tbl>
      <w:tblPr>
        <w:tblStyle w:val="TableNormal"/>
        <w:tblW w:type="pct" w:w="5000.0"/>
        <w:tblLook/>
      </w:tblPr>
      <w:tblGrid>
        <w:gridCol w:w="7920"/>
      </w:tblGrid>
      <w:tr>
        <w:tc>
          <w:p>
            <w:pPr>
              <w:pStyle w:val="Compact"/>
              <w:jc w:val="center"/>
            </w:pPr>
            <w:r>
              <w:t xml:space="preserve">Emily Hembacher</w:t>
            </w:r>
            <w:r>
              <w:rPr>
                <w:vertAlign w:val="superscript"/>
              </w:rPr>
              <w:t xml:space="preserve">1</w:t>
            </w:r>
            <w:r>
              <w:t xml:space="preserve">, Benjamin deMayo</w:t>
            </w:r>
            <w:r>
              <w:rPr>
                <w:vertAlign w:val="superscript"/>
              </w:rPr>
              <w:t xml:space="preserve">1</w:t>
            </w:r>
            <w:r>
              <w:t xml:space="preserve">, &amp; Michael C. Frank</w:t>
            </w:r>
            <w:r>
              <w:rPr>
                <w:vertAlign w:val="superscript"/>
              </w:rPr>
              <w:t xml:space="preserve">1</w:t>
            </w:r>
          </w:p>
        </w:tc>
      </w:tr>
      <w:tr>
        <w:tc>
          <w:p>
            <w:pPr>
              <w:pStyle w:val="Compact"/>
              <w:jc w:val="center"/>
            </w:pPr>
            <w:r>
              <w:rPr>
                <w:vertAlign w:val="superscript"/>
              </w:rPr>
              <w:t xml:space="preserve">1</w:t>
            </w:r>
            <w:r>
              <w:t xml:space="preserve"> </w:t>
            </w:r>
            <w:r>
              <w:t xml:space="preserve">Stanford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Michael C. Frank, 450 Serra Mall, Stanford, CA, 94305. E-mail:</w:t>
      </w:r>
      <w:r>
        <w:t xml:space="preserve"> </w:t>
      </w:r>
      <w:hyperlink r:id="rId22">
        <w:r>
          <w:rPr>
            <w:rStyle w:val="Hyperlink"/>
          </w:rPr>
          <w:t xml:space="preserve">mcfrank@stanford.edu</w:t>
        </w:r>
      </w:hyperlink>
    </w:p>
    <w:p>
      <w:pPr>
        <w:pStyle w:val="Compact"/>
        <w:pStyle w:val="h1-pagebreak"/>
      </w:pPr>
      <w:r>
        <w:t xml:space="preserve">Abstract</w:t>
      </w:r>
    </w:p>
    <w:p>
      <w:pPr>
        <w:pStyle w:val="Textkrper"/>
      </w:pPr>
      <w:r>
        <w:t xml:space="preserve">We examined children’s spontaneous information gathering in response to referential ambiguity. Children ages 2-5 (n=160) identified the referents of familiar and novel labels. Ambiguity was manipulated through the number of objects present and their familiarity (Experiments 1 and 2), and the availability of referential gaze (Experiment 2). In both experiments, children sought disambiguating social information more often while responding when the referent was ambiguous. In Experiment 2, 3- to 4-year-olds also demonstrated sensitivity to graded referential evidence. These results suggest that social information gathering is an active learning behavior that could contribute to language acquisition in early childhood.</w:t>
      </w:r>
    </w:p>
    <w:p>
      <w:pPr>
        <w:pStyle w:val="Textkrper"/>
      </w:pPr>
      <w:r>
        <w:rPr>
          <w:i/>
        </w:rPr>
        <w:t xml:space="preserve">Keywords:</w:t>
      </w:r>
      <w:r>
        <w:t xml:space="preserve"> </w:t>
      </w:r>
      <w:r>
        <w:t xml:space="preserve">information gathering; help seeking; word learning; uncertainty.</w:t>
      </w:r>
    </w:p>
    <w:p>
      <w:pPr>
        <w:pStyle w:val="Textkrper"/>
      </w:pPr>
      <w:r>
        <w:t xml:space="preserve">Word count: 7,317</w:t>
      </w:r>
    </w:p>
    <w:p>
      <w:pPr>
        <w:pStyle w:val="Compact"/>
        <w:pStyle w:val="Titel"/>
      </w:pPr>
      <w:r>
        <w:t xml:space="preserve">Children’s social information gathering is sensitive to referential ambiguity</w:t>
      </w:r>
    </w:p>
    <w:p>
      <w:pPr>
        <w:pStyle w:val="Textkrper"/>
      </w:pPr>
      <w:r>
        <w:t xml:space="preserve">Early childhood is marked by the rapid acquisition of new concepts, rules, and language, and theories of cognitive development have increasingly focused on the active role that children play in these cognitive achievements</w:t>
      </w:r>
      <w:r>
        <w:t xml:space="preserve"> </w:t>
      </w:r>
      <w:r>
        <w:t xml:space="preserve">(F. Xu &amp; Kushnir, 2013)</w:t>
      </w:r>
      <w:r>
        <w:t xml:space="preserve">. Recent work highlights that young children actively explore</w:t>
      </w:r>
      <w:r>
        <w:t xml:space="preserve"> </w:t>
      </w:r>
      <w:r>
        <w:t xml:space="preserve">(Schulz &amp; Bonawitz, 2007)</w:t>
      </w:r>
      <w:r>
        <w:t xml:space="preserve"> </w:t>
      </w:r>
      <w:r>
        <w:t xml:space="preserve">and ask questions</w:t>
      </w:r>
      <w:r>
        <w:t xml:space="preserve"> </w:t>
      </w:r>
      <w:r>
        <w:t xml:space="preserve">(Chouinard, Harris, &amp; Maratsos, 2007; Ruggeri, Sim, &amp; Xu, 2017)</w:t>
      </w:r>
      <w:r>
        <w:t xml:space="preserve"> </w:t>
      </w:r>
      <w:r>
        <w:t xml:space="preserve">in ways that seem specifically targeted to reduce uncertainty. Furthermore, they benefit from the ability to control the timing and content of their learning</w:t>
      </w:r>
      <w:r>
        <w:t xml:space="preserve"> </w:t>
      </w:r>
      <w:r>
        <w:t xml:space="preserve">(Markant, Ruggeri, Gureckis, &amp; Xu, 2016)</w:t>
      </w:r>
      <w:r>
        <w:t xml:space="preserve">. These activities have been termed</w:t>
      </w:r>
      <w:r>
        <w:t xml:space="preserve"> </w:t>
      </w:r>
      <w:r>
        <w:t xml:space="preserve">“</w:t>
      </w:r>
      <w:r>
        <w:t xml:space="preserve">active learning,</w:t>
      </w:r>
      <w:r>
        <w:t xml:space="preserve">”</w:t>
      </w:r>
      <w:r>
        <w:t xml:space="preserve"> </w:t>
      </w:r>
      <w:r>
        <w:t xml:space="preserve">to distinguish them from learning contexts in which the learner does not have control over their learning input</w:t>
      </w:r>
      <w:r>
        <w:t xml:space="preserve"> </w:t>
      </w:r>
      <w:r>
        <w:t xml:space="preserve">(Gureckis &amp; Markant, 2012)</w:t>
      </w:r>
      <w:r>
        <w:t xml:space="preserve">.</w:t>
      </w:r>
    </w:p>
    <w:p>
      <w:pPr>
        <w:pStyle w:val="Textkrper"/>
      </w:pPr>
      <w:r>
        <w:t xml:space="preserve">This burgeoning literature suggests that in many contexts children are able to identify gaps in knowledge and act intentionally to fill those gaps. However, it is still unclear how the reciprocal processes of uncertainty monitoring and information gathering operate across different learning domains and across development. Although the ability to monitor epistemic uncertainty is logically prerequisite to active learning, evidence about young children’s metacognitive abilities has been mixed and appears task-dependent.</w:t>
      </w:r>
    </w:p>
    <w:p>
      <w:pPr>
        <w:pStyle w:val="Textkrper"/>
      </w:pPr>
      <w:r>
        <w:t xml:space="preserve">Here, we focus in particular on the case of children’s awareness of referential ambiguity. For example, imagine a child hears the phrase</w:t>
      </w:r>
      <w:r>
        <w:t xml:space="preserve"> </w:t>
      </w:r>
      <w:r>
        <w:t xml:space="preserve">“</w:t>
      </w:r>
      <w:r>
        <w:t xml:space="preserve">where’s the spatula</w:t>
      </w:r>
      <w:r>
        <w:t xml:space="preserve">”</w:t>
      </w:r>
      <w:r>
        <w:t xml:space="preserve"> </w:t>
      </w:r>
      <w:r>
        <w:t xml:space="preserve">but doesn’t know the word</w:t>
      </w:r>
      <w:r>
        <w:t xml:space="preserve"> </w:t>
      </w:r>
      <w:r>
        <w:t xml:space="preserve">“</w:t>
      </w:r>
      <w:r>
        <w:t xml:space="preserve">spatula.</w:t>
      </w:r>
      <w:r>
        <w:t xml:space="preserve">”</w:t>
      </w:r>
      <w:r>
        <w:t xml:space="preserve"> </w:t>
      </w:r>
      <w:r>
        <w:t xml:space="preserve">At what point will she recognize that this is an unknown referential term and search for information to identify its referent? Awareness of referential ambiguity – or linguistic uncertainty more broadly – could be an important mechanism for language acquisition. Knowing that you have incomplete linguistic information could prompt active learning behaviors including asking for help or seeking other disambiguating referential information. There is still limited evidence about young children’s tracking of lexical uncertainty or associated active learning behaviors, however. In the following section we review previous evidence about linguistic uncertainty monitoring and uncertainty monitoring in other domains.</w:t>
      </w:r>
    </w:p>
    <w:p>
      <w:pPr>
        <w:pStyle w:val="berschrift2"/>
      </w:pPr>
      <w:bookmarkStart w:id="23" w:name="development-of-uncertainty-monitoring"/>
      <w:bookmarkEnd w:id="23"/>
      <w:r>
        <w:t xml:space="preserve">Development of uncertainty monitoring</w:t>
      </w:r>
    </w:p>
    <w:p>
      <w:pPr>
        <w:pStyle w:val="FirstParagraph"/>
      </w:pPr>
      <w:r>
        <w:t xml:space="preserve">One important question is whether children can explicitly report on their ignorance about words. Marazita and Merriman</w:t>
      </w:r>
      <w:r>
        <w:t xml:space="preserve"> </w:t>
      </w:r>
      <w:r>
        <w:t xml:space="preserve">(2004)</w:t>
      </w:r>
      <w:r>
        <w:t xml:space="preserve"> </w:t>
      </w:r>
      <w:r>
        <w:t xml:space="preserve">tested 2.5-year-olds and 4-year-olds’ abilities to judge whether they knew the names for familiar and novel objects, and whether they knew what familiar and novel words meant. Both age groups struggled to report on their ignorance, but there were dramatic improvements between age 2.5 and 4. When asked if they knew the names for novel objects, 4-year-olds claimed knowledge 27% of the time and 2.5-year-olds claimed knowledge 70% of the time. When asked about novel words embedded in a story (e.g.,</w:t>
      </w:r>
      <w:r>
        <w:t xml:space="preserve"> </w:t>
      </w:r>
      <w:r>
        <w:t xml:space="preserve">“</w:t>
      </w:r>
      <w:r>
        <w:t xml:space="preserve">… Spot had other things he liked to hide such as a biffle, a truck, and a pug. Do you know what a biffle is?</w:t>
      </w:r>
      <w:r>
        <w:t xml:space="preserve">”</w:t>
      </w:r>
      <w:r>
        <w:t xml:space="preserve">) 4-year-olds responded</w:t>
      </w:r>
      <w:r>
        <w:t xml:space="preserve"> </w:t>
      </w:r>
      <w:r>
        <w:t xml:space="preserve">“</w:t>
      </w:r>
      <w:r>
        <w:t xml:space="preserve">yes</w:t>
      </w:r>
      <w:r>
        <w:t xml:space="preserve">”</w:t>
      </w:r>
      <w:r>
        <w:t xml:space="preserve"> </w:t>
      </w:r>
      <w:r>
        <w:t xml:space="preserve">27% of the time and 2.5-year-olds responded</w:t>
      </w:r>
      <w:r>
        <w:t xml:space="preserve"> </w:t>
      </w:r>
      <w:r>
        <w:t xml:space="preserve">“</w:t>
      </w:r>
      <w:r>
        <w:t xml:space="preserve">yes</w:t>
      </w:r>
      <w:r>
        <w:t xml:space="preserve">”</w:t>
      </w:r>
      <w:r>
        <w:t xml:space="preserve"> </w:t>
      </w:r>
      <w:r>
        <w:t xml:space="preserve">79% of the time. In sum, although even 4-year-olds failed to report on their lexical ignorance with some frequency, there were considerable developmental improvements between ages 2.5 to 4. In another study by Lyons and Ghetti</w:t>
      </w:r>
      <w:r>
        <w:t xml:space="preserve"> </w:t>
      </w:r>
      <w:r>
        <w:t xml:space="preserve">(2011)</w:t>
      </w:r>
      <w:r>
        <w:t xml:space="preserve">, 3- to 5-year-olds reported higher confidence when they provided the correct labels for objects compared to incorrect labels. While 3-year-olds were only slightly less likely to report high confidence when incorrect compared to correct, 5-year-olds were much less likely to report high confidence when incorrect.</w:t>
      </w:r>
    </w:p>
    <w:p>
      <w:pPr>
        <w:pStyle w:val="Textkrper"/>
      </w:pPr>
      <w:r>
        <w:t xml:space="preserve">Other studies have investigated the development of uncertainty monitoring during early childhood in non-linguistic domains. Overall, when asked explicitly about their confidence or knowledge, young children tend to overestimate their likely accuracy and fail to recognize their own ignorance. Hembacher and Ghetti</w:t>
      </w:r>
      <w:r>
        <w:t xml:space="preserve"> </w:t>
      </w:r>
      <w:r>
        <w:t xml:space="preserve">(2014)</w:t>
      </w:r>
      <w:r>
        <w:t xml:space="preserve"> </w:t>
      </w:r>
      <w:r>
        <w:t xml:space="preserve">investigated children’s confidence in their memories for pictures they had studied using a pictorial confidence scale similar to Lyons et al. They found that 3-year-olds were equally confident for correct and incorrect answers, while 4- and 5-year-olds were more confident for their correct answers</w:t>
      </w:r>
      <w:r>
        <w:t xml:space="preserve"> </w:t>
      </w:r>
      <w:r>
        <w:t xml:space="preserve">(Hembacher &amp; Ghetti, 2014)</w:t>
      </w:r>
      <w:r>
        <w:t xml:space="preserve">. Furthermore, only 5-year-olds were most confident about their memories for images they had studied for longer. This is in contrast to Lyons et al. and Coughlin, Hembacher, Lyons and Ghetti</w:t>
      </w:r>
      <w:r>
        <w:t xml:space="preserve"> </w:t>
      </w:r>
      <w:r>
        <w:t xml:space="preserve">(2014)</w:t>
      </w:r>
      <w:r>
        <w:t xml:space="preserve"> </w:t>
      </w:r>
      <w:r>
        <w:t xml:space="preserve">who found that even 3-year-olds were less confident for their incorrect responses in perceptual and lexical tasks, although there were developmental improvements across the age span tested. Thus, children’s uncertainty monitoring may depend on the cognitive task being reflected on.</w:t>
      </w:r>
    </w:p>
    <w:p>
      <w:pPr>
        <w:pStyle w:val="Textkrper"/>
      </w:pPr>
      <w:r>
        <w:t xml:space="preserve">The studies outlined above ask children to reflect on their uncertainty in discrete decisions; a related question is whether young children spontaneously realize when they have incomplete information or have not comprehended something. Markman</w:t>
      </w:r>
      <w:r>
        <w:t xml:space="preserve"> </w:t>
      </w:r>
      <w:r>
        <w:t xml:space="preserve">(1977)</w:t>
      </w:r>
      <w:r>
        <w:t xml:space="preserve"> </w:t>
      </w:r>
      <w:r>
        <w:t xml:space="preserve">gave preschoolers incomplete instructions to complete a task (i.e., a card game or a magic trick), and asked them if they knew how to proceed. Even after multiple prompts (e.g.,</w:t>
      </w:r>
      <w:r>
        <w:t xml:space="preserve"> </w:t>
      </w:r>
      <w:r>
        <w:t xml:space="preserve">“</w:t>
      </w:r>
      <w:r>
        <w:t xml:space="preserve">What do you think?</w:t>
      </w:r>
      <w:r>
        <w:t xml:space="preserve">”</w:t>
      </w:r>
      <w:r>
        <w:t xml:space="preserve">,</w:t>
      </w:r>
      <w:r>
        <w:t xml:space="preserve"> </w:t>
      </w:r>
      <w:r>
        <w:t xml:space="preserve">“</w:t>
      </w:r>
      <w:r>
        <w:t xml:space="preserve">Do you have any questions?</w:t>
      </w:r>
      <w:r>
        <w:t xml:space="preserve">”</w:t>
      </w:r>
      <w:r>
        <w:t xml:space="preserve">), children did not indicate that they were unsure how to play the game. On average, 1st graders did not ask any questions until they were asked</w:t>
      </w:r>
      <w:r>
        <w:t xml:space="preserve"> </w:t>
      </w:r>
      <w:r>
        <w:t xml:space="preserve">“</w:t>
      </w:r>
      <w:r>
        <w:t xml:space="preserve">Can you tell me how to play?</w:t>
      </w:r>
      <w:r>
        <w:t xml:space="preserve">”</w:t>
      </w:r>
      <w:r>
        <w:t xml:space="preserve">, which presumably forced them to confront their ignorance of the critical steps. Children also report knowing the unseen contents of a box if they have seen several items that may have gone into the box (i.e., they have</w:t>
      </w:r>
      <w:r>
        <w:t xml:space="preserve"> </w:t>
      </w:r>
      <w:r>
        <w:t xml:space="preserve">“</w:t>
      </w:r>
      <w:r>
        <w:t xml:space="preserve">partial exposure</w:t>
      </w:r>
      <w:r>
        <w:t xml:space="preserve">”</w:t>
      </w:r>
      <w:r>
        <w:t xml:space="preserve"> </w:t>
      </w:r>
      <w:r>
        <w:t xml:space="preserve">to the contents) until the age of 6</w:t>
      </w:r>
      <w:r>
        <w:t xml:space="preserve"> </w:t>
      </w:r>
      <w:r>
        <w:t xml:space="preserve">(Rohwer, Kloo, &amp; Perner, 2012)</w:t>
      </w:r>
      <w:r>
        <w:t xml:space="preserve">.</w:t>
      </w:r>
    </w:p>
    <w:p>
      <w:pPr>
        <w:pStyle w:val="Textkrper"/>
      </w:pPr>
      <w:r>
        <w:t xml:space="preserve">In sum, there is mixed evidence about young children’s metacognitive competencies in tasks that require explicit responses from children. However, these paradigms may underestimate children’s ability to track epistemic uncertainty and act on it, and critically, they have seldom addressed awareness of uncertainty in linguistic contexts. The few studies that investigated linguistic uncertainty directly showed that young children struggle to report when they don’t know the names for things, or when a label is unfamiliar. One possibility is that children’s tracking of linguistic uncertainty is apparent in their spontaneous information-seeking behaviors before they can report on it explicitly. In the following section we review evidence that young children who fail explicit non-linguistic metacognitive tasks nonetheless explore and seek information selectively based on uncertainty.</w:t>
      </w:r>
    </w:p>
    <w:p>
      <w:pPr>
        <w:pStyle w:val="berschrift2"/>
      </w:pPr>
      <w:bookmarkStart w:id="24" w:name="development-of-spontaneous-information-seeking"/>
      <w:bookmarkEnd w:id="24"/>
      <w:r>
        <w:t xml:space="preserve">Development of Spontaneous Information-seeking</w:t>
      </w:r>
    </w:p>
    <w:p>
      <w:pPr>
        <w:pStyle w:val="FirstParagraph"/>
      </w:pPr>
      <w:r>
        <w:t xml:space="preserve">A number of studies have now shown that children’s spontaneous information-seeking behaviors track uncertainty. For example, Call and Carpenter</w:t>
      </w:r>
      <w:r>
        <w:t xml:space="preserve"> </w:t>
      </w:r>
      <w:r>
        <w:t xml:space="preserve">(2001)</w:t>
      </w:r>
      <w:r>
        <w:t xml:space="preserve"> </w:t>
      </w:r>
      <w:r>
        <w:t xml:space="preserve">had 2-year-olds choose between several tubes to find a hidden sticker. They found that the toddlers were more likely to peek inside a tube before choosing when they had not seen the baiting of the tubes compared to when they had, suggesting they were aware of their knowledge or ignorance and selectively sought confirmatory evidence before committing to a response when they did not know a sticker’s location.</w:t>
      </w:r>
    </w:p>
    <w:p>
      <w:pPr>
        <w:pStyle w:val="Textkrper"/>
      </w:pPr>
      <w:r>
        <w:t xml:space="preserve">Other studies have shown that young children can opt out of responding or seek help when uncertain of their memories. Balcomb and Gerken</w:t>
      </w:r>
      <w:r>
        <w:t xml:space="preserve"> </w:t>
      </w:r>
      <w:r>
        <w:t xml:space="preserve">(2008)</w:t>
      </w:r>
      <w:r>
        <w:t xml:space="preserve"> </w:t>
      </w:r>
      <w:r>
        <w:t xml:space="preserve">had 3.5-year-olds complete a memory task in which they could opt out of responding to individual trials. Children performed worse on trials they had opted out of when they were forced to answer them later on, suggesting that they used the opt-out option strategically to avoid answering when they were uncertain about their responses. In another study, Goupil, Romand-Monnier, and Kouider</w:t>
      </w:r>
      <w:r>
        <w:t xml:space="preserve"> </w:t>
      </w:r>
      <w:r>
        <w:t xml:space="preserve">(2016)</w:t>
      </w:r>
      <w:r>
        <w:t xml:space="preserve"> </w:t>
      </w:r>
      <w:r>
        <w:t xml:space="preserve">trained 20-month-olds to look at their parents if they needed help with a memory task in which they had to locate a hidden toy. Toddlers were more likely to seek help when they were completely ignorant of the toy’s location, and when the task was more difficult because the delay between hiding and test was longer. These studies suggest that young children can monitor the strength (or absence) of memories and seek information when they are less likely to respond correctly.</w:t>
      </w:r>
    </w:p>
    <w:p>
      <w:pPr>
        <w:pStyle w:val="Textkrper"/>
      </w:pPr>
      <w:r>
        <w:t xml:space="preserve">There is also evidence that young children selectively explore when evidence is confounded (i.e., when existing evidence supports multiple causal hypotheses). For example, Schulz &amp; Bonawitz</w:t>
      </w:r>
      <w:r>
        <w:t xml:space="preserve"> </w:t>
      </w:r>
      <w:r>
        <w:t xml:space="preserve">(2007)</w:t>
      </w:r>
      <w:r>
        <w:t xml:space="preserve"> </w:t>
      </w:r>
      <w:r>
        <w:t xml:space="preserve">found that preschoolers spent more time playing with a toy when they witnessed confounded evidence about its causal structure. Children who experienced a demonstration of a toy in which two levers were simultaneously depressed and caused two simultaneous events (a toy duck and puppet popping up) spent more time playing with that toy compared to children who saw a demonstration in which one lever was depressed at a time, revealing the unique function of each lever. This finding is consistent with the prediction that preschool-aged children track causal ambiguity and spontaneously explore more when they do not have sufficient evidence to isolate a cause for an effect.</w:t>
      </w:r>
    </w:p>
    <w:p>
      <w:pPr>
        <w:pStyle w:val="Textkrper"/>
      </w:pPr>
      <w:r>
        <w:t xml:space="preserve">Infants have also been shown to seek information selectively under conditions of ambiguity, and explore or allocate attention to information sources that are most likely to disambiguate. For example, in one pair of studies, 7- and 8-month-olds attended longer to visual displays</w:t>
      </w:r>
      <w:r>
        <w:t xml:space="preserve"> </w:t>
      </w:r>
      <w:r>
        <w:t xml:space="preserve">(Kidd, Piantadosi, &amp; Aslin, 2012)</w:t>
      </w:r>
      <w:r>
        <w:t xml:space="preserve"> </w:t>
      </w:r>
      <w:r>
        <w:t xml:space="preserve">or auditory stimuli</w:t>
      </w:r>
      <w:r>
        <w:t xml:space="preserve"> </w:t>
      </w:r>
      <w:r>
        <w:t xml:space="preserve">(Kidd, Piantadosi, &amp; Aslin, 2014)</w:t>
      </w:r>
      <w:r>
        <w:t xml:space="preserve"> </w:t>
      </w:r>
      <w:r>
        <w:t xml:space="preserve">that were neither too complex nor too simple, and thus afforded the greatest learning opportunity. Twelve-month-old infants have also been shown to track the likelihood of different events (e.g., a red ball exiting a container full of moving red and blue balls) based on reasoning about multiple cues — numerosity (the number of red compared to blue balls), physical distance (the distance from a red ball to the opening of the container) and time (how long the scene was occluded before the ball left the container). Intriguingly, infants’ surprisal (looking time) tracked with uncertainty about the likelihood of events — for example, at intermediate occlusion times, infants’ looking time was graded with respect to distance and numerosity in an additive fashion</w:t>
      </w:r>
      <w:r>
        <w:t xml:space="preserve"> </w:t>
      </w:r>
      <w:r>
        <w:t xml:space="preserve">(Teglas et al., 2011)</w:t>
      </w:r>
      <w:r>
        <w:t xml:space="preserve">.</w:t>
      </w:r>
    </w:p>
    <w:p>
      <w:pPr>
        <w:pStyle w:val="Textkrper"/>
      </w:pPr>
      <w:r>
        <w:t xml:space="preserve">While these studies suggest that young children and even infants may track the evidence associated with different possibilities and selectively seek disambiguating information, it remains unknown whether they do so when they have incomplete linguistic information. As outlined above, some mental states and processes may be more difficult to introspect on than others (e.g., younger preschoolers succeed at monitoring epistemic uncertainty in a perceptual identification task but fail in a memory task). Further, children may base their metacognitive judgments on superficial characteristics of words or objects, such as how perceptually familiar they are, without reflecting on whether they know the corresponding label or referent for either</w:t>
      </w:r>
      <w:r>
        <w:t xml:space="preserve"> </w:t>
      </w:r>
      <w:r>
        <w:t xml:space="preserve">(Marazita &amp; Merriman, 2004)</w:t>
      </w:r>
      <w:r>
        <w:t xml:space="preserve">.</w:t>
      </w:r>
    </w:p>
    <w:p>
      <w:pPr>
        <w:pStyle w:val="berschrift2"/>
      </w:pPr>
      <w:bookmarkStart w:id="25" w:name="current-study"/>
      <w:bookmarkEnd w:id="25"/>
      <w:r>
        <w:t xml:space="preserve">Current study</w:t>
      </w:r>
    </w:p>
    <w:p>
      <w:pPr>
        <w:pStyle w:val="FirstParagraph"/>
      </w:pPr>
      <w:r>
        <w:t xml:space="preserve">The present study investigates children’s information-seeking behaviors on the basis of referential ambiguity. Specifically, we ask whether children are more likely to seek disambiguating social information by looking at the experimenter when they are uncertain of the referent of a label they have been asked to act on. We chose to examine this ability in early childhood (ages 2 to 5), because, as discussed, research under a metacognitive framework has identified this as a developmental period in which children improve substantially in their ability to identify their own ignorance and uncertainty, including in a linguistic domain</w:t>
      </w:r>
      <w:r>
        <w:t xml:space="preserve"> </w:t>
      </w:r>
      <w:r>
        <w:t xml:space="preserve">(Coughlin et al., 2014; Hembacher &amp; Ghetti, 2014,</w:t>
      </w:r>
      <w:r>
        <w:t xml:space="preserve"> </w:t>
      </w:r>
      <w:r>
        <w:t xml:space="preserve">Lyons and Zelazo (2011)</w:t>
      </w:r>
      <w:r>
        <w:t xml:space="preserve">,</w:t>
      </w:r>
      <w:r>
        <w:t xml:space="preserve"> </w:t>
      </w:r>
      <w:r>
        <w:t xml:space="preserve">Marazita and Merriman (2004)</w:t>
      </w:r>
      <w:r>
        <w:t xml:space="preserve">,</w:t>
      </w:r>
      <w:r>
        <w:t xml:space="preserve"> </w:t>
      </w:r>
      <w:r>
        <w:t xml:space="preserve">(</w:t>
      </w:r>
      <w:r>
        <w:rPr>
          <w:b/>
        </w:rPr>
        <w:t xml:space="preserve">???</w:t>
      </w:r>
      <w:r>
        <w:t xml:space="preserve">)</w:t>
      </w:r>
      <w:r>
        <w:t xml:space="preserve">)</w:t>
      </w:r>
      <w:r>
        <w:t xml:space="preserve">.</w:t>
      </w:r>
    </w:p>
    <w:p>
      <w:pPr>
        <w:pStyle w:val="Textkrper"/>
      </w:pPr>
      <w:r>
        <w:t xml:space="preserve">We manipulated ambiguity by adapting a paradigm used by Vaish, Demir and Baldwin</w:t>
      </w:r>
      <w:r>
        <w:t xml:space="preserve"> </w:t>
      </w:r>
      <w:r>
        <w:t xml:space="preserve">(2011)</w:t>
      </w:r>
      <w:r>
        <w:t xml:space="preserve"> </w:t>
      </w:r>
      <w:r>
        <w:t xml:space="preserve">to test infants’ selective gaze referencing. In that study, 12- to 18-month-olds heard an experimenter produce a label for an object in the presence of one or two novel objects. Infants looked at the experimenter more often when there were two objects present, and the referent was thus ambiguous. This evidence suggests that older infants recognize the need for disambiguating information and reference the speaker’s gaze direction accordingly.</w:t>
      </w:r>
    </w:p>
    <w:p>
      <w:pPr>
        <w:pStyle w:val="Textkrper"/>
      </w:pPr>
      <w:r>
        <w:t xml:space="preserve">Here, we expand on this finding to ask whether 2- to 5-year-olds seek social information throughout the course of a task in which a speaker labels an object and asks the child to put the named object in a bucket. Similar to Vaish et al., we examined the number of times children looked up at the experimenter depending on the ambiguity of the label. We examine children’s use of social information during labeling, similar to Vaish et al., but also during children’s decision about which object to place in the bucket. We also control for the number of objects by including unambiguous trials with two familiar objects, one familiar object, and one novel object, and the ambiguous trials with two novel objects.</w:t>
      </w:r>
    </w:p>
    <w:p>
      <w:pPr>
        <w:pStyle w:val="Textkrper"/>
      </w:pPr>
      <w:r>
        <w:t xml:space="preserve">In Experiment 2, we additionally manipulate the amount of referential evidence available allowing us to investigate whether preschoolers’ information-gathering is sensitive to graded lexical uncertainty (i.e., whether they are increasingly likely to answer independently without seeking information as the amount of referential evidence increases). There are several reasons to investigate children’s sensitivity to graded evidence. First, probabilistic models of cognition and learning require that individuals be able to track the amount of evidence for alternative beliefs (and corresponding uncertainty), perhaps through heuristics such as</w:t>
      </w:r>
      <w:r>
        <w:t xml:space="preserve"> </w:t>
      </w:r>
      <w:r>
        <w:t xml:space="preserve">“</w:t>
      </w:r>
      <w:r>
        <w:t xml:space="preserve">win-stay lose-sample</w:t>
      </w:r>
      <w:r>
        <w:t xml:space="preserve">”</w:t>
      </w:r>
      <w:r>
        <w:t xml:space="preserve"> </w:t>
      </w:r>
      <w:r>
        <w:t xml:space="preserve">(Bonawitz, Denison, Gopnik, &amp; Griffiths, 2014)</w:t>
      </w:r>
      <w:r>
        <w:t xml:space="preserve">. If preschool-aged children do track accumulating evidence as assumed by these models, their information-gathering behaviors should be graded with respect to the amount of evidence for a belief.</w:t>
      </w:r>
    </w:p>
    <w:p>
      <w:pPr>
        <w:pStyle w:val="Textkrper"/>
      </w:pPr>
      <w:r>
        <w:t xml:space="preserve">More generally, a complete theory of early metacognition and learning should encompass children’s ability to respond appropriately to graded evidence. Metacognitive theories assume that effective behavioral regulation and response selection rely on individuals’ abilities to track the likelihood of being correct based not only on complete knowledge or ignorance, but on graded evidence</w:t>
      </w:r>
      <w:r>
        <w:t xml:space="preserve"> </w:t>
      </w:r>
      <w:r>
        <w:t xml:space="preserve">(Lyons &amp; Zelazo, 2011)</w:t>
      </w:r>
      <w:r>
        <w:t xml:space="preserve">. For example, having more information in support of a belief should make individuals more willing to share that information with others, and having less information should motivate help-seeking</w:t>
      </w:r>
      <w:r>
        <w:t xml:space="preserve"> </w:t>
      </w:r>
      <w:r>
        <w:t xml:space="preserve">(Ghetti, Hembacher, &amp; Coughlin, 2013)</w:t>
      </w:r>
      <w:r>
        <w:t xml:space="preserve">. In sum, the present study investigates whether children ages 2 to 5 seek disambiguating social information on the basis of referential ambiguity. If so, this could be an important mechanism for language acquisition during early childhood.</w:t>
      </w:r>
    </w:p>
    <w:p>
      <w:pPr>
        <w:pStyle w:val="FigureWithCaption"/>
      </w:pPr>
      <w:r>
        <w:drawing>
          <wp:inline>
            <wp:extent cx="5969000" cy="5969000"/>
            <wp:effectExtent b="0" l="0" r="0" t="0"/>
            <wp:docPr descr="Figure 1 Study design for Experiments 1 and 2. Children were shown one or two objects, heard a label, and were asked to place the labeled object in a bucket. Referential ambiguity was manipulated through the familiarity of the objects present and through the availability of referential gaze." title="" id="1" name="Picture"/>
            <a:graphic>
              <a:graphicData uri="http://schemas.openxmlformats.org/drawingml/2006/picture">
                <pic:pic>
                  <pic:nvPicPr>
                    <pic:cNvPr descr="figs/design-1.png" id="0" name="Picture"/>
                    <pic:cNvPicPr>
                      <a:picLocks noChangeArrowheads="1" noChangeAspect="1"/>
                    </pic:cNvPicPr>
                  </pic:nvPicPr>
                  <pic:blipFill>
                    <a:blip r:embed="rId26"/>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1 Study design for Experiments 1 and 2. Children were shown one or two objects, heard a label, and were asked to place the labeled object in a bucket. Referential ambiguity was manipulated through the familiarity of the objects present and through the availability of referential gaze.</w:t>
      </w:r>
    </w:p>
    <w:p>
      <w:pPr>
        <w:pStyle w:val="berschrift1"/>
      </w:pPr>
      <w:bookmarkStart w:id="27" w:name="experiment-1"/>
      <w:bookmarkEnd w:id="27"/>
      <w:r>
        <w:t xml:space="preserve">Experiment 1</w:t>
      </w:r>
    </w:p>
    <w:p>
      <w:pPr>
        <w:pStyle w:val="FirstParagraph"/>
      </w:pPr>
      <w:r>
        <w:t xml:space="preserve">In Experiment 1, we examined whether children would visually reference a speaker more often when the speaker produced a referentially ambiguous label compared to an unambiguous label. Children sat across from an experimenter who labeled an object on the table between them (Figure</w:t>
      </w:r>
      <w:r>
        <w:t xml:space="preserve"> </w:t>
      </w:r>
      <w:r>
        <w:t xml:space="preserve">). The experimenter then asked the child to place the named object in a bucket. Across trials, there were either one or two objects on the table, which were either familiar or novel to the child. This design allowed us to test whether merely having more than one object present is sufficient to increase information gathering, or if referential ambiguity (and thus epistemic uncertainty) is the underlying factor. If the latter is true, we expected children to increase their looking to the experimenter only on trials with two unfamiliar objects, when the object-label mapping was not known and could not be inferred.</w:t>
      </w:r>
    </w:p>
    <w:p>
      <w:pPr>
        <w:pStyle w:val="Textkrper"/>
      </w:pPr>
      <w:r>
        <w:t xml:space="preserve">We were interested in the amount of information gathering children exhibited across the trial. We considered four different phases of each trial based on the notion that children might expect different social information at different stages of the task. Specifically, we predicted that children might expect the speaker’s gaze direction to be informative during the labeling itself, as speakers tend to look at objects they refer to. We also predicted that later in the trial, as children reached for an object and placed it in the bucket, they might expect evaluative feedback about their choice (e.g., facial expressions of encouragement or discouragement).</w:t>
      </w:r>
    </w:p>
    <w:p>
      <w:pPr>
        <w:pStyle w:val="berschrift2"/>
      </w:pPr>
      <w:bookmarkStart w:id="28" w:name="methods"/>
      <w:bookmarkEnd w:id="28"/>
      <w:r>
        <w:t xml:space="preserve">Methods</w:t>
      </w:r>
    </w:p>
    <w:p>
      <w:pPr>
        <w:pStyle w:val="berschrift3"/>
      </w:pPr>
      <w:bookmarkStart w:id="29" w:name="participants"/>
      <w:bookmarkEnd w:id="29"/>
      <w:r>
        <w:t xml:space="preserve">Participants</w:t>
      </w:r>
    </w:p>
    <w:p>
      <w:pPr>
        <w:pStyle w:val="FirstParagraph"/>
      </w:pPr>
      <w:r>
        <w:t xml:space="preserve">We recruited a planned sample of 80 children ages 2-5 years from the Children’s Discovery Museum in San Jose, California</w:t>
      </w:r>
      <w:r>
        <w:rPr>
          <w:rStyle w:val="Funotenzeichen"/>
        </w:rPr>
        <w:footnoteReference w:id="30"/>
      </w:r>
      <w:r>
        <w:t xml:space="preserve">. The sample included 20 2-year-olds (mean age 31.7 months), 20 3-year-olds (mean age 42.7 months), 20 4-year-olds (mean age 55.8 months), and 20 5-year-olds (mean age 65.1 months). An additional 20 children participated but were removed from analyses because they heard English less than 75% of the time at home (</w:t>
      </w:r>
      <w:r>
        <w:rPr>
          <w:i/>
        </w:rPr>
        <w:t xml:space="preserve">n</w:t>
      </w:r>
      <w:r>
        <w:t xml:space="preserve"> </w:t>
      </w:r>
      <w:r>
        <w:t xml:space="preserve">= 10), because they were unable to complete at least half of the trials in the task (</w:t>
      </w:r>
      <w:r>
        <w:rPr>
          <w:i/>
        </w:rPr>
        <w:t xml:space="preserve">n</w:t>
      </w:r>
      <w:r>
        <w:t xml:space="preserve"> </w:t>
      </w:r>
      <w:r>
        <w:t xml:space="preserve">= 4), because of parental interference (</w:t>
      </w:r>
      <w:r>
        <w:rPr>
          <w:i/>
        </w:rPr>
        <w:t xml:space="preserve">n</w:t>
      </w:r>
      <w:r>
        <w:t xml:space="preserve"> </w:t>
      </w:r>
      <w:r>
        <w:t xml:space="preserve">= 1), or due to experimenter or technical errors (</w:t>
      </w:r>
      <w:r>
        <w:rPr>
          <w:i/>
        </w:rPr>
        <w:t xml:space="preserve">n</w:t>
      </w:r>
      <w:r>
        <w:t xml:space="preserve"> </w:t>
      </w:r>
      <w:r>
        <w:t xml:space="preserve">= 5).</w:t>
      </w:r>
    </w:p>
    <w:p>
      <w:pPr>
        <w:pStyle w:val="berschrift3"/>
      </w:pPr>
      <w:bookmarkStart w:id="32" w:name="stimuli-and-design"/>
      <w:bookmarkEnd w:id="32"/>
      <w:r>
        <w:t xml:space="preserve">Stimuli and Design</w:t>
      </w:r>
    </w:p>
    <w:p>
      <w:pPr>
        <w:pStyle w:val="FirstParagraph"/>
      </w:pPr>
      <w:r>
        <w:t xml:space="preserve">Children were presented with one or two objects, heard a label, and were asked to put the labeled object in a bucket. Half of the objects were selected to be familiar to children (e.g., a cow) and half were selected to be novel (e.g., an unusual-looking nozzle). The familiar items had names that the majority of children recognize by 24 months</w:t>
      </w:r>
      <w:r>
        <w:t xml:space="preserve"> </w:t>
      </w:r>
      <w:r>
        <w:t xml:space="preserve">(Frank, Braginsky, Yurovsky, &amp; Marchman, 2016)</w:t>
      </w:r>
      <w:r>
        <w:t xml:space="preserve">. There were four possible trial types based on the number and familiarity of the objects present: one familiar object (F), one novel object (N), two familiar objects (FF), and two novel objects (NN). There were three trials of each type, for a total of twelve trials. Trial types were presented sequentially in an order that was counterbalanced across participants. The assignment of individual objects to trial types was counterbalanced. On F and FF trials, the familiar label for the target object was used (e.g.,</w:t>
      </w:r>
      <w:r>
        <w:t xml:space="preserve"> </w:t>
      </w:r>
      <w:r>
        <w:t xml:space="preserve">“</w:t>
      </w:r>
      <w:r>
        <w:t xml:space="preserve">cow</w:t>
      </w:r>
      <w:r>
        <w:t xml:space="preserve">”</w:t>
      </w:r>
      <w:r>
        <w:t xml:space="preserve">). On N and NN trials, a novel label was used (e.g.,</w:t>
      </w:r>
      <w:r>
        <w:t xml:space="preserve"> </w:t>
      </w:r>
      <w:r>
        <w:t xml:space="preserve">“</w:t>
      </w:r>
      <w:r>
        <w:t xml:space="preserve">dawnoo</w:t>
      </w:r>
      <w:r>
        <w:t xml:space="preserve">”</w:t>
      </w:r>
      <w:r>
        <w:t xml:space="preserve">).</w:t>
      </w:r>
    </w:p>
    <w:p>
      <w:pPr>
        <w:pStyle w:val="Textkrper"/>
      </w:pPr>
      <w:r>
        <w:t xml:space="preserve">The critical manipulation was of referential ambiguity; F and FF trials were referentially unambiguous, as children were expected to be certain about the objects and their labels. Similarly, on N trials, children were expected to be certain about the label referent as there was only one option. However, NN trials were referentially ambiguous, as the novel label could apply to either novel object.</w:t>
      </w:r>
    </w:p>
    <w:p>
      <w:pPr>
        <w:pStyle w:val="Textkrper"/>
      </w:pPr>
      <w:r>
        <w:t xml:space="preserve">Throughout the task, the experimenter never gazed at the object they were labeling or responded to children’s verbal or non-verbal bids for help by indicating the correct object. Thus, children were expected to remain uncertain about the referent for the duration of the trial when two novel objects were present.</w:t>
      </w:r>
    </w:p>
    <w:p>
      <w:pPr>
        <w:pStyle w:val="berschrift3"/>
      </w:pPr>
      <w:bookmarkStart w:id="33" w:name="procedure"/>
      <w:bookmarkEnd w:id="33"/>
      <w:r>
        <w:t xml:space="preserve">Procedure</w:t>
      </w:r>
    </w:p>
    <w:p>
      <w:pPr>
        <w:pStyle w:val="FirstParagraph"/>
      </w:pPr>
      <w:r>
        <w:t xml:space="preserve">Throughout the study, the child sat at one end of a large circular table, and the experimenter stood at the opposite end. Each trial proceeded as follows: the experimenter placed one or two objects on the left and/or right sides of the table, out of reach of the child so that the child could not interact with the toys during the labeling event. For one-object trials, the location of the object (left or right) alternated between trials. After placing the objects, the experimenter said,</w:t>
      </w:r>
      <w:r>
        <w:t xml:space="preserve"> </w:t>
      </w:r>
      <w:r>
        <w:t xml:space="preserve">“</w:t>
      </w:r>
      <w:r>
        <w:t xml:space="preserve">Hey look, there’s a (target) here.</w:t>
      </w:r>
      <w:r>
        <w:t xml:space="preserve">”</w:t>
      </w:r>
      <w:r>
        <w:t xml:space="preserve"> </w:t>
      </w:r>
      <w:r>
        <w:t xml:space="preserve">The experimenter gazed at the center of the table rather than the object they labeled. The experimenter waited approximately two seconds based on a visual metronome placed within view before saying,</w:t>
      </w:r>
      <w:r>
        <w:t xml:space="preserve"> </w:t>
      </w:r>
      <w:r>
        <w:t xml:space="preserve">“</w:t>
      </w:r>
      <w:r>
        <w:t xml:space="preserve">Can you put the (target) in the bucket?</w:t>
      </w:r>
      <w:r>
        <w:t xml:space="preserve">”</w:t>
      </w:r>
      <w:r>
        <w:t xml:space="preserve"> </w:t>
      </w:r>
      <w:r>
        <w:t xml:space="preserve">They then pushed the object(s) forward within reach of the child and placed a plastic bucket in the center of the table, also within reach of the child. If the child did not respond within 10 seconds, the experimenter repeated the question. The experimenter provided no accuracy feedback to children throughout the trial. After the child placed an object in the bucket, the experimenter said</w:t>
      </w:r>
      <w:r>
        <w:t xml:space="preserve"> </w:t>
      </w:r>
      <w:r>
        <w:t xml:space="preserve">“</w:t>
      </w:r>
      <w:r>
        <w:t xml:space="preserve">okay!</w:t>
      </w:r>
      <w:r>
        <w:t xml:space="preserve">”</w:t>
      </w:r>
      <w:r>
        <w:t xml:space="preserve"> </w:t>
      </w:r>
      <w:r>
        <w:t xml:space="preserve">or</w:t>
      </w:r>
      <w:r>
        <w:t xml:space="preserve"> </w:t>
      </w:r>
      <w:r>
        <w:t xml:space="preserve">“</w:t>
      </w:r>
      <w:r>
        <w:t xml:space="preserve">thank you!</w:t>
      </w:r>
      <w:r>
        <w:t xml:space="preserve">”</w:t>
      </w:r>
      <w:r>
        <w:t xml:space="preserve"> </w:t>
      </w:r>
      <w:r>
        <w:t xml:space="preserve">to maintain a positive interaction without providing information about accuracy. Prior to the twelve experimental trials, there were two training trials: an F trial and an FF trial, to acquaint the child with the procedure. If children chose the wrong object on the FF trial (which happened rarely), they were corrected. A camera placed to the side of the experimenter captured the participant’s face, so that looking behavior could be coded from video.</w:t>
      </w:r>
    </w:p>
    <w:p>
      <w:pPr>
        <w:pStyle w:val="berschrift3"/>
      </w:pPr>
      <w:bookmarkStart w:id="34" w:name="coding-procedure-and-analytic-plan"/>
      <w:bookmarkEnd w:id="34"/>
      <w:r>
        <w:t xml:space="preserve">Coding procedure and analytic plan</w:t>
      </w:r>
    </w:p>
    <w:p>
      <w:pPr>
        <w:pStyle w:val="FirstParagraph"/>
      </w:pPr>
      <w:r>
        <w:t xml:space="preserve">Videos were coded using DataVyu software (</w:t>
      </w:r>
      <w:hyperlink r:id="rId35">
        <w:r>
          <w:rPr>
            <w:rStyle w:val="Hyperlink"/>
          </w:rPr>
          <w:t xml:space="preserve">http://datavyu.org</w:t>
        </w:r>
      </w:hyperlink>
      <w:r>
        <w:t xml:space="preserve">). For each participant, we coded the number of times they referenced the experimenter throughout each trial. An alternative analytic option would be to simply code whether or not children looked at the experimenter. However, during piloting, we found that most children looked up to the experimenter at least once while they were labeling the object, suggesting that a binary measure of looking would not be meaningful.</w:t>
      </w:r>
    </w:p>
    <w:p>
      <w:pPr>
        <w:pStyle w:val="Textkrper"/>
      </w:pPr>
      <w:r>
        <w:t xml:space="preserve">Because we were interested in the precise circumstances in which children feel uncertain enough to reference a speaker, we coded the number of looks that occurred during four distinct phases of the trial: a</w:t>
      </w:r>
      <w:r>
        <w:t xml:space="preserve"> </w:t>
      </w:r>
      <w:r>
        <w:rPr>
          <w:i/>
        </w:rPr>
        <w:t xml:space="preserve">label</w:t>
      </w:r>
      <w:r>
        <w:t xml:space="preserve"> </w:t>
      </w:r>
      <w:r>
        <w:t xml:space="preserve">phase, which began at the utterance of the label and ended when the experimenter began to slide the objects, a</w:t>
      </w:r>
      <w:r>
        <w:t xml:space="preserve"> </w:t>
      </w:r>
      <w:r>
        <w:rPr>
          <w:i/>
        </w:rPr>
        <w:t xml:space="preserve">slide</w:t>
      </w:r>
      <w:r>
        <w:t xml:space="preserve"> </w:t>
      </w:r>
      <w:r>
        <w:t xml:space="preserve">phase, in which the experimenter slid the object(s) into the child’s reach, a</w:t>
      </w:r>
      <w:r>
        <w:t xml:space="preserve"> </w:t>
      </w:r>
      <w:r>
        <w:rPr>
          <w:i/>
        </w:rPr>
        <w:t xml:space="preserve">planning</w:t>
      </w:r>
      <w:r>
        <w:t xml:space="preserve"> </w:t>
      </w:r>
      <w:r>
        <w:t xml:space="preserve">phase, which began at the end of the slide and ended when the child touched an object, and a</w:t>
      </w:r>
      <w:r>
        <w:t xml:space="preserve"> </w:t>
      </w:r>
      <w:r>
        <w:rPr>
          <w:i/>
        </w:rPr>
        <w:t xml:space="preserve">response</w:t>
      </w:r>
      <w:r>
        <w:t xml:space="preserve"> </w:t>
      </w:r>
      <w:r>
        <w:t xml:space="preserve">phase, which began when the child touched an object and ended when the child released the object into the bucket. If a look began in one phase but continued into another, we counted it as a look in both phases.</w:t>
      </w:r>
    </w:p>
    <w:p>
      <w:pPr>
        <w:pStyle w:val="Textkrper"/>
      </w:pPr>
      <w:r>
        <w:t xml:space="preserve">We also noted any trials that should be excluded from analyses due to the child’s interference with the timing of the trial (e.g., talking over the experimenter), experimenter error, or outside distractions that interfered with the timing of the trial (e.g., noise from a sibling). These trial-wise exclusion criteria were preregistered. In total, we excluded 1.6% of trials from 2-year-olds, 2.0% of trials from 3-year-olds, 1.9% of trials from 4-year-olds, and 2.0% of trials from 5-year-olds on this basis.</w:t>
      </w:r>
      <w:r>
        <w:t xml:space="preserve"> </w:t>
      </w:r>
      <w:r>
        <w:t xml:space="preserve">A second coder independently scored the number of looks for one third of the trials for each participant to establish reliability. Inter-rater reliability for the number of looks in each phase was high, intraclass correlation</w:t>
      </w:r>
      <w:r>
        <w:t xml:space="preserve"> </w:t>
      </w:r>
      <w:r>
        <w:rPr>
          <w:i/>
        </w:rPr>
        <w:t xml:space="preserve">r</w:t>
      </w:r>
      <w:r>
        <w:t xml:space="preserve"> </w:t>
      </w:r>
      <w:r>
        <w:t xml:space="preserve">= .97,</w:t>
      </w:r>
      <w:r>
        <w:t xml:space="preserve"> </w:t>
      </w:r>
      <w:r>
        <w:rPr>
          <w:i/>
        </w:rPr>
        <w:t xml:space="preserve">p</w:t>
      </w:r>
      <w:r>
        <w:t xml:space="preserve"> </w:t>
      </w:r>
      <w:r>
        <w:t xml:space="preserve">&lt; .001.</w:t>
      </w:r>
    </w:p>
    <w:p>
      <w:pPr>
        <w:pStyle w:val="Textkrper"/>
      </w:pPr>
      <w:r>
        <w:t xml:space="preserve">Table</w:t>
      </w:r>
      <w:r>
        <w:t xml:space="preserve"> </w:t>
      </w:r>
      <w:r>
        <w:t xml:space="preserve"> </w:t>
      </w:r>
      <w:r>
        <w:t xml:space="preserve">displays the average durations of each of the four phases. The</w:t>
      </w:r>
      <w:r>
        <w:t xml:space="preserve"> </w:t>
      </w:r>
      <w:r>
        <w:rPr>
          <w:i/>
        </w:rPr>
        <w:t xml:space="preserve">label</w:t>
      </w:r>
      <w:r>
        <w:t xml:space="preserve"> </w:t>
      </w:r>
      <w:r>
        <w:t xml:space="preserve">and</w:t>
      </w:r>
      <w:r>
        <w:t xml:space="preserve"> </w:t>
      </w:r>
      <w:r>
        <w:rPr>
          <w:i/>
        </w:rPr>
        <w:t xml:space="preserve">response</w:t>
      </w:r>
      <w:r>
        <w:t xml:space="preserve"> </w:t>
      </w:r>
      <w:r>
        <w:t xml:space="preserve">phases are longer on average than the</w:t>
      </w:r>
      <w:r>
        <w:t xml:space="preserve"> </w:t>
      </w:r>
      <w:r>
        <w:rPr>
          <w:i/>
        </w:rPr>
        <w:t xml:space="preserve">planning</w:t>
      </w:r>
      <w:r>
        <w:t xml:space="preserve"> </w:t>
      </w:r>
      <w:r>
        <w:t xml:space="preserve">and</w:t>
      </w:r>
      <w:r>
        <w:t xml:space="preserve"> </w:t>
      </w:r>
      <w:r>
        <w:rPr>
          <w:i/>
        </w:rPr>
        <w:t xml:space="preserve">slide</w:t>
      </w:r>
      <w:r>
        <w:t xml:space="preserve"> </w:t>
      </w:r>
      <w:r>
        <w:t xml:space="preserve">phases. However, note that we are interested in comparing the amount of looking across ambiguity conditions and not across phases directly.</w:t>
      </w:r>
    </w:p>
    <w:p>
      <w:pPr>
        <w:pStyle w:val="Textkrper"/>
      </w:pPr>
      <w:r>
        <w:t xml:space="preserve">To quantify the effects of the number and familiarity of objects on children’s looking, along with any developmental trends, we planned to fit a linear mixed-effects regression. Mixed-effects models account for both fixed and random factors (such as participants and stimuli). Compared with traditional ANOVA approaches, these models provide a more accurate estimate of whether results will generalize beyond the participants and items that were sampled (Baayen, Davidson, &amp; Bates, 2008). As recommended by Barr, Levy, Scheepers, and Tily (2013), we begin with a maximal model and trim according to our standard laboratory procedures :</w:t>
      </w:r>
      <w:r>
        <w:t xml:space="preserve"> </w:t>
      </w:r>
      <w:r>
        <w:rPr>
          <w:rStyle w:val="VerbatimChar"/>
        </w:rPr>
        <w:t xml:space="preserve">number of looks ~ number of objects * familiarity * phase * age in months + (number of objects * familiarity | subject) + (1 | item)</w:t>
      </w:r>
      <w:r>
        <w:t xml:space="preserve">. Random effects are denoted by parentheses. This model specification was preregistered, as noted above.</w:t>
      </w:r>
    </w:p>
    <w:p>
      <w:pPr>
        <w:pStyle w:val="berschrift2"/>
      </w:pPr>
      <w:bookmarkStart w:id="36" w:name="results-and-discussion"/>
      <w:bookmarkEnd w:id="36"/>
      <w:r>
        <w:t xml:space="preserve">Results and Discussion</w:t>
      </w:r>
    </w:p>
    <w:p>
      <w:pPr>
        <w:pStyle w:val="berschrift3"/>
      </w:pPr>
      <w:bookmarkStart w:id="37" w:name="accuracy"/>
      <w:bookmarkEnd w:id="37"/>
      <w:r>
        <w:t xml:space="preserve">Accuracy</w:t>
      </w:r>
    </w:p>
    <w:p>
      <w:pPr>
        <w:pStyle w:val="FigureWithCaption"/>
      </w:pPr>
      <w:r>
        <w:drawing>
          <wp:inline>
            <wp:extent cx="5969000" cy="5969000"/>
            <wp:effectExtent b="0" l="0" r="0" t="0"/>
            <wp:docPr descr="Figure 2 Accuracy for FF trials in Experiment 1. Error bars are 95 percent confidence intervals." title="" id="1" name="Picture"/>
            <a:graphic>
              <a:graphicData uri="http://schemas.openxmlformats.org/drawingml/2006/picture">
                <pic:pic>
                  <pic:nvPicPr>
                    <pic:cNvPr descr="figs/acce1-1.png" id="0" name="Picture"/>
                    <pic:cNvPicPr>
                      <a:picLocks noChangeArrowheads="1" noChangeAspect="1"/>
                    </pic:cNvPicPr>
                  </pic:nvPicPr>
                  <pic:blipFill>
                    <a:blip r:embed="rId38"/>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Accuracy for FF trials in Experiment 1. Error bars are 95 percent confidence intervals.</w:t>
      </w:r>
    </w:p>
    <w:p>
      <w:pPr>
        <w:pStyle w:val="Textkrper"/>
      </w:pPr>
      <w:r>
        <w:t xml:space="preserve">We examined children’s accuracy for those trials in which a correct response was possible (i.e., FF trials). Children sometimes put two items in the bucket (2-year-olds: 30.8% of 2-object trials; 3-year-olds: 15.0%; 4-year-olds: 7.5%; 5-year-olds: 9.2%), despite instructions to choose only one. The first object children put in the bucket was coded as their response. Children in each age group were equally likely to put two objects in the bucket for familiar and unfamiliar trials (2-year-olds:</w:t>
      </w:r>
      <w:r>
        <w:t xml:space="preserve"> </w:t>
      </w:r>
      <w:r>
        <w:rPr>
          <w:i/>
        </w:rPr>
        <w:t xml:space="preserve">t</w:t>
      </w:r>
      <w:r>
        <w:t xml:space="preserve">(19) = 0.53,</w:t>
      </w:r>
      <w:r>
        <w:t xml:space="preserve"> </w:t>
      </w:r>
      <w:r>
        <w:rPr>
          <w:i/>
        </w:rPr>
        <w:t xml:space="preserve">p</w:t>
      </w:r>
      <w:r>
        <w:t xml:space="preserve"> </w:t>
      </w:r>
      <w:r>
        <w:t xml:space="preserve">=0.60; 3-year-olds:</w:t>
      </w:r>
      <w:r>
        <w:t xml:space="preserve"> </w:t>
      </w:r>
      <w:r>
        <w:rPr>
          <w:i/>
        </w:rPr>
        <w:t xml:space="preserve">t</w:t>
      </w:r>
      <w:r>
        <w:t xml:space="preserve">(19) = 1.45,</w:t>
      </w:r>
      <w:r>
        <w:t xml:space="preserve"> </w:t>
      </w:r>
      <w:r>
        <w:rPr>
          <w:i/>
        </w:rPr>
        <w:t xml:space="preserve">p</w:t>
      </w:r>
      <w:r>
        <w:t xml:space="preserve"> </w:t>
      </w:r>
      <w:r>
        <w:t xml:space="preserve">=0.16; 4-year-olds:</w:t>
      </w:r>
      <w:r>
        <w:t xml:space="preserve"> </w:t>
      </w:r>
      <w:r>
        <w:rPr>
          <w:i/>
        </w:rPr>
        <w:t xml:space="preserve">t</w:t>
      </w:r>
      <w:r>
        <w:t xml:space="preserve">(19) = -0.72,</w:t>
      </w:r>
      <w:r>
        <w:t xml:space="preserve"> </w:t>
      </w:r>
      <w:r>
        <w:rPr>
          <w:i/>
        </w:rPr>
        <w:t xml:space="preserve">p</w:t>
      </w:r>
      <w:r>
        <w:t xml:space="preserve"> </w:t>
      </w:r>
      <w:r>
        <w:t xml:space="preserve">=0.48; 5-year-olds:</w:t>
      </w:r>
      <w:r>
        <w:t xml:space="preserve"> </w:t>
      </w:r>
      <w:r>
        <w:rPr>
          <w:i/>
        </w:rPr>
        <w:t xml:space="preserve">t</w:t>
      </w:r>
      <w:r>
        <w:t xml:space="preserve">(19) = 0.37,</w:t>
      </w:r>
      <w:r>
        <w:t xml:space="preserve"> </w:t>
      </w:r>
      <w:r>
        <w:rPr>
          <w:i/>
        </w:rPr>
        <w:t xml:space="preserve">p</w:t>
      </w:r>
      <w:r>
        <w:t xml:space="preserve"> </w:t>
      </w:r>
      <w:r>
        <w:t xml:space="preserve">=0.72), suggesting that they put two objects in the bucket because it was a fun activity and difficult to inhibit, and not because they did not know the referent. Among FF trials in which children placed two items in the bucket, they put the correct item in first about half of the time (8/19 trials total for 2-year-olds; 5/6 for 3-year-olds; 0/2 for 4-year-olds; 2/4 for 5-year-olds).</w:t>
      </w:r>
    </w:p>
    <w:p>
      <w:pPr>
        <w:pStyle w:val="Textkrper"/>
      </w:pPr>
      <w:r>
        <w:t xml:space="preserve">Children also occasionally declined to choose an item (0.4% of trials); these trials are excluded from accuracy analyses. Children’s accuracy is displayed in Figure</w:t>
      </w:r>
      <w:r>
        <w:t xml:space="preserve"> </w:t>
      </w:r>
      <w:r>
        <w:t xml:space="preserve">. Overall children generally chose the correct item for FF trials, indicating that they understood the task and were motivated to answer correctly. While 3- to 5-year-olds performed close to ceiling (92% - 99%), 2-year-olds were less accurate (76%), but still performed significantly above chance (</w:t>
      </w:r>
      <w:r>
        <w:rPr>
          <w:i/>
        </w:rPr>
        <w:t xml:space="preserve">t</w:t>
      </w:r>
      <w:r>
        <w:t xml:space="preserve">(19) = 77.6 ,</w:t>
      </w:r>
      <w:r>
        <w:t xml:space="preserve"> </w:t>
      </w:r>
      <w:r>
        <w:rPr>
          <w:i/>
        </w:rPr>
        <w:t xml:space="preserve">p</w:t>
      </w:r>
      <w:r>
        <w:t xml:space="preserve"> </w:t>
      </w:r>
      <w:r>
        <w:t xml:space="preserve">&lt; .001).</w:t>
      </w:r>
    </w:p>
    <w:p>
      <w:pPr>
        <w:pStyle w:val="FigureWithCaption"/>
      </w:pPr>
      <w:r>
        <w:drawing>
          <wp:inline>
            <wp:extent cx="5969000" cy="4476750"/>
            <wp:effectExtent b="0" l="0" r="0" t="0"/>
            <wp:docPr descr="Figure 3 Results of Experiment 1. Number of looks to the experimenter based on phase, the number and familiarity of objects present, and age. Age in months was entered as a continuous variable in regression models but is presented here as a categorical variable for visual simplicity. Error bars are 95 percent confidence intervals." title="" id="1" name="Picture"/>
            <a:graphic>
              <a:graphicData uri="http://schemas.openxmlformats.org/drawingml/2006/picture">
                <pic:pic>
                  <pic:nvPicPr>
                    <pic:cNvPr descr="figs/resultse1-1.png" id="0" name="Picture"/>
                    <pic:cNvPicPr>
                      <a:picLocks noChangeArrowheads="1" noChangeAspect="1"/>
                    </pic:cNvPicPr>
                  </pic:nvPicPr>
                  <pic:blipFill>
                    <a:blip r:embed="rId39"/>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3 Results of Experiment 1. Number of looks to the experimenter based on phase, the number and familiarity of objects present, and age. Age in months was entered as a continuous variable in regression models but is presented here as a categorical variable for visual simplicity. Error bars are 95 percent confidence intervals.</w:t>
      </w:r>
    </w:p>
    <w:p>
      <w:pPr>
        <w:pStyle w:val="FigureWithCaption"/>
      </w:pPr>
      <w:r>
        <w:drawing>
          <wp:inline>
            <wp:extent cx="5969000" cy="2984500"/>
            <wp:effectExtent b="0" l="0" r="0" t="0"/>
            <wp:docPr descr="Figure 4 Distribution of the number of looks to the speaker in each phase." title="" id="1" name="Picture"/>
            <a:graphic>
              <a:graphicData uri="http://schemas.openxmlformats.org/drawingml/2006/picture">
                <pic:pic>
                  <pic:nvPicPr>
                    <pic:cNvPr descr="figs/hist-1.png" id="0" name="Picture"/>
                    <pic:cNvPicPr>
                      <a:picLocks noChangeArrowheads="1" noChangeAspect="1"/>
                    </pic:cNvPicPr>
                  </pic:nvPicPr>
                  <pic:blipFill>
                    <a:blip r:embed="rId40"/>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4 Distribution of the number of looks to the speaker in each phase.</w:t>
      </w:r>
    </w:p>
    <w:p>
      <w:pPr>
        <w:pStyle w:val="berschrift3"/>
      </w:pPr>
      <w:bookmarkStart w:id="41" w:name="social-information-gathering-and-referential-ambiguity"/>
      <w:bookmarkEnd w:id="41"/>
      <w:r>
        <w:t xml:space="preserve">Social information gathering and referential ambiguity</w:t>
      </w:r>
    </w:p>
    <w:p>
      <w:pPr>
        <w:pStyle w:val="FirstParagraph"/>
      </w:pPr>
      <w:r>
        <w:t xml:space="preserve">We next examined children’s looking behavior for each trial type across the four phases of the trial (Figure</w:t>
      </w:r>
      <w:r>
        <w:t xml:space="preserve"> </w:t>
      </w:r>
      <w:r>
        <w:t xml:space="preserve">). The distribution of number of looks are presented in figure</w:t>
      </w:r>
      <w:r>
        <w:t xml:space="preserve"> </w:t>
      </w:r>
      <w:r>
        <w:t xml:space="preserve">. Note that the most common response is to reference the speaker at least once during the</w:t>
      </w:r>
      <w:r>
        <w:t xml:space="preserve"> </w:t>
      </w:r>
      <w:r>
        <w:rPr>
          <w:i/>
        </w:rPr>
        <w:t xml:space="preserve">label</w:t>
      </w:r>
      <w:r>
        <w:t xml:space="preserve"> </w:t>
      </w:r>
      <w:r>
        <w:t xml:space="preserve">phase, but to not reference the speaker at all during the other phases. To test our prediction that referential ambiguity (i.e., having two novel objects) would produce more looking, we fit mixed-effects linear regression models separately for each phase with the following structure:</w:t>
      </w:r>
      <w:r>
        <w:t xml:space="preserve"> </w:t>
      </w:r>
      <w:r>
        <w:rPr>
          <w:rStyle w:val="VerbatimChar"/>
        </w:rPr>
        <w:t xml:space="preserve">number of looks ~ number of objects * familiarity * age in months + (number of objects + familiarity | subject)</w:t>
      </w:r>
      <w:r>
        <w:t xml:space="preserve">. Our initial planned analysis, a single model with phase as a factor, did not converge, and the model was subsequently trimmed according to our standard laboratory analytic procedures.</w:t>
      </w:r>
    </w:p>
    <w:p>
      <w:pPr>
        <w:pStyle w:val="Textkrper"/>
      </w:pPr>
      <w:r>
        <w:t xml:space="preserve">We did not find any main or interaction effects of number of objects, familiarity, or age on number of looks during the</w:t>
      </w:r>
      <w:r>
        <w:t xml:space="preserve"> </w:t>
      </w:r>
      <w:r>
        <w:rPr>
          <w:i/>
        </w:rPr>
        <w:t xml:space="preserve">label</w:t>
      </w:r>
      <w:r>
        <w:t xml:space="preserve"> </w:t>
      </w:r>
      <w:r>
        <w:t xml:space="preserve">phase (Table 2). We also did not observe any significant effects in the</w:t>
      </w:r>
      <w:r>
        <w:t xml:space="preserve"> </w:t>
      </w:r>
      <w:r>
        <w:rPr>
          <w:i/>
        </w:rPr>
        <w:t xml:space="preserve">slide</w:t>
      </w:r>
      <w:r>
        <w:t xml:space="preserve"> </w:t>
      </w:r>
      <w:r>
        <w:t xml:space="preserve">phase. However, we found an interaction effect of number of objects and familiarity during the</w:t>
      </w:r>
      <w:r>
        <w:t xml:space="preserve"> </w:t>
      </w:r>
      <w:r>
        <w:rPr>
          <w:i/>
        </w:rPr>
        <w:t xml:space="preserve">planning</w:t>
      </w:r>
      <w:r>
        <w:t xml:space="preserve"> </w:t>
      </w:r>
      <w:r>
        <w:t xml:space="preserve">(</w:t>
      </w:r>
      <m:oMath>
        <m:r>
          <m:t>β</m:t>
        </m:r>
      </m:oMath>
      <w:r>
        <w:t xml:space="preserve"> </w:t>
      </w:r>
      <w:r>
        <w:t xml:space="preserve">= 0.21,</w:t>
      </w:r>
      <w:r>
        <w:t xml:space="preserve"> </w:t>
      </w:r>
      <w:r>
        <w:rPr>
          <w:i/>
        </w:rPr>
        <w:t xml:space="preserve">p</w:t>
      </w:r>
      <w:r>
        <w:t xml:space="preserve"> </w:t>
      </w:r>
      <w:r>
        <w:t xml:space="preserve">&lt; .001) and</w:t>
      </w:r>
      <w:r>
        <w:t xml:space="preserve"> </w:t>
      </w:r>
      <w:r>
        <w:rPr>
          <w:i/>
        </w:rPr>
        <w:t xml:space="preserve">response</w:t>
      </w:r>
      <w:r>
        <w:t xml:space="preserve"> </w:t>
      </w:r>
      <w:r>
        <w:t xml:space="preserve">phases (</w:t>
      </w:r>
      <m:oMath>
        <m:r>
          <m:t>β</m:t>
        </m:r>
      </m:oMath>
      <w:r>
        <w:t xml:space="preserve"> </w:t>
      </w:r>
      <w:r>
        <w:t xml:space="preserve">= 0.60,</w:t>
      </w:r>
      <w:r>
        <w:t xml:space="preserve"> </w:t>
      </w:r>
      <w:r>
        <w:rPr>
          <w:i/>
        </w:rPr>
        <w:t xml:space="preserve">p</w:t>
      </w:r>
      <w:r>
        <w:t xml:space="preserve"> </w:t>
      </w:r>
      <w:r>
        <w:t xml:space="preserve">&lt; .001), such that NN trials were associated with more looks. Age did not interact with number of objects or familiarity.</w:t>
      </w:r>
    </w:p>
    <w:p>
      <w:pPr>
        <w:pStyle w:val="Textkrper"/>
      </w:pPr>
      <w:r>
        <w:t xml:space="preserve">In summary, children looked to the speaker more often when planning and executing a response under uncertainty. These results suggest that children were aware that they did not have sufficient knowledge to identify the referent and act on it and referenced the speaker to resolve this uncertainty. Surprisingly, we did not observe an effect of age, suggesting that by age 2 children are already selective in their information gathering to resolve referential ambiguity.</w:t>
      </w:r>
    </w:p>
    <w:p>
      <w:pPr>
        <w:pStyle w:val="Textkrper"/>
      </w:pPr>
      <w:r>
        <w:t xml:space="preserve">Notably, and in contrast to Vaish et al., we did not find the expected effect of referential ambiguity in the</w:t>
      </w:r>
      <w:r>
        <w:t xml:space="preserve"> </w:t>
      </w:r>
      <w:r>
        <w:rPr>
          <w:i/>
        </w:rPr>
        <w:t xml:space="preserve">label</w:t>
      </w:r>
      <w:r>
        <w:t xml:space="preserve"> </w:t>
      </w:r>
      <w:r>
        <w:t xml:space="preserve">phase. Thus, mere novelty or the presence of multiple objects was not enough to increase children’s looking when the experimenter was producing the label. Since individuals tend to look at someone who is speaking, children may have looked at the experimenter at least once regardless of referential ambiguity, minimizing possible condition differences. It is also possible that children failed to predict that they would need more information until later in the trial, when they were actually faced with making a decision.</w:t>
      </w:r>
    </w:p>
    <w:p>
      <w:pPr>
        <w:pStyle w:val="Textkrper"/>
      </w:pPr>
      <w:r>
        <w:t xml:space="preserve">A third possibility is that this finding is an artifact of our design, in which the speaker gazed at the center of the table rather than the referent of the label. Children may have realized that the speaker’s gaze direction during labeling was not informative. Relatedly, children may have found it strange to interact with a speaker who did not gaze at the object they were labeling, which may have produced unnatural patterns of looking. Experiment 2 tests these possibilities and further examines whether children’s information gathering is sensitive to graded uncertainty.</w:t>
      </w:r>
    </w:p>
    <w:p>
      <w:pPr>
        <w:pStyle w:val="berschrift1"/>
      </w:pPr>
      <w:bookmarkStart w:id="42" w:name="experiment-2"/>
      <w:bookmarkEnd w:id="42"/>
      <w:r>
        <w:t xml:space="preserve">Experiment 2</w:t>
      </w:r>
    </w:p>
    <w:p>
      <w:pPr>
        <w:pStyle w:val="FirstParagraph"/>
      </w:pPr>
      <w:r>
        <w:t xml:space="preserve">Experiment 2 was designed to achieve several goals. First, we aimed to replicate the finding from Experiment 1 that children reference a social partner on the basis of referential ambiguity while executing a decision. Second, we tested whether children’s information gathering is graded with respect to graded evidence about a label’s referent.</w:t>
      </w:r>
    </w:p>
    <w:p>
      <w:pPr>
        <w:pStyle w:val="Textkrper"/>
      </w:pPr>
      <w:r>
        <w:t xml:space="preserve">To this end, we manipulated two sources of referential evidence. We added trials with 1 novel and 1 familiar object (FN) and a novel label. This condition contains evidence about reference since the familiar item can be excluded</w:t>
      </w:r>
      <w:r>
        <w:t xml:space="preserve"> </w:t>
      </w:r>
      <w:r>
        <w:t xml:space="preserve">(Markman &amp; Wachtel, 1988)</w:t>
      </w:r>
      <w:r>
        <w:t xml:space="preserve">, but may not be as conclusive as trials with a familiar target. Thus, we predicted that, in the aggregate, children would show the most looking to the speaker in the NN condition, the least in the FF condition, and an intermediate amount in the FN condition. In addition, we manipulated between participants whether or not the speaker gazed at the objects they referred to, and thus, whether or not their gaze was an informative cue to reference. We predicted that having access to referential gaze as an informative cue would make children less likely to reference the speaker during their decision, but perhaps more likely to reference the speaker during labeling. Critically, this also allowed us to test whether children’s information gathering is selective on the basis of referential ambiguity during labeling if the speaker’s gaze is informative, addressing an interpretive issue in Experiment 1.</w:t>
      </w:r>
    </w:p>
    <w:p>
      <w:pPr>
        <w:pStyle w:val="Textkrper"/>
      </w:pPr>
      <w:r>
        <w:t xml:space="preserve">Since we did not observe any difference between F and N trials in Experiment 1, we eliminated single-object trials. Additionally, we restricted the sample to 3- and 4-year-olds, as we did not observe developmental differences in Experiment 1. Three- and 4-year-olds were chosen because we planned to include age in months as a continuous variable in our regression models, and contiguous age groups are thus preferable. Furthermore, 2-year-olds seemed to have more difficulty completing the task in Experiment 1, as evidenced by their lower accuracy rate and higher rate of placing two objects in the bucket.</w:t>
      </w:r>
    </w:p>
    <w:p>
      <w:pPr>
        <w:pStyle w:val="berschrift2"/>
      </w:pPr>
      <w:bookmarkStart w:id="43" w:name="methods-1"/>
      <w:bookmarkEnd w:id="43"/>
      <w:r>
        <w:t xml:space="preserve">Methods</w:t>
      </w:r>
    </w:p>
    <w:p>
      <w:pPr>
        <w:pStyle w:val="berschrift3"/>
      </w:pPr>
      <w:bookmarkStart w:id="44" w:name="participants-1"/>
      <w:bookmarkEnd w:id="44"/>
      <w:r>
        <w:t xml:space="preserve">Participants</w:t>
      </w:r>
    </w:p>
    <w:p>
      <w:pPr>
        <w:pStyle w:val="FirstParagraph"/>
      </w:pPr>
      <w:r>
        <w:t xml:space="preserve">We recruited a planned sample of 80 children ages 3-4 years from the Children’s Discovery Museum in San Jose, California</w:t>
      </w:r>
      <w:r>
        <w:rPr>
          <w:rStyle w:val="Funotenzeichen"/>
        </w:rPr>
        <w:footnoteReference w:id="45"/>
      </w:r>
      <w:r>
        <w:t xml:space="preserve">. The sample included 40 3-year-olds (mean age 42.9 months) and 40 4-year-olds (mean age 53.5 months). An additional 20 children participated but were removed from analyses because they heard English less than 75% of the time at home (</w:t>
      </w:r>
      <w:r>
        <w:rPr>
          <w:i/>
        </w:rPr>
        <w:t xml:space="preserve">n</w:t>
      </w:r>
      <w:r>
        <w:t xml:space="preserve"> </w:t>
      </w:r>
      <w:r>
        <w:t xml:space="preserve">= 9), because they were unable to complete at least half of the trials in the task (</w:t>
      </w:r>
      <w:r>
        <w:rPr>
          <w:i/>
        </w:rPr>
        <w:t xml:space="preserve">n</w:t>
      </w:r>
      <w:r>
        <w:t xml:space="preserve"> </w:t>
      </w:r>
      <w:r>
        <w:t xml:space="preserve">= 7), or due to experimenter or technical errors (</w:t>
      </w:r>
      <w:r>
        <w:rPr>
          <w:i/>
        </w:rPr>
        <w:t xml:space="preserve">n</w:t>
      </w:r>
      <w:r>
        <w:t xml:space="preserve"> </w:t>
      </w:r>
      <w:r>
        <w:t xml:space="preserve">= 4).</w:t>
      </w:r>
    </w:p>
    <w:p>
      <w:pPr>
        <w:pStyle w:val="berschrift3"/>
      </w:pPr>
      <w:bookmarkStart w:id="47" w:name="stimuli-and-design-1"/>
      <w:bookmarkEnd w:id="47"/>
      <w:r>
        <w:t xml:space="preserve">Stimuli and Design</w:t>
      </w:r>
    </w:p>
    <w:p>
      <w:pPr>
        <w:pStyle w:val="FirstParagraph"/>
      </w:pPr>
      <w:r>
        <w:t xml:space="preserve">The stimuli and design were similar to Experiment 1 but included three trial types: FF, NN, and FN. There were four of each trial type, totaling twelve trials. In addition, we manipulated the experimenter’s gaze behavior between participants. For half of the participants, the experimenter gazed at the center of the table while labeling objects (uninformative gaze); for the remaining half, they gazed directly at the objects they labeled (informative gaze).</w:t>
      </w:r>
    </w:p>
    <w:p>
      <w:pPr>
        <w:pStyle w:val="berschrift3"/>
      </w:pPr>
      <w:bookmarkStart w:id="48" w:name="procedure-1"/>
      <w:bookmarkEnd w:id="48"/>
      <w:r>
        <w:t xml:space="preserve">Procedure</w:t>
      </w:r>
    </w:p>
    <w:p>
      <w:pPr>
        <w:pStyle w:val="FirstParagraph"/>
      </w:pPr>
      <w:r>
        <w:t xml:space="preserve">The experimental and coding procedures were identical to Experiment 1, except that there were three practice trials (two FF trials and one NN trial). We chose this approach so that children could experience both familiar and novel stimuli during practice but would not be discouraged by an overly difficult practice session. As in Experiment 1, children were corrected if they chose the wrong object on FF trials but not NN trials.</w:t>
      </w:r>
    </w:p>
    <w:p>
      <w:pPr>
        <w:pStyle w:val="Textkrper"/>
      </w:pPr>
      <w:r>
        <w:t xml:space="preserve">We again noted trials that should be excluded based on the same criteria as in Experiment 1. We excluded 1.9% of trials from 3-year-olds and no trials from 4-year-olds. Inter-rater reliability for the number of looks in each phase was again high, intraclass correlation</w:t>
      </w:r>
      <w:r>
        <w:t xml:space="preserve"> </w:t>
      </w:r>
      <w:r>
        <w:rPr>
          <w:i/>
        </w:rPr>
        <w:t xml:space="preserve">r</w:t>
      </w:r>
      <w:r>
        <w:t xml:space="preserve"> </w:t>
      </w:r>
      <w:r>
        <w:t xml:space="preserve">= .97,</w:t>
      </w:r>
      <w:r>
        <w:t xml:space="preserve"> </w:t>
      </w:r>
      <w:r>
        <w:rPr>
          <w:i/>
        </w:rPr>
        <w:t xml:space="preserve">p</w:t>
      </w:r>
      <w:r>
        <w:t xml:space="preserve"> </w:t>
      </w:r>
      <w:r>
        <w:t xml:space="preserve">&lt; .001.</w:t>
      </w:r>
      <w:r>
        <w:t xml:space="preserve"> </w:t>
      </w:r>
      <w:r>
        <w:t xml:space="preserve">The mean durations of the phases for Experiment 2 are presented in Table 1. They varied in length according to the same pattern as in Experiment 1.</w:t>
      </w:r>
    </w:p>
    <w:p>
      <w:pPr>
        <w:pStyle w:val="berschrift2"/>
      </w:pPr>
      <w:bookmarkStart w:id="49" w:name="results-and-discussion-1"/>
      <w:bookmarkEnd w:id="49"/>
      <w:r>
        <w:t xml:space="preserve">Results and Discussion</w:t>
      </w:r>
    </w:p>
    <w:p>
      <w:pPr>
        <w:pStyle w:val="berschrift3"/>
      </w:pPr>
      <w:bookmarkStart w:id="50" w:name="accuracy-1"/>
      <w:bookmarkEnd w:id="50"/>
      <w:r>
        <w:t xml:space="preserve">Accuracy</w:t>
      </w:r>
    </w:p>
    <w:p>
      <w:pPr>
        <w:pStyle w:val="FigureWithCaption"/>
      </w:pPr>
      <w:r>
        <w:drawing>
          <wp:inline>
            <wp:extent cx="5969000" cy="2984500"/>
            <wp:effectExtent b="0" l="0" r="0" t="0"/>
            <wp:docPr descr="Figure 5 Accuracy for trials with a correct answer available (FF and FN, and all gaze trials) in Experiment 2. Error bars are 95 percent confidence intervals." title="" id="1" name="Picture"/>
            <a:graphic>
              <a:graphicData uri="http://schemas.openxmlformats.org/drawingml/2006/picture">
                <pic:pic>
                  <pic:nvPicPr>
                    <pic:cNvPr descr="figs/acce2-1.png" id="0" name="Picture"/>
                    <pic:cNvPicPr>
                      <a:picLocks noChangeArrowheads="1" noChangeAspect="1"/>
                    </pic:cNvPicPr>
                  </pic:nvPicPr>
                  <pic:blipFill>
                    <a:blip r:embed="rId51"/>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5 Accuracy for trials with a correct answer available (FF and FN, and all gaze trials) in Experiment 2. Error bars are 95 percent confidence intervals.</w:t>
      </w:r>
    </w:p>
    <w:p>
      <w:pPr>
        <w:pStyle w:val="Textkrper"/>
      </w:pPr>
      <w:r>
        <w:t xml:space="preserve">Children’s accuracy for trials with a correct answer possible (i.e., FF, FN, and all trials with gaze) was calculated using the same criteria as in Experiment 1 (Figure</w:t>
      </w:r>
      <w:r>
        <w:t xml:space="preserve"> </w:t>
      </w:r>
      <w:r>
        <w:t xml:space="preserve">). Children sometimes put two items in the bucket, although they did so less frequently than in Experiment 1, perhaps because there were two objects available on every trial and it was thus less of a novelty (3-year-olds: 0.8% of trials; 4-year-olds: 0.4%). As in Experiment 1, the first item they placed in the bucket was coded as their response. To quantify the effects of familiarity, gaze, and age on accuracy, we fit the following mixed-effects logistic regression model:</w:t>
      </w:r>
      <w:r>
        <w:t xml:space="preserve"> </w:t>
      </w:r>
      <w:r>
        <w:rPr>
          <w:rStyle w:val="VerbatimChar"/>
        </w:rPr>
        <w:t xml:space="preserve">correct ~ trial type * gaze + age in months + (1| subject)</w:t>
      </w:r>
      <w:r>
        <w:t xml:space="preserve">. Accuracy was significantly lower for NN (</w:t>
      </w:r>
      <m:oMath>
        <m:r>
          <m:t>β</m:t>
        </m:r>
      </m:oMath>
      <w:r>
        <w:t xml:space="preserve"> </w:t>
      </w:r>
      <w:r>
        <w:t xml:space="preserve">= -2.27,</w:t>
      </w:r>
      <w:r>
        <w:t xml:space="preserve"> </w:t>
      </w:r>
      <w:r>
        <w:rPr>
          <w:i/>
        </w:rPr>
        <w:t xml:space="preserve">p</w:t>
      </w:r>
      <w:r>
        <w:t xml:space="preserve"> </w:t>
      </w:r>
      <w:r>
        <w:t xml:space="preserve">&lt; .001) and FN trials (</w:t>
      </w:r>
      <m:oMath>
        <m:r>
          <m:t>β</m:t>
        </m:r>
      </m:oMath>
      <w:r>
        <w:t xml:space="preserve"> </w:t>
      </w:r>
      <w:r>
        <w:t xml:space="preserve">= -2.23,</w:t>
      </w:r>
      <w:r>
        <w:t xml:space="preserve"> </w:t>
      </w:r>
      <w:r>
        <w:rPr>
          <w:i/>
        </w:rPr>
        <w:t xml:space="preserve">p</w:t>
      </w:r>
      <w:r>
        <w:t xml:space="preserve"> </w:t>
      </w:r>
      <w:r>
        <w:t xml:space="preserve">&lt; .001) compared to FF trials, and trial type interacted with gaze condition such that accuracy was significantly higher in the gaze condition for NN (</w:t>
      </w:r>
      <m:oMath>
        <m:r>
          <m:t>β</m:t>
        </m:r>
      </m:oMath>
      <w:r>
        <w:t xml:space="preserve"> </w:t>
      </w:r>
      <w:r>
        <w:t xml:space="preserve">= 3.41,</w:t>
      </w:r>
      <w:r>
        <w:t xml:space="preserve"> </w:t>
      </w:r>
      <w:r>
        <w:rPr>
          <w:i/>
        </w:rPr>
        <w:t xml:space="preserve">p</w:t>
      </w:r>
      <w:r>
        <w:t xml:space="preserve"> </w:t>
      </w:r>
      <w:r>
        <w:t xml:space="preserve">&lt; .001) and FN trials (</w:t>
      </w:r>
      <m:oMath>
        <m:r>
          <m:t>β</m:t>
        </m:r>
      </m:oMath>
      <w:r>
        <w:t xml:space="preserve"> </w:t>
      </w:r>
      <w:r>
        <w:t xml:space="preserve">= 1.12,</w:t>
      </w:r>
      <w:r>
        <w:t xml:space="preserve"> </w:t>
      </w:r>
      <w:r>
        <w:rPr>
          <w:i/>
        </w:rPr>
        <w:t xml:space="preserve">p</w:t>
      </w:r>
      <w:r>
        <w:t xml:space="preserve"> </w:t>
      </w:r>
      <w:r>
        <w:t xml:space="preserve">&lt; .001). Age did not significantly predict accuracy (</w:t>
      </w:r>
      <m:oMath>
        <m:r>
          <m:t>β</m:t>
        </m:r>
      </m:oMath>
      <w:r>
        <w:t xml:space="preserve"> </w:t>
      </w:r>
      <w:r>
        <w:t xml:space="preserve">= 0.18,</w:t>
      </w:r>
      <w:r>
        <w:t xml:space="preserve"> </w:t>
      </w:r>
      <w:r>
        <w:rPr>
          <w:i/>
        </w:rPr>
        <w:t xml:space="preserve">p</w:t>
      </w:r>
      <w:r>
        <w:t xml:space="preserve"> </w:t>
      </w:r>
      <w:r>
        <w:t xml:space="preserve">= .12).</w:t>
      </w:r>
    </w:p>
    <w:p>
      <w:pPr>
        <w:pStyle w:val="berschrift3"/>
      </w:pPr>
      <w:bookmarkStart w:id="52" w:name="information-gathering-and-referential-ambiguity"/>
      <w:bookmarkEnd w:id="52"/>
      <w:r>
        <w:t xml:space="preserve">Information gathering and referential ambiguity</w:t>
      </w:r>
    </w:p>
    <w:p>
      <w:pPr>
        <w:pStyle w:val="FirstParagraph"/>
      </w:pPr>
      <w:r>
        <w:t xml:space="preserve">Experiment 2 was designed to test whether different amounts of referential evidence elicit differential amounts of social information gathering. If so, this would suggest that young children are sensitive to graded evidence for a hypothesis (e.g., that this object is the</w:t>
      </w:r>
      <w:r>
        <w:t xml:space="preserve"> </w:t>
      </w:r>
      <w:r>
        <w:t xml:space="preserve">“</w:t>
      </w:r>
      <w:r>
        <w:t xml:space="preserve">blicket</w:t>
      </w:r>
      <w:r>
        <w:t xml:space="preserve">”</w:t>
      </w:r>
      <w:r>
        <w:t xml:space="preserve">). The amount of referential evidence was manipulated through the familiarity of objects presented (NN vs FN vs FF trials) and whether or not gaze was informative (gaze vs. no gaze). If children are sensitive to graded evidence, we might expect a pattern of looking that conforms to (NN &gt; FN &gt; FF) and (no gaze &gt; gaze), with the possibility of an interaction between gaze condition and familiarity.</w:t>
      </w:r>
    </w:p>
    <w:p>
      <w:pPr>
        <w:pStyle w:val="Textkrper"/>
      </w:pPr>
      <w:r>
        <w:t xml:space="preserve">Children’s patterns of looking based on familiarity and gaze condition are presented in</w:t>
      </w:r>
      <w:r>
        <w:t xml:space="preserve"> </w:t>
      </w:r>
      <w:r>
        <w:t xml:space="preserve">. To quantify the main and interactive effects of familiarity, gaze condition, and age on children’s looking, we fit separate mixed-effects linear regression models for each phase (</w:t>
      </w:r>
      <w:r>
        <w:rPr>
          <w:i/>
        </w:rPr>
        <w:t xml:space="preserve">label</w:t>
      </w:r>
      <w:r>
        <w:t xml:space="preserve">,</w:t>
      </w:r>
      <w:r>
        <w:t xml:space="preserve"> </w:t>
      </w:r>
      <w:r>
        <w:rPr>
          <w:i/>
        </w:rPr>
        <w:t xml:space="preserve">slide</w:t>
      </w:r>
      <w:r>
        <w:t xml:space="preserve">,</w:t>
      </w:r>
      <w:r>
        <w:t xml:space="preserve"> </w:t>
      </w:r>
      <w:r>
        <w:rPr>
          <w:i/>
        </w:rPr>
        <w:t xml:space="preserve">planning</w:t>
      </w:r>
      <w:r>
        <w:t xml:space="preserve">,</w:t>
      </w:r>
      <w:r>
        <w:t xml:space="preserve"> </w:t>
      </w:r>
      <w:r>
        <w:rPr>
          <w:i/>
        </w:rPr>
        <w:t xml:space="preserve">response</w:t>
      </w:r>
      <w:r>
        <w:t xml:space="preserve">) with the following structure:</w:t>
      </w:r>
      <w:r>
        <w:t xml:space="preserve"> </w:t>
      </w:r>
      <w:r>
        <w:rPr>
          <w:rStyle w:val="VerbatimChar"/>
        </w:rPr>
        <w:t xml:space="preserve">number of looks ~ familiarity * age in months * gaze + (1 | subject)</w:t>
      </w:r>
      <w:r>
        <w:t xml:space="preserve">.</w:t>
      </w:r>
    </w:p>
    <w:p>
      <w:pPr>
        <w:pStyle w:val="Textkrper"/>
      </w:pPr>
      <w:r>
        <w:t xml:space="preserve">We found no effect of familiarity, gaze condition, or age on looking in the</w:t>
      </w:r>
      <w:r>
        <w:t xml:space="preserve"> </w:t>
      </w:r>
      <w:r>
        <w:rPr>
          <w:i/>
        </w:rPr>
        <w:t xml:space="preserve">label</w:t>
      </w:r>
      <w:r>
        <w:t xml:space="preserve"> </w:t>
      </w:r>
      <w:r>
        <w:t xml:space="preserve">phase (Table 3). In the</w:t>
      </w:r>
      <w:r>
        <w:t xml:space="preserve"> </w:t>
      </w:r>
      <w:r>
        <w:rPr>
          <w:i/>
        </w:rPr>
        <w:t xml:space="preserve">slide</w:t>
      </w:r>
      <w:r>
        <w:t xml:space="preserve"> </w:t>
      </w:r>
      <w:r>
        <w:t xml:space="preserve">phase, both FF (</w:t>
      </w:r>
      <m:oMath>
        <m:r>
          <m:t>β</m:t>
        </m:r>
      </m:oMath>
      <w:r>
        <w:t xml:space="preserve"> </w:t>
      </w:r>
      <w:r>
        <w:t xml:space="preserve">= 0.09,</w:t>
      </w:r>
      <w:r>
        <w:t xml:space="preserve"> </w:t>
      </w:r>
      <w:r>
        <w:rPr>
          <w:i/>
        </w:rPr>
        <w:t xml:space="preserve">p</w:t>
      </w:r>
      <w:r>
        <w:t xml:space="preserve"> </w:t>
      </w:r>
      <w:r>
        <w:t xml:space="preserve">&lt; .01) and NN trials (</w:t>
      </w:r>
      <m:oMath>
        <m:r>
          <m:t>β</m:t>
        </m:r>
      </m:oMath>
      <w:r>
        <w:t xml:space="preserve"> </w:t>
      </w:r>
      <w:r>
        <w:t xml:space="preserve">= 0.07,</w:t>
      </w:r>
      <w:r>
        <w:t xml:space="preserve"> </w:t>
      </w:r>
      <w:r>
        <w:rPr>
          <w:i/>
        </w:rPr>
        <w:t xml:space="preserve">p</w:t>
      </w:r>
      <w:r>
        <w:t xml:space="preserve"> </w:t>
      </w:r>
      <w:r>
        <w:t xml:space="preserve">= .047) elicited more looking compared to FN trials, and there were no effects of or interactions with gaze condition or age. In the</w:t>
      </w:r>
      <w:r>
        <w:t xml:space="preserve"> </w:t>
      </w:r>
      <w:r>
        <w:rPr>
          <w:i/>
        </w:rPr>
        <w:t xml:space="preserve">planning</w:t>
      </w:r>
      <w:r>
        <w:t xml:space="preserve"> </w:t>
      </w:r>
      <w:r>
        <w:t xml:space="preserve">phase, we found that FF trials were associated with less looking than FN trials (</w:t>
      </w:r>
      <m:oMath>
        <m:r>
          <m:t>β</m:t>
        </m:r>
      </m:oMath>
      <w:r>
        <w:t xml:space="preserve"> </w:t>
      </w:r>
      <w:r>
        <w:t xml:space="preserve">= -0.11,</w:t>
      </w:r>
      <w:r>
        <w:t xml:space="preserve"> </w:t>
      </w:r>
      <w:r>
        <w:rPr>
          <w:i/>
        </w:rPr>
        <w:t xml:space="preserve">p</w:t>
      </w:r>
      <w:r>
        <w:t xml:space="preserve"> </w:t>
      </w:r>
      <w:r>
        <w:t xml:space="preserve">= .045) and NN trials were associated with more looking compared to FN trials (</w:t>
      </w:r>
      <m:oMath>
        <m:r>
          <m:t>β</m:t>
        </m:r>
      </m:oMath>
      <w:r>
        <w:t xml:space="preserve"> </w:t>
      </w:r>
      <w:r>
        <w:t xml:space="preserve">= 0.15,</w:t>
      </w:r>
      <w:r>
        <w:t xml:space="preserve"> </w:t>
      </w:r>
      <w:r>
        <w:rPr>
          <w:i/>
        </w:rPr>
        <w:t xml:space="preserve">p</w:t>
      </w:r>
      <w:r>
        <w:t xml:space="preserve"> </w:t>
      </w:r>
      <w:r>
        <w:t xml:space="preserve">&lt; .01), and there were no effects of or interactions with gaze condition or age. In the</w:t>
      </w:r>
      <w:r>
        <w:t xml:space="preserve"> </w:t>
      </w:r>
      <w:r>
        <w:rPr>
          <w:i/>
        </w:rPr>
        <w:t xml:space="preserve">response</w:t>
      </w:r>
      <w:r>
        <w:t xml:space="preserve"> </w:t>
      </w:r>
      <w:r>
        <w:t xml:space="preserve">phase, FF trials elicited less looking (</w:t>
      </w:r>
      <m:oMath>
        <m:r>
          <m:t>β</m:t>
        </m:r>
      </m:oMath>
      <w:r>
        <w:t xml:space="preserve"> </w:t>
      </w:r>
      <w:r>
        <w:t xml:space="preserve">= -0.43,</w:t>
      </w:r>
      <w:r>
        <w:t xml:space="preserve"> </w:t>
      </w:r>
      <w:r>
        <w:rPr>
          <w:i/>
        </w:rPr>
        <w:t xml:space="preserve">p</w:t>
      </w:r>
      <w:r>
        <w:t xml:space="preserve"> </w:t>
      </w:r>
      <w:r>
        <w:t xml:space="preserve">&lt; .001) and NN trials elicited more looking (</w:t>
      </w:r>
      <m:oMath>
        <m:r>
          <m:t>β</m:t>
        </m:r>
      </m:oMath>
      <w:r>
        <w:t xml:space="preserve"> </w:t>
      </w:r>
      <w:r>
        <w:t xml:space="preserve">= 0.22,</w:t>
      </w:r>
      <w:r>
        <w:t xml:space="preserve"> </w:t>
      </w:r>
      <w:r>
        <w:rPr>
          <w:i/>
        </w:rPr>
        <w:t xml:space="preserve">p</w:t>
      </w:r>
      <w:r>
        <w:t xml:space="preserve"> </w:t>
      </w:r>
      <w:r>
        <w:t xml:space="preserve">= .02) compared to FN trials. In addition, the gaze condition was associated with less looking compared to the no-gaze condition (</w:t>
      </w:r>
      <m:oMath>
        <m:r>
          <m:t>β</m:t>
        </m:r>
      </m:oMath>
      <w:r>
        <w:t xml:space="preserve"> </w:t>
      </w:r>
      <w:r>
        <w:t xml:space="preserve">= -0.28,</w:t>
      </w:r>
      <w:r>
        <w:t xml:space="preserve"> </w:t>
      </w:r>
      <w:r>
        <w:rPr>
          <w:i/>
        </w:rPr>
        <w:t xml:space="preserve">p</w:t>
      </w:r>
      <w:r>
        <w:t xml:space="preserve"> </w:t>
      </w:r>
      <w:r>
        <w:t xml:space="preserve">= .03), and gaze interacted with familiarity such that FF trials in the gaze condition were associated with more looking than FF trials in the no-gaze condition (</w:t>
      </w:r>
      <m:oMath>
        <m:r>
          <m:t>β</m:t>
        </m:r>
      </m:oMath>
      <w:r>
        <w:t xml:space="preserve"> </w:t>
      </w:r>
      <w:r>
        <w:t xml:space="preserve">= 0.34,</w:t>
      </w:r>
      <w:r>
        <w:t xml:space="preserve"> </w:t>
      </w:r>
      <w:r>
        <w:rPr>
          <w:i/>
        </w:rPr>
        <w:t xml:space="preserve">p</w:t>
      </w:r>
      <w:r>
        <w:t xml:space="preserve"> </w:t>
      </w:r>
      <w:r>
        <w:t xml:space="preserve">&lt; .01).</w:t>
      </w:r>
    </w:p>
    <w:p>
      <w:pPr>
        <w:pStyle w:val="Textkrper"/>
      </w:pPr>
      <w:r>
        <w:t xml:space="preserve">In summary, in the</w:t>
      </w:r>
      <w:r>
        <w:t xml:space="preserve"> </w:t>
      </w:r>
      <w:r>
        <w:rPr>
          <w:i/>
        </w:rPr>
        <w:t xml:space="preserve">slide</w:t>
      </w:r>
      <w:r>
        <w:t xml:space="preserve">,</w:t>
      </w:r>
      <w:r>
        <w:t xml:space="preserve"> </w:t>
      </w:r>
      <w:r>
        <w:rPr>
          <w:i/>
        </w:rPr>
        <w:t xml:space="preserve">planning</w:t>
      </w:r>
      <w:r>
        <w:t xml:space="preserve">, and</w:t>
      </w:r>
      <w:r>
        <w:t xml:space="preserve"> </w:t>
      </w:r>
      <w:r>
        <w:rPr>
          <w:i/>
        </w:rPr>
        <w:t xml:space="preserve">response</w:t>
      </w:r>
      <w:r>
        <w:t xml:space="preserve"> </w:t>
      </w:r>
      <w:r>
        <w:t xml:space="preserve">phases, children showed the pattern of responding with respect to graded evidence that we predicted. They looked at the experimenter the most for NN trials, the least for FF trials, and an intermediate amount for FN trials. This suggests that the likelihood of children seeking disambiguating information is tuned to the amount of referential evidence they receive. Further supporting this idea, children looked more at the experimenter when she did not gaze at the object she was referring to during labeling, suggesting that children attended to this evidence and it contributed to their certainty in their response.</w:t>
      </w:r>
    </w:p>
    <w:p>
      <w:pPr>
        <w:pStyle w:val="Textkrper"/>
      </w:pPr>
      <w:r>
        <w:t xml:space="preserve">Additionally, familiarity interacted with gaze condition, but not in the predicted direction. Instead, FF trials with referential gaze elicited more looking than FF trials without referential gaze. Although we did not predict this result, it is possible that when children were already quite certain, they were more likely to seek feedback from a social partner whose gaze patterns were more naturalistic.</w:t>
      </w:r>
    </w:p>
    <w:p>
      <w:pPr>
        <w:pStyle w:val="Textkrper"/>
      </w:pPr>
      <w:r>
        <w:t xml:space="preserve">Finally, similar to Experiment 1, we did not observe selective looking during the</w:t>
      </w:r>
      <w:r>
        <w:t xml:space="preserve"> </w:t>
      </w:r>
      <w:r>
        <w:rPr>
          <w:i/>
        </w:rPr>
        <w:t xml:space="preserve">label</w:t>
      </w:r>
      <w:r>
        <w:t xml:space="preserve"> </w:t>
      </w:r>
      <w:r>
        <w:t xml:space="preserve">phase, even among children in the gaze condition. This result rules out the possibility that children were less selective during labeling during Experiment 1 because they learned that the experimenter’s gaze direction was not informative. Instead, young children may attend to someone who is speaking regardless of the need for disambiguation.</w:t>
      </w:r>
    </w:p>
    <w:p>
      <w:pPr>
        <w:pStyle w:val="FigureWithCaption"/>
      </w:pPr>
      <w:r>
        <w:drawing>
          <wp:inline>
            <wp:extent cx="5969000" cy="3730625"/>
            <wp:effectExtent b="0" l="0" r="0" t="0"/>
            <wp:docPr descr="Figure 6 Results of Experiment 2. Number of looks to the experimenter based on phase, trial type, gaze condition, and age. Age in months was entered as a continuous variable in regression models but is presented here as a categorical variable for visual simplicity. Error bars are 95 percent confidence intervals." title="" id="1" name="Picture"/>
            <a:graphic>
              <a:graphicData uri="http://schemas.openxmlformats.org/drawingml/2006/picture">
                <pic:pic>
                  <pic:nvPicPr>
                    <pic:cNvPr descr="figs/resultse2-1.png" id="0" name="Picture"/>
                    <pic:cNvPicPr>
                      <a:picLocks noChangeArrowheads="1" noChangeAspect="1"/>
                    </pic:cNvPicPr>
                  </pic:nvPicPr>
                  <pic:blipFill>
                    <a:blip r:embed="rId53"/>
                    <a:stretch>
                      <a:fillRect/>
                    </a:stretch>
                  </pic:blipFill>
                  <pic:spPr bwMode="auto">
                    <a:xfrm>
                      <a:off x="0" y="0"/>
                      <a:ext cx="5969000" cy="3730625"/>
                    </a:xfrm>
                    <a:prstGeom prst="rect">
                      <a:avLst/>
                    </a:prstGeom>
                    <a:noFill/>
                    <a:ln w="9525">
                      <a:noFill/>
                      <a:headEnd/>
                      <a:tailEnd/>
                    </a:ln>
                  </pic:spPr>
                </pic:pic>
              </a:graphicData>
            </a:graphic>
          </wp:inline>
        </w:drawing>
      </w:r>
    </w:p>
    <w:p>
      <w:pPr>
        <w:pStyle w:val="ImageCaption"/>
      </w:pPr>
      <w:r>
        <w:t xml:space="preserve">Figure 6 Results of Experiment 2. Number of looks to the experimenter based on phase, trial type, gaze condition, and age. Age in months was entered as a continuous variable in regression models but is presented here as a categorical variable for visual simplicity. Error bars are 95 percent confidence intervals.</w:t>
      </w:r>
    </w:p>
    <w:p>
      <w:pPr>
        <w:pStyle w:val="berschrift1"/>
      </w:pPr>
      <w:bookmarkStart w:id="54" w:name="general-discussion"/>
      <w:bookmarkEnd w:id="54"/>
      <w:r>
        <w:t xml:space="preserve">General Discussion</w:t>
      </w:r>
    </w:p>
    <w:p>
      <w:pPr>
        <w:pStyle w:val="FirstParagraph"/>
      </w:pPr>
      <w:r>
        <w:t xml:space="preserve">During the preschool years, children are increasingly able to actively gather information through help-seeking and exploration</w:t>
      </w:r>
      <w:r>
        <w:t xml:space="preserve"> </w:t>
      </w:r>
      <w:r>
        <w:t xml:space="preserve">(Chouinard et al., 2007; Schulz &amp; Bonawitz, 2007)</w:t>
      </w:r>
      <w:r>
        <w:t xml:space="preserve">. They are also increasingly proficient at explicitly identifying their gaps in knowledge and their uncertainty in various domains</w:t>
      </w:r>
      <w:r>
        <w:t xml:space="preserve"> </w:t>
      </w:r>
      <w:r>
        <w:t xml:space="preserve">(Coughlin et al., 2014; Hembacher &amp; Ghetti, 2014; Lyons &amp; Zelazo, 2011; Rohwer et al., 2012)</w:t>
      </w:r>
      <w:r>
        <w:t xml:space="preserve">. Do young children similarly identify referential uncertainty and engage in appropriate active learning behaviors in response? Here, we examined whether young children’s social information gathering was associated with referential uncertainty in situations in which the referent was either completely novel or familiar (Experiment 1), and when there were differing amounts of referential evidence (Experiment 2).</w:t>
      </w:r>
    </w:p>
    <w:p>
      <w:pPr>
        <w:pStyle w:val="Textkrper"/>
      </w:pPr>
      <w:r>
        <w:t xml:space="preserve">We found that referential uncertainty was strongly associated with children’s information gathering behavior. Specifically, we observed this selectivity when children were planning and executing their decision. We speculate that children referenced the speaker during the decision process because they expected evaluative feedback about their demonstrated choice, either implicitly through the adult’s facial expressions, or through an explicit response. This idea is consistent with other recent findings that preschoolers and toddlers seek help selectively when a problem is difficult or they are less skilled</w:t>
      </w:r>
      <w:r>
        <w:t xml:space="preserve"> </w:t>
      </w:r>
      <w:r>
        <w:t xml:space="preserve">(</w:t>
      </w:r>
      <w:r>
        <w:rPr>
          <w:b/>
        </w:rPr>
        <w:t xml:space="preserve">???</w:t>
      </w:r>
      <w:r>
        <w:t xml:space="preserve">; Goupil et al., 2016)</w:t>
      </w:r>
      <w:r>
        <w:t xml:space="preserve">.</w:t>
      </w:r>
    </w:p>
    <w:p>
      <w:pPr>
        <w:pStyle w:val="Textkrper"/>
      </w:pPr>
      <w:r>
        <w:t xml:space="preserve">We also found that children’s information-seeking reflected graded referential evidence. In the case of FN trials, children could solve the problem of reference by excluding the familiar item</w:t>
      </w:r>
      <w:r>
        <w:t xml:space="preserve"> </w:t>
      </w:r>
      <w:r>
        <w:t xml:space="preserve">(Markman &amp; Wachtel, 1988; Merriman, Bowman, &amp; MacWhinney, 1989)</w:t>
      </w:r>
      <w:r>
        <w:t xml:space="preserve">, and indeed, they chose the correct object most of the time for these trials. If children simply monitored the presence or absence of such cues, they would have consistently responded to FN trials with certainty. Instead, they sought information in a graded fashion, looking at the experimenter less than for NN trials but more than for FF trials. Overall, they also exhibited less looking when referential gaze was present than when it was not. Intriguingly, children appear to remain uncertain when their only cue to reference is the adult’s gaze during labeling — there was no difference between NN trials with and without gaze. This finding suggests that referential gaze may be a weaker cue compared to ruling out a familiar object.</w:t>
      </w:r>
    </w:p>
    <w:p>
      <w:pPr>
        <w:pStyle w:val="Textkrper"/>
      </w:pPr>
      <w:r>
        <w:t xml:space="preserve">These findings are important given that the ability to monitor the likelihood of accuracy based on graded evidence is assumed important for decision-making and behavioral regulation across development</w:t>
      </w:r>
      <w:r>
        <w:t xml:space="preserve"> </w:t>
      </w:r>
      <w:r>
        <w:t xml:space="preserve">(Krebs &amp; Roebers, 2010; Yeung &amp; Summerfield, 2012)</w:t>
      </w:r>
      <w:r>
        <w:t xml:space="preserve">. Being able to monitor graded epistemic uncertainty allows individuals to gate out information that does not meet a criterion level of certainty based on individual goals or task demands</w:t>
      </w:r>
      <w:r>
        <w:t xml:space="preserve"> </w:t>
      </w:r>
      <w:r>
        <w:t xml:space="preserve">(Koriat &amp; Goldsmith, 1996)</w:t>
      </w:r>
      <w:r>
        <w:t xml:space="preserve">. The current findings are consistent with the possibility that preschoolers engage in this type of reasoning, given that their uncertainty tracked quantitatively with the amount of evidence available.</w:t>
      </w:r>
    </w:p>
    <w:p>
      <w:pPr>
        <w:pStyle w:val="Textkrper"/>
      </w:pPr>
      <w:r>
        <w:t xml:space="preserve">On the other hand, we found no evidence for selective information gathering while the speaker was producing the label. One possibility is that young children do not recognize the need for disambiguating information until they need to make a decision</w:t>
      </w:r>
      <w:r>
        <w:t xml:space="preserve"> </w:t>
      </w:r>
      <w:r>
        <w:t xml:space="preserve">(Markman, 1977)</w:t>
      </w:r>
      <w:r>
        <w:t xml:space="preserve">. Another possibility is that children spontaneously look at a speaker regardless of ambiguity, and additional looking was not necessary. This latter possibility seems more credible, given that children typically looked at the speaker at least once during labeling. Notably, Vaish et al. observed selective referencing during labeling among infants. Since infants in that study were holding one of the objects during labeling, referencing the speaker would have required them to disengage from that object, and may therefore have been more costly, promoting selectivity. Future research with preschool-aged children that includes a greater trade-off between attentional options would help to distinguish among these possibilities.</w:t>
      </w:r>
    </w:p>
    <w:p>
      <w:pPr>
        <w:pStyle w:val="Textkrper"/>
      </w:pPr>
      <w:r>
        <w:t xml:space="preserve">Contrary to our expectations, we did not observe developmental differences in children’s information seeking. We sampled a broad age range (2 to 5 years) due to previous evidence for improvements in metacognitive performance during the preschool years</w:t>
      </w:r>
      <w:r>
        <w:t xml:space="preserve"> </w:t>
      </w:r>
      <w:r>
        <w:t xml:space="preserve">(e.g., Hembacher &amp; Ghetti, 2014; Marazita &amp; Merriman, 2004; Rohwer et al., 2012)</w:t>
      </w:r>
      <w:r>
        <w:t xml:space="preserve">. However, we found that 2-year-olds were equally likely to be selective in their information seeking compared to 5-year-olds. There are several possible explanations for this finding. On the one hand, it could be that children’s monitoring of referential ambiguity and ability to selectively seek out disambiguating evidence are both firmly in place by age 2, and do not develop in the following years. Indeed, there is evidence from Vaish et al. that infants ages 13 and 18 months selectively reference a speaker’s gaze direction when her referent is ambiguous, suggesting that sensitivity to lexical uncertainty develops early. Typically-developing children acquire a substantial vocabulary by age 2</w:t>
      </w:r>
      <w:r>
        <w:t xml:space="preserve"> </w:t>
      </w:r>
      <w:r>
        <w:t xml:space="preserve">(Goldfield &amp; Reznick, 1990)</w:t>
      </w:r>
      <w:r>
        <w:t xml:space="preserve">, so if lexical uncertainty monitoring is important for language acquisition, it may not be surprising that 2-year-olds demonstrate this ability.</w:t>
      </w:r>
    </w:p>
    <w:p>
      <w:pPr>
        <w:pStyle w:val="Textkrper"/>
      </w:pPr>
      <w:r>
        <w:t xml:space="preserve">Another possibility is that children’s awareness of uncertainty (in the linguistic domain and beyond) becomes more concrete throughout early childhood, but that information-seeking is a particularly sensitive measure of early uncertainty monitoring compared to explicit report (see Kloo et al. for a similar argument). This possibility would help to explain the difference between the results we observed in the current study, and those of Marazita and Merriman, who found that the majority of 2.5-year-olds failed to explicitly report on their metalinguistic ignorance. Developmental differences in information-seeking during early childhood could be minimal because they do not rely as strongly on later-developing metacognitive processes and verbal ability.</w:t>
      </w:r>
    </w:p>
    <w:p>
      <w:pPr>
        <w:pStyle w:val="Textkrper"/>
      </w:pPr>
      <w:r>
        <w:t xml:space="preserve">In line with this idea, the behavior we examined here, selective social information-gathering, could fall into a spectrum of active learning behaviors beginning in infancy. First, infants direct their attention to salient aspects of the environment that are most likely to yield information, especially from social sources, including faces and hands</w:t>
      </w:r>
      <w:r>
        <w:t xml:space="preserve"> </w:t>
      </w:r>
      <w:r>
        <w:t xml:space="preserve">(Farroni, Csibra, Simion, &amp; Johnson, 2002; Frank, Amso, &amp; Johnson, 2014)</w:t>
      </w:r>
      <w:r>
        <w:t xml:space="preserve">. As infants learn to locomote, first by crawling and then by walking, they have access to a broader set of information sources</w:t>
      </w:r>
      <w:r>
        <w:t xml:space="preserve"> </w:t>
      </w:r>
      <w:r>
        <w:t xml:space="preserve">(Kretch, Franchak, &amp; Adolph, 2013)</w:t>
      </w:r>
      <w:r>
        <w:t xml:space="preserve">. As children learn to speak and to manipulate objects in the environment, they have more opportunity still to seek out information to disambiguate areas of uncertainty. These physical and cognitive developmental trajectories may proceed in parallel to metacognitive advancements that allow children to more acutely identify gaps in knowledge that they can then seek to fill.</w:t>
      </w:r>
    </w:p>
    <w:p>
      <w:pPr>
        <w:pStyle w:val="Textkrper"/>
      </w:pPr>
      <w:r>
        <w:t xml:space="preserve">Our current study has a number of limitations that suggest directions for future work. First, although we assume that children hoped to glean disambiguating information from the adult experimenter when they visually referenced her, we do not know what type of evidence they expected to receive (e.g., direct help, informative gaze, or an affective response). This is especially relevant as children of different ages, despite showing the same patterns of looking, might have had distinct expectations about the type of information or help they would receive. Additionally, in Experiment 1, children sometimes ignored the instruction to place only one item in the bucket, particularly 2-year-olds. Although we speculate that younger children showed this behavior because they found it entertaining to place both objects in the bucket, this behavior could also reflect a different understanding or approach to the task compared to older children. Future research should attempt to measure information-gathering behavior in a range of tasks that equate for difficult across ages. Finally, although we were interested in referential uncertainty generally, we instantiated this construct with a specific manipulation using novel words; other cases of referential uncertainty may elicit other behaviors.</w:t>
      </w:r>
    </w:p>
    <w:p>
      <w:pPr>
        <w:pStyle w:val="Textkrper"/>
      </w:pPr>
      <w:r>
        <w:t xml:space="preserve">The generality of the responses we observed is as yet unknown. Our research was conducted with a local museum population in the United States. Our work with this population suggests that children at our specific museum largely come from highly-educated families, despite some diversity in terms of race and ethnicity. Children growing up in such families would be most likely to have a high expectation that the adults in their lives would be responsive to their requests for information. Thus, it is a question for future work the degree that the information-seeking responses we observed are general across different populations of children.</w:t>
      </w:r>
    </w:p>
    <w:p>
      <w:pPr>
        <w:pStyle w:val="Textkrper"/>
      </w:pPr>
      <w:r>
        <w:t xml:space="preserve">Overall, these results provide further evidence that preschool-aged children monitor graded uncertainty in their mental representations generally, and in referential ambiguity specifically. Furthermore, they act on that uncertainty through spontaneous information-seeking. These behaviors may in part underlie the rapid acquisition of language during early childhood.</w:t>
      </w:r>
    </w:p>
    <w:p>
      <w:pPr>
        <w:pStyle w:val="berschrift1"/>
      </w:pPr>
      <w:bookmarkStart w:id="55" w:name="acknowledgements"/>
      <w:bookmarkEnd w:id="55"/>
      <w:r>
        <w:t xml:space="preserve">Acknowledgements</w:t>
      </w:r>
    </w:p>
    <w:p>
      <w:pPr>
        <w:pStyle w:val="FirstParagraph"/>
      </w:pPr>
      <w:r>
        <w:t xml:space="preserve">We thank Veronica Cristiano for assisting with data collection. EH was supported by a generous gift from Kinedu SAPI de CV.</w:t>
      </w:r>
    </w:p>
    <w:p>
      <w:pPr>
        <w:pStyle w:val="berschrift1"/>
      </w:pPr>
      <w:bookmarkStart w:id="56" w:name="references"/>
      <w:bookmarkEnd w:id="56"/>
      <w:r>
        <w:t xml:space="preserve">References</w:t>
      </w:r>
    </w:p>
    <w:p>
      <w:pPr>
        <w:pStyle w:val="FirstParagraph"/>
      </w:pPr>
      <w:r>
        <w:t xml:space="preserve"> </w:t>
      </w:r>
      <w:r>
        <w:t xml:space="preserve"> </w:t>
      </w:r>
    </w:p>
    <w:p>
      <w:pPr>
        <w:pStyle w:val="Literaturverzeichnis"/>
      </w:pPr>
      <w:r>
        <w:t xml:space="preserve">Balcomb, F. K., &amp; Gerken, L. (2008). Three-year-old children can access their own memory to guide responses on a visual matching task.</w:t>
      </w:r>
      <w:r>
        <w:t xml:space="preserve"> </w:t>
      </w:r>
      <w:r>
        <w:rPr>
          <w:i/>
        </w:rPr>
        <w:t xml:space="preserve">Developmental Science</w:t>
      </w:r>
      <w:r>
        <w:t xml:space="preserve">,</w:t>
      </w:r>
      <w:r>
        <w:t xml:space="preserve"> </w:t>
      </w:r>
      <w:r>
        <w:rPr>
          <w:i/>
        </w:rPr>
        <w:t xml:space="preserve">11</w:t>
      </w:r>
      <w:r>
        <w:t xml:space="preserve">(5), 750–760.</w:t>
      </w:r>
    </w:p>
    <w:p>
      <w:pPr>
        <w:pStyle w:val="Literaturverzeichnis"/>
      </w:pPr>
      <w:r>
        <w:t xml:space="preserve">Bonawitz, E., Denison, S., Gopnik, A., &amp; Griffiths, T. L. (2014). Win-Stay, Lose-Sample: A simple sequential algorithm for approximating Bayesian inference.</w:t>
      </w:r>
      <w:r>
        <w:t xml:space="preserve"> </w:t>
      </w:r>
      <w:r>
        <w:rPr>
          <w:i/>
        </w:rPr>
        <w:t xml:space="preserve">Cognitive Psychology</w:t>
      </w:r>
      <w:r>
        <w:t xml:space="preserve">,</w:t>
      </w:r>
      <w:r>
        <w:t xml:space="preserve"> </w:t>
      </w:r>
      <w:r>
        <w:rPr>
          <w:i/>
        </w:rPr>
        <w:t xml:space="preserve">74</w:t>
      </w:r>
      <w:r>
        <w:t xml:space="preserve">(C), 35–65.</w:t>
      </w:r>
    </w:p>
    <w:p>
      <w:pPr>
        <w:pStyle w:val="Literaturverzeichnis"/>
      </w:pPr>
      <w:r>
        <w:t xml:space="preserve">Call, J., &amp; Carpenter, M. (2001). Do apes and children know what they have seen?</w:t>
      </w:r>
      <w:r>
        <w:t xml:space="preserve"> </w:t>
      </w:r>
      <w:r>
        <w:rPr>
          <w:i/>
        </w:rPr>
        <w:t xml:space="preserve">Animal Cognition</w:t>
      </w:r>
      <w:r>
        <w:t xml:space="preserve">,</w:t>
      </w:r>
      <w:r>
        <w:t xml:space="preserve"> </w:t>
      </w:r>
      <w:r>
        <w:rPr>
          <w:i/>
        </w:rPr>
        <w:t xml:space="preserve">3</w:t>
      </w:r>
      <w:r>
        <w:t xml:space="preserve">(4), 207–220.</w:t>
      </w:r>
    </w:p>
    <w:p>
      <w:pPr>
        <w:pStyle w:val="Literaturverzeichnis"/>
      </w:pPr>
      <w:r>
        <w:t xml:space="preserve">Chouinard, M. M., Harris, P. L., &amp; Maratsos, M. P. (2007). Children’s questions: A mechanism for cognitive development.</w:t>
      </w:r>
      <w:r>
        <w:t xml:space="preserve"> </w:t>
      </w:r>
      <w:r>
        <w:rPr>
          <w:i/>
        </w:rPr>
        <w:t xml:space="preserve">Monographs of the Society for Research in Child Development</w:t>
      </w:r>
      <w:r>
        <w:t xml:space="preserve">,</w:t>
      </w:r>
      <w:r>
        <w:t xml:space="preserve"> </w:t>
      </w:r>
      <w:r>
        <w:rPr>
          <w:i/>
        </w:rPr>
        <w:t xml:space="preserve">72</w:t>
      </w:r>
      <w:r>
        <w:t xml:space="preserve">, 1–129.</w:t>
      </w:r>
    </w:p>
    <w:p>
      <w:pPr>
        <w:pStyle w:val="Literaturverzeichnis"/>
      </w:pPr>
      <w:r>
        <w:t xml:space="preserve">Coughlin, C., Hembacher, E., Lyons, K. E., &amp; Ghetti, S. (2014). Introspection on uncertainty and judicious help-seeking during the preschool years.</w:t>
      </w:r>
      <w:r>
        <w:t xml:space="preserve"> </w:t>
      </w:r>
      <w:r>
        <w:rPr>
          <w:i/>
        </w:rPr>
        <w:t xml:space="preserve">Developmental Science</w:t>
      </w:r>
      <w:r>
        <w:t xml:space="preserve">,</w:t>
      </w:r>
      <w:r>
        <w:t xml:space="preserve"> </w:t>
      </w:r>
      <w:r>
        <w:rPr>
          <w:i/>
        </w:rPr>
        <w:t xml:space="preserve">18</w:t>
      </w:r>
      <w:r>
        <w:t xml:space="preserve">(6), 957–971.</w:t>
      </w:r>
    </w:p>
    <w:p>
      <w:pPr>
        <w:pStyle w:val="Literaturverzeichnis"/>
      </w:pPr>
      <w:r>
        <w:t xml:space="preserve">Farroni, T., Csibra, G., Simion, F., &amp; Johnson, M. H. (2002). Eye contact detection in humans from birth.</w:t>
      </w:r>
      <w:r>
        <w:t xml:space="preserve"> </w:t>
      </w:r>
      <w:r>
        <w:rPr>
          <w:i/>
        </w:rPr>
        <w:t xml:space="preserve">Proceedings of the National Academy of Sciences</w:t>
      </w:r>
      <w:r>
        <w:t xml:space="preserve">,</w:t>
      </w:r>
      <w:r>
        <w:t xml:space="preserve"> </w:t>
      </w:r>
      <w:r>
        <w:rPr>
          <w:i/>
        </w:rPr>
        <w:t xml:space="preserve">99</w:t>
      </w:r>
      <w:r>
        <w:t xml:space="preserve">(14), 9602–9605.</w:t>
      </w:r>
    </w:p>
    <w:p>
      <w:pPr>
        <w:pStyle w:val="Literaturverzeichnis"/>
      </w:pPr>
      <w:r>
        <w:t xml:space="preserve">Frank, M. C., Amso, D., &amp; Johnson, S. P. (2014). Visual search and attention to faces during early infancy.</w:t>
      </w:r>
      <w:r>
        <w:t xml:space="preserve"> </w:t>
      </w:r>
      <w:r>
        <w:rPr>
          <w:i/>
        </w:rPr>
        <w:t xml:space="preserve">Journal of Experimental Child Psychology</w:t>
      </w:r>
      <w:r>
        <w:t xml:space="preserve">,</w:t>
      </w:r>
      <w:r>
        <w:t xml:space="preserve"> </w:t>
      </w:r>
      <w:r>
        <w:rPr>
          <w:i/>
        </w:rPr>
        <w:t xml:space="preserve">118</w:t>
      </w:r>
      <w:r>
        <w:t xml:space="preserve">(C), 13–26.</w:t>
      </w:r>
    </w:p>
    <w:p>
      <w:pPr>
        <w:pStyle w:val="Literaturverzeichnis"/>
      </w:pPr>
      <w:r>
        <w:t xml:space="preserve">Frank, M. C., Braginsky, M., Yurovsky, D., &amp; Marchman, V. A. (2016). Wordbank: an open repository for developmental vocabulary data.</w:t>
      </w:r>
      <w:r>
        <w:t xml:space="preserve"> </w:t>
      </w:r>
      <w:r>
        <w:rPr>
          <w:i/>
        </w:rPr>
        <w:t xml:space="preserve">Journal of Child Language</w:t>
      </w:r>
      <w:r>
        <w:t xml:space="preserve">,</w:t>
      </w:r>
      <w:r>
        <w:t xml:space="preserve"> </w:t>
      </w:r>
      <w:r>
        <w:rPr>
          <w:i/>
        </w:rPr>
        <w:t xml:space="preserve">44</w:t>
      </w:r>
      <w:r>
        <w:t xml:space="preserve">(03), 677–694.</w:t>
      </w:r>
    </w:p>
    <w:p>
      <w:pPr>
        <w:pStyle w:val="Literaturverzeichnis"/>
      </w:pPr>
      <w:r>
        <w:t xml:space="preserve">Ghetti, S., Hembacher, E., &amp; Coughlin, C. (2013). Feeling Uncertain and Acting on It During the Preschool Years: A Metacognitive Approach.</w:t>
      </w:r>
      <w:r>
        <w:t xml:space="preserve"> </w:t>
      </w:r>
      <w:r>
        <w:rPr>
          <w:i/>
        </w:rPr>
        <w:t xml:space="preserve">Child Development Perspectives</w:t>
      </w:r>
      <w:r>
        <w:t xml:space="preserve">,</w:t>
      </w:r>
      <w:r>
        <w:t xml:space="preserve"> </w:t>
      </w:r>
      <w:r>
        <w:rPr>
          <w:i/>
        </w:rPr>
        <w:t xml:space="preserve">7</w:t>
      </w:r>
      <w:r>
        <w:t xml:space="preserve">(3), 160–165.</w:t>
      </w:r>
    </w:p>
    <w:p>
      <w:pPr>
        <w:pStyle w:val="Literaturverzeichnis"/>
      </w:pPr>
      <w:r>
        <w:t xml:space="preserve">Goldfield, B. A., &amp; Reznick, J. S. (1990). Early lexical acquisition: Rate, content, and the vocabulary spurt.</w:t>
      </w:r>
      <w:r>
        <w:t xml:space="preserve"> </w:t>
      </w:r>
      <w:r>
        <w:rPr>
          <w:i/>
        </w:rPr>
        <w:t xml:space="preserve">Journal of Child Language</w:t>
      </w:r>
      <w:r>
        <w:t xml:space="preserve">,</w:t>
      </w:r>
      <w:r>
        <w:t xml:space="preserve"> </w:t>
      </w:r>
      <w:r>
        <w:rPr>
          <w:i/>
        </w:rPr>
        <w:t xml:space="preserve">17</w:t>
      </w:r>
      <w:r>
        <w:t xml:space="preserve">(01), 171. doi:</w:t>
      </w:r>
      <w:hyperlink r:id="rId57">
        <w:r>
          <w:rPr>
            <w:rStyle w:val="Hyperlink"/>
          </w:rPr>
          <w:t xml:space="preserve">10.1017/s0305000900013167</w:t>
        </w:r>
      </w:hyperlink>
    </w:p>
    <w:p>
      <w:pPr>
        <w:pStyle w:val="Literaturverzeichnis"/>
      </w:pPr>
      <w:r>
        <w:t xml:space="preserve">Goupil, L., Romand-Monnier, M., &amp; Kouider, S. (2016). Infants ask for help when they know they dont know.</w:t>
      </w:r>
      <w:r>
        <w:t xml:space="preserve"> </w:t>
      </w:r>
      <w:r>
        <w:rPr>
          <w:i/>
        </w:rPr>
        <w:t xml:space="preserve">Proceedings of the National Academy of Sciences</w:t>
      </w:r>
      <w:r>
        <w:t xml:space="preserve">,</w:t>
      </w:r>
      <w:r>
        <w:t xml:space="preserve"> </w:t>
      </w:r>
      <w:r>
        <w:rPr>
          <w:i/>
        </w:rPr>
        <w:t xml:space="preserve">113</w:t>
      </w:r>
      <w:r>
        <w:t xml:space="preserve">(13), 3492–3496.</w:t>
      </w:r>
    </w:p>
    <w:p>
      <w:pPr>
        <w:pStyle w:val="Literaturverzeichnis"/>
      </w:pPr>
      <w:r>
        <w:t xml:space="preserve">Gureckis, T. M., &amp; Markant, D. B. (2012). Self-Directed Learning.</w:t>
      </w:r>
      <w:r>
        <w:t xml:space="preserve"> </w:t>
      </w:r>
      <w:r>
        <w:rPr>
          <w:i/>
        </w:rPr>
        <w:t xml:space="preserve">Perspectives on Psychological Science</w:t>
      </w:r>
      <w:r>
        <w:t xml:space="preserve">,</w:t>
      </w:r>
      <w:r>
        <w:t xml:space="preserve"> </w:t>
      </w:r>
      <w:r>
        <w:rPr>
          <w:i/>
        </w:rPr>
        <w:t xml:space="preserve">7</w:t>
      </w:r>
      <w:r>
        <w:t xml:space="preserve">(5), 464–481.</w:t>
      </w:r>
    </w:p>
    <w:p>
      <w:pPr>
        <w:pStyle w:val="Literaturverzeichnis"/>
      </w:pPr>
      <w:r>
        <w:t xml:space="preserve">Hembacher, E., &amp; Ghetti, S. (2014). Dont look at my answer: Subjective uncertainty underlies preschoolers exclusion of their least accurate memories.</w:t>
      </w:r>
      <w:r>
        <w:t xml:space="preserve"> </w:t>
      </w:r>
      <w:r>
        <w:rPr>
          <w:i/>
        </w:rPr>
        <w:t xml:space="preserve">Psychological Science</w:t>
      </w:r>
      <w:r>
        <w:t xml:space="preserve">,</w:t>
      </w:r>
      <w:r>
        <w:t xml:space="preserve"> </w:t>
      </w:r>
      <w:r>
        <w:rPr>
          <w:i/>
        </w:rPr>
        <w:t xml:space="preserve">25</w:t>
      </w:r>
      <w:r>
        <w:t xml:space="preserve">(9), 0956797614542273–1776.</w:t>
      </w:r>
    </w:p>
    <w:p>
      <w:pPr>
        <w:pStyle w:val="Literaturverzeichnis"/>
      </w:pPr>
      <w:r>
        <w:t xml:space="preserve">Kidd, C., Piantadosi, S. T., &amp; Aslin, R. N. (2012). The Goldilocks Effect: Human Infants Allocate Attention to Visual Sequences That Are Neither Too Simple Nor Too Complex.</w:t>
      </w:r>
      <w:r>
        <w:t xml:space="preserve"> </w:t>
      </w:r>
      <w:r>
        <w:rPr>
          <w:i/>
        </w:rPr>
        <w:t xml:space="preserve">PLoS ONE</w:t>
      </w:r>
      <w:r>
        <w:t xml:space="preserve">,</w:t>
      </w:r>
      <w:r>
        <w:t xml:space="preserve"> </w:t>
      </w:r>
      <w:r>
        <w:rPr>
          <w:i/>
        </w:rPr>
        <w:t xml:space="preserve">7</w:t>
      </w:r>
      <w:r>
        <w:t xml:space="preserve">(5), e36399–8.</w:t>
      </w:r>
    </w:p>
    <w:p>
      <w:pPr>
        <w:pStyle w:val="Literaturverzeichnis"/>
      </w:pPr>
      <w:r>
        <w:t xml:space="preserve">Kidd, C., Piantadosi, S. T., &amp; Aslin, R. N. (2014). The Goldilocks Effect in Infant Auditory Attention.</w:t>
      </w:r>
      <w:r>
        <w:t xml:space="preserve"> </w:t>
      </w:r>
      <w:r>
        <w:rPr>
          <w:i/>
        </w:rPr>
        <w:t xml:space="preserve">Child Development</w:t>
      </w:r>
      <w:r>
        <w:t xml:space="preserve">,</w:t>
      </w:r>
      <w:r>
        <w:t xml:space="preserve"> </w:t>
      </w:r>
      <w:r>
        <w:rPr>
          <w:i/>
        </w:rPr>
        <w:t xml:space="preserve">19</w:t>
      </w:r>
      <w:r>
        <w:t xml:space="preserve">, n/a–n/a.</w:t>
      </w:r>
    </w:p>
    <w:p>
      <w:pPr>
        <w:pStyle w:val="Literaturverzeichnis"/>
      </w:pPr>
      <w:r>
        <w:t xml:space="preserve">Koriat, A., &amp; Goldsmith, M. (1996). Monitoring and control processes in the strategic regulation of memory accuracy.</w:t>
      </w:r>
      <w:r>
        <w:t xml:space="preserve"> </w:t>
      </w:r>
      <w:r>
        <w:rPr>
          <w:i/>
        </w:rPr>
        <w:t xml:space="preserve">Psychological Review</w:t>
      </w:r>
      <w:r>
        <w:t xml:space="preserve">,</w:t>
      </w:r>
      <w:r>
        <w:t xml:space="preserve"> </w:t>
      </w:r>
      <w:r>
        <w:rPr>
          <w:i/>
        </w:rPr>
        <w:t xml:space="preserve">103</w:t>
      </w:r>
      <w:r>
        <w:t xml:space="preserve">(3), 490–517.</w:t>
      </w:r>
    </w:p>
    <w:p>
      <w:pPr>
        <w:pStyle w:val="Literaturverzeichnis"/>
      </w:pPr>
      <w:r>
        <w:t xml:space="preserve">Krebs, S. S., &amp; Roebers, C. M. (2010). Children’s strategic regulation, metacognitive monitoring, and control processes during test taking.</w:t>
      </w:r>
      <w:r>
        <w:t xml:space="preserve"> </w:t>
      </w:r>
      <w:r>
        <w:rPr>
          <w:i/>
        </w:rPr>
        <w:t xml:space="preserve">British Journal of Educational Psychology</w:t>
      </w:r>
      <w:r>
        <w:t xml:space="preserve">,</w:t>
      </w:r>
      <w:r>
        <w:t xml:space="preserve"> </w:t>
      </w:r>
      <w:r>
        <w:rPr>
          <w:i/>
        </w:rPr>
        <w:t xml:space="preserve">80</w:t>
      </w:r>
      <w:r>
        <w:t xml:space="preserve">(3), 325–340.</w:t>
      </w:r>
    </w:p>
    <w:p>
      <w:pPr>
        <w:pStyle w:val="Literaturverzeichnis"/>
      </w:pPr>
      <w:r>
        <w:t xml:space="preserve">Kretch, K. S., Franchak, J. M., &amp; Adolph, K. E. (2013). Crawling and Walking Infants See the World Differently.</w:t>
      </w:r>
      <w:r>
        <w:t xml:space="preserve"> </w:t>
      </w:r>
      <w:r>
        <w:rPr>
          <w:i/>
        </w:rPr>
        <w:t xml:space="preserve">Child Development</w:t>
      </w:r>
      <w:r>
        <w:t xml:space="preserve">,</w:t>
      </w:r>
      <w:r>
        <w:t xml:space="preserve"> </w:t>
      </w:r>
      <w:r>
        <w:rPr>
          <w:i/>
        </w:rPr>
        <w:t xml:space="preserve">85</w:t>
      </w:r>
      <w:r>
        <w:t xml:space="preserve">(4), 1503–1518.</w:t>
      </w:r>
    </w:p>
    <w:p>
      <w:pPr>
        <w:pStyle w:val="Literaturverzeichnis"/>
      </w:pPr>
      <w:r>
        <w:t xml:space="preserve">Lyons, K. E., &amp; Zelazo, P. D. (2011). Monitoring, metacognition, and executive function: Elucidating the role of self-reflection in the development of self-regulation.</w:t>
      </w:r>
      <w:r>
        <w:t xml:space="preserve"> </w:t>
      </w:r>
      <w:r>
        <w:rPr>
          <w:i/>
        </w:rPr>
        <w:t xml:space="preserve">Advances in Child Development and Behavior</w:t>
      </w:r>
      <w:r>
        <w:t xml:space="preserve">,</w:t>
      </w:r>
      <w:r>
        <w:t xml:space="preserve"> </w:t>
      </w:r>
      <w:r>
        <w:rPr>
          <w:i/>
        </w:rPr>
        <w:t xml:space="preserve">40</w:t>
      </w:r>
      <w:r>
        <w:t xml:space="preserve">, 379–412.</w:t>
      </w:r>
    </w:p>
    <w:p>
      <w:pPr>
        <w:pStyle w:val="Literaturverzeichnis"/>
      </w:pPr>
      <w:r>
        <w:t xml:space="preserve">Marazita, J. M., &amp; Merriman, W. E. (2004). Young childrens judgment of whether they know names for objects: The metalinguistic ability it reflects and the processes it involves.</w:t>
      </w:r>
      <w:r>
        <w:t xml:space="preserve"> </w:t>
      </w:r>
      <w:r>
        <w:rPr>
          <w:i/>
        </w:rPr>
        <w:t xml:space="preserve">Journal of Memory and Language</w:t>
      </w:r>
      <w:r>
        <w:t xml:space="preserve">,</w:t>
      </w:r>
      <w:r>
        <w:t xml:space="preserve"> </w:t>
      </w:r>
      <w:r>
        <w:rPr>
          <w:i/>
        </w:rPr>
        <w:t xml:space="preserve">51</w:t>
      </w:r>
      <w:r>
        <w:t xml:space="preserve">(3), 458–472.</w:t>
      </w:r>
    </w:p>
    <w:p>
      <w:pPr>
        <w:pStyle w:val="Literaturverzeichnis"/>
      </w:pPr>
      <w:r>
        <w:t xml:space="preserve">Markant, D. B., Ruggeri, A., Gureckis, T. M., &amp; Xu, F. (2016). Enhanced Memory as a Common Effect of Active Learning.</w:t>
      </w:r>
      <w:r>
        <w:t xml:space="preserve"> </w:t>
      </w:r>
      <w:r>
        <w:rPr>
          <w:i/>
        </w:rPr>
        <w:t xml:space="preserve">Mind, Brain, and Education</w:t>
      </w:r>
      <w:r>
        <w:t xml:space="preserve">,</w:t>
      </w:r>
      <w:r>
        <w:t xml:space="preserve"> </w:t>
      </w:r>
      <w:r>
        <w:rPr>
          <w:i/>
        </w:rPr>
        <w:t xml:space="preserve">10</w:t>
      </w:r>
      <w:r>
        <w:t xml:space="preserve">(3), 142–152.</w:t>
      </w:r>
    </w:p>
    <w:p>
      <w:pPr>
        <w:pStyle w:val="Literaturverzeichnis"/>
      </w:pPr>
      <w:r>
        <w:t xml:space="preserve">Markman, E. M. (1977). Realizing that you don’t understand: A preliminary investigation.</w:t>
      </w:r>
      <w:r>
        <w:t xml:space="preserve"> </w:t>
      </w:r>
      <w:r>
        <w:rPr>
          <w:i/>
        </w:rPr>
        <w:t xml:space="preserve">Child Development</w:t>
      </w:r>
      <w:r>
        <w:t xml:space="preserve">,</w:t>
      </w:r>
      <w:r>
        <w:t xml:space="preserve"> </w:t>
      </w:r>
      <w:r>
        <w:rPr>
          <w:i/>
        </w:rPr>
        <w:t xml:space="preserve">48</w:t>
      </w:r>
      <w:r>
        <w:t xml:space="preserve">(3), 986–992.</w:t>
      </w:r>
    </w:p>
    <w:p>
      <w:pPr>
        <w:pStyle w:val="Literaturverzeichnis"/>
      </w:pPr>
      <w:r>
        <w:t xml:space="preserve">Markman, E. M., &amp; Wachtel, G. F. (1988). Children’s use of mutual exclusivity to constrain the meanings of words.</w:t>
      </w:r>
      <w:r>
        <w:t xml:space="preserve"> </w:t>
      </w:r>
      <w:r>
        <w:rPr>
          <w:i/>
        </w:rPr>
        <w:t xml:space="preserve">Cognitive Psychology</w:t>
      </w:r>
      <w:r>
        <w:t xml:space="preserve">,</w:t>
      </w:r>
      <w:r>
        <w:t xml:space="preserve"> </w:t>
      </w:r>
      <w:r>
        <w:rPr>
          <w:i/>
        </w:rPr>
        <w:t xml:space="preserve">20</w:t>
      </w:r>
      <w:r>
        <w:t xml:space="preserve">, 121–157.</w:t>
      </w:r>
    </w:p>
    <w:p>
      <w:pPr>
        <w:pStyle w:val="Literaturverzeichnis"/>
      </w:pPr>
      <w:r>
        <w:t xml:space="preserve">Merriman, W. E., Bowman, L. L., &amp; MacWhinney, B. (1989). The mutual exclusivity bias in children’s word learning.</w:t>
      </w:r>
      <w:r>
        <w:t xml:space="preserve"> </w:t>
      </w:r>
      <w:r>
        <w:rPr>
          <w:i/>
        </w:rPr>
        <w:t xml:space="preserve">Monographs of the Society for Research in Child Development</w:t>
      </w:r>
      <w:r>
        <w:t xml:space="preserve">,</w:t>
      </w:r>
      <w:r>
        <w:t xml:space="preserve"> </w:t>
      </w:r>
      <w:r>
        <w:rPr>
          <w:i/>
        </w:rPr>
        <w:t xml:space="preserve">54</w:t>
      </w:r>
      <w:r>
        <w:t xml:space="preserve">, i–iii–v–1–129.</w:t>
      </w:r>
    </w:p>
    <w:p>
      <w:pPr>
        <w:pStyle w:val="Literaturverzeichnis"/>
      </w:pPr>
      <w:r>
        <w:t xml:space="preserve">Rohwer, M., Kloo, D., &amp; Perner, J. (2012). Escape From Metaignorance: How Children Develop an Understanding of Their Own Lack of Knowledge.</w:t>
      </w:r>
      <w:r>
        <w:t xml:space="preserve"> </w:t>
      </w:r>
      <w:r>
        <w:rPr>
          <w:i/>
        </w:rPr>
        <w:t xml:space="preserve">Child Development</w:t>
      </w:r>
      <w:r>
        <w:t xml:space="preserve">,</w:t>
      </w:r>
      <w:r>
        <w:t xml:space="preserve"> </w:t>
      </w:r>
      <w:r>
        <w:rPr>
          <w:i/>
        </w:rPr>
        <w:t xml:space="preserve">83</w:t>
      </w:r>
      <w:r>
        <w:t xml:space="preserve">(6), 1869–1883.</w:t>
      </w:r>
    </w:p>
    <w:p>
      <w:pPr>
        <w:pStyle w:val="Literaturverzeichnis"/>
      </w:pPr>
      <w:r>
        <w:t xml:space="preserve">Ruggeri, A., Sim, Z. L., &amp; Xu, F. (2017). “Why is Toma late to school again?” Preschoolers identify the most informative questions.</w:t>
      </w:r>
      <w:r>
        <w:t xml:space="preserve"> </w:t>
      </w:r>
      <w:r>
        <w:rPr>
          <w:i/>
        </w:rPr>
        <w:t xml:space="preserve">Developmental Science</w:t>
      </w:r>
      <w:r>
        <w:t xml:space="preserve">.</w:t>
      </w:r>
    </w:p>
    <w:p>
      <w:pPr>
        <w:pStyle w:val="Literaturverzeichnis"/>
      </w:pPr>
      <w:r>
        <w:t xml:space="preserve">Schulz, L. E., &amp; Bonawitz, E. (2007). Serious fun: Preschoolers engage in more exploratory play when evidence is confounded.</w:t>
      </w:r>
      <w:r>
        <w:t xml:space="preserve"> </w:t>
      </w:r>
      <w:r>
        <w:rPr>
          <w:i/>
        </w:rPr>
        <w:t xml:space="preserve">Developmental Psychology</w:t>
      </w:r>
      <w:r>
        <w:t xml:space="preserve">,</w:t>
      </w:r>
      <w:r>
        <w:t xml:space="preserve"> </w:t>
      </w:r>
      <w:r>
        <w:rPr>
          <w:i/>
        </w:rPr>
        <w:t xml:space="preserve">43</w:t>
      </w:r>
      <w:r>
        <w:t xml:space="preserve">(4), 1045–1050.</w:t>
      </w:r>
    </w:p>
    <w:p>
      <w:pPr>
        <w:pStyle w:val="Literaturverzeichnis"/>
      </w:pPr>
      <w:r>
        <w:t xml:space="preserve">Teglas, E., Vul, E., Girotto, V., Gonzalez, M., Tenenbaum, J. B., &amp; Bonatti, L. L. (2011). Pure Reasoning in 12-Month-Old Infants as Probabilistic Inference.</w:t>
      </w:r>
      <w:r>
        <w:t xml:space="preserve"> </w:t>
      </w:r>
      <w:r>
        <w:rPr>
          <w:i/>
        </w:rPr>
        <w:t xml:space="preserve">Science</w:t>
      </w:r>
      <w:r>
        <w:t xml:space="preserve">,</w:t>
      </w:r>
      <w:r>
        <w:t xml:space="preserve"> </w:t>
      </w:r>
      <w:r>
        <w:rPr>
          <w:i/>
        </w:rPr>
        <w:t xml:space="preserve">332</w:t>
      </w:r>
      <w:r>
        <w:t xml:space="preserve">(6033), 1054–1059.</w:t>
      </w:r>
    </w:p>
    <w:p>
      <w:pPr>
        <w:pStyle w:val="Literaturverzeichnis"/>
      </w:pPr>
      <w:r>
        <w:t xml:space="preserve">Vaish, A., Demir, Ö. E., &amp; Baldwin, D. (2011). Thirteen- and 18-month-old infants recognize when they need referential information.</w:t>
      </w:r>
      <w:r>
        <w:t xml:space="preserve"> </w:t>
      </w:r>
      <w:r>
        <w:rPr>
          <w:i/>
        </w:rPr>
        <w:t xml:space="preserve">Social Development</w:t>
      </w:r>
      <w:r>
        <w:t xml:space="preserve">,</w:t>
      </w:r>
      <w:r>
        <w:t xml:space="preserve"> </w:t>
      </w:r>
      <w:r>
        <w:rPr>
          <w:i/>
        </w:rPr>
        <w:t xml:space="preserve">20</w:t>
      </w:r>
      <w:r>
        <w:t xml:space="preserve">(3), 431–449.</w:t>
      </w:r>
    </w:p>
    <w:p>
      <w:pPr>
        <w:pStyle w:val="Literaturverzeichnis"/>
      </w:pPr>
      <w:r>
        <w:t xml:space="preserve">Xu, F., &amp; Kushnir, T. (2013). Infants are rational constructivist learners.</w:t>
      </w:r>
      <w:r>
        <w:t xml:space="preserve"> </w:t>
      </w:r>
      <w:r>
        <w:rPr>
          <w:i/>
        </w:rPr>
        <w:t xml:space="preserve">Current Directions in Psychological Science</w:t>
      </w:r>
      <w:r>
        <w:t xml:space="preserve">,</w:t>
      </w:r>
      <w:r>
        <w:t xml:space="preserve"> </w:t>
      </w:r>
      <w:r>
        <w:rPr>
          <w:i/>
        </w:rPr>
        <w:t xml:space="preserve">22</w:t>
      </w:r>
      <w:r>
        <w:t xml:space="preserve">(1), 28–32.</w:t>
      </w:r>
    </w:p>
    <w:p>
      <w:pPr>
        <w:pStyle w:val="Literaturverzeichnis"/>
      </w:pPr>
      <w:r>
        <w:t xml:space="preserve">Yeung, N., &amp; Summerfield, C. (2012). Metacognition in human decision-making: confidence and error monitoring.</w:t>
      </w:r>
      <w:r>
        <w:t xml:space="preserve"> </w:t>
      </w:r>
      <w:r>
        <w:rPr>
          <w:i/>
        </w:rPr>
        <w:t xml:space="preserve">Philosophical Transactions of the Royal Society B: Biological Sciences</w:t>
      </w:r>
      <w:r>
        <w:t xml:space="preserve">,</w:t>
      </w:r>
      <w:r>
        <w:t xml:space="preserve"> </w:t>
      </w:r>
      <w:r>
        <w:rPr>
          <w:i/>
        </w:rPr>
        <w:t xml:space="preserve">367</w:t>
      </w:r>
      <w:r>
        <w:t xml:space="preserve">(1594), 1310–1321.</w:t>
      </w: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Planned sample size, exclusion criteria, and analysis plan preregistered at</w:t>
      </w:r>
      <w:r>
        <w:t xml:space="preserve"> </w:t>
      </w:r>
      <w:hyperlink r:id="rId31">
        <w:r>
          <w:rPr>
            <w:rStyle w:val="Hyperlink"/>
          </w:rPr>
          <w:t xml:space="preserve">https://osf.io/y7mvt</w:t>
        </w:r>
      </w:hyperlink>
      <w:r>
        <w:t xml:space="preserve">.</w:t>
      </w:r>
    </w:p>
  </w:footnote>
  <w:footnote w:id="45">
    <w:p>
      <w:pPr>
        <w:pStyle w:val="Funotentext"/>
      </w:pPr>
      <w:r>
        <w:rPr>
          <w:rStyle w:val="Funotenzeichen"/>
        </w:rPr>
        <w:footnoteRef/>
      </w:r>
      <w:r>
        <w:t xml:space="preserve"> </w:t>
      </w:r>
      <w:r>
        <w:t xml:space="preserve">Planned sample size, exclusion criteria, and analysis plan (including model specification) preregistered at</w:t>
      </w:r>
      <w:r>
        <w:t xml:space="preserve"> </w:t>
      </w:r>
      <w:hyperlink r:id="rId46">
        <w:r>
          <w:rPr>
            <w:rStyle w:val="Hyperlink"/>
          </w:rPr>
          <w:t xml:space="preserve">https://osf.io/y7mvt/</w:t>
        </w:r>
      </w:hyperlink>
      <w:r>
        <w:t xml:space="preser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7a5c59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53" Target="media/rId53.png" /><Relationship Type="http://schemas.openxmlformats.org/officeDocument/2006/relationships/hyperlink" Id="rId35" Target="http://datavyu.org" TargetMode="External" /><Relationship Type="http://schemas.openxmlformats.org/officeDocument/2006/relationships/hyperlink" Id="rId57" Target="https://doi.org/10.1017/s0305000900013167" TargetMode="External" /><Relationship Type="http://schemas.openxmlformats.org/officeDocument/2006/relationships/hyperlink" Id="rId31" Target="https://osf.io/y7mvt" TargetMode="External" /><Relationship Type="http://schemas.openxmlformats.org/officeDocument/2006/relationships/hyperlink" Id="rId46" Target="https://osf.io/y7mvt/" TargetMode="External" /><Relationship Type="http://schemas.openxmlformats.org/officeDocument/2006/relationships/hyperlink" Id="rId22" Target="mailto:mcfrank@stanford.edu" TargetMode="External" /></Relationships>
</file>

<file path=word/_rels/footnotes.xml.rels><?xml version="1.0" encoding="UTF-8"?>
<Relationships xmlns="http://schemas.openxmlformats.org/package/2006/relationships"><Relationship Type="http://schemas.openxmlformats.org/officeDocument/2006/relationships/hyperlink" Id="rId35" Target="http://datavyu.org" TargetMode="External" /><Relationship Type="http://schemas.openxmlformats.org/officeDocument/2006/relationships/hyperlink" Id="rId57" Target="https://doi.org/10.1017/s0305000900013167" TargetMode="External" /><Relationship Type="http://schemas.openxmlformats.org/officeDocument/2006/relationships/hyperlink" Id="rId31" Target="https://osf.io/y7mvt" TargetMode="External" /><Relationship Type="http://schemas.openxmlformats.org/officeDocument/2006/relationships/hyperlink" Id="rId46" Target="https://osf.io/y7mvt/" TargetMode="External" /><Relationship Type="http://schemas.openxmlformats.org/officeDocument/2006/relationships/hyperlink" Id="rId22" Target="mailto:mcfrank@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Children’s social information gathering is sensitive to referential ambiguity</dc:title>
  <dc:creator/>
  <dcterms:created xsi:type="dcterms:W3CDTF">2018-07-14T19:06:52Z</dcterms:created>
  <dcterms:modified xsi:type="dcterms:W3CDTF">2018-07-14T19:06:52Z</dcterms:modified>
</cp:coreProperties>
</file>