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</w:t>
      </w:r>
    </w:p>
    <w:p>
      <w:pPr>
        <w:pStyle w:val="Author"/>
      </w:pPr>
      <w:r>
        <w:t xml:space="preserve">no</w:t>
      </w:r>
    </w:p>
    <w:p>
      <w:pPr>
        <w:pStyle w:val="Date"/>
      </w:pPr>
      <w:r>
        <w:t xml:space="preserve">no</w:t>
      </w:r>
    </w:p>
    <w:p>
      <w:pPr>
        <w:pStyle w:val="Compact"/>
      </w:pPr>
      <w:r>
        <w:t xml:space="preserve">Table S1</w:t>
      </w:r>
    </w:p>
    <w:p>
      <w:pPr>
        <w:pStyle w:val="BodyText"/>
      </w:pPr>
      <w:r>
        <w:rPr>
          <w:i/>
        </w:rPr>
        <w:t xml:space="preserve">Note</w:t>
      </w:r>
      <w:r>
        <w:t xml:space="preserve">: Parentheticals indicate the reference level for dummy-coded variables.</w:t>
      </w:r>
    </w:p>
    <w:p>
      <w:pPr>
        <w:pStyle w:val="Compact"/>
      </w:pPr>
      <w:r>
        <w:t xml:space="preserve">Table S2</w:t>
      </w:r>
    </w:p>
    <w:p>
      <w:pPr>
        <w:pStyle w:val="BodyText"/>
      </w:pPr>
      <w:r>
        <w:rPr>
          <w:i/>
        </w:rPr>
        <w:t xml:space="preserve">Note</w:t>
      </w:r>
      <w:r>
        <w:t xml:space="preserve">: Parentheticals indicate the reference level for dummy-coded variables.</w:t>
      </w:r>
    </w:p>
    <w:p>
      <w:pPr>
        <w:pStyle w:val="Compact"/>
      </w:pPr>
      <w:r>
        <w:t xml:space="preserve">Table S3</w:t>
      </w:r>
    </w:p>
    <w:p>
      <w:pPr>
        <w:pStyle w:val="BodyText"/>
      </w:pPr>
      <w:r>
        <w:rPr>
          <w:i/>
        </w:rPr>
        <w:t xml:space="preserve">Note</w:t>
      </w:r>
      <w:r>
        <w:t xml:space="preserve">: Parentheticals indicate the reference level for dummy-coded variables.</w:t>
      </w:r>
      <w:r>
        <w:t xml:space="preserve"> </w:t>
      </w:r>
    </w:p>
    <w:p>
      <w:pPr>
        <w:pStyle w:val="Compact"/>
      </w:pPr>
      <w:r>
        <w:t xml:space="preserve">Table S4</w:t>
      </w:r>
    </w:p>
    <w:p>
      <w:pPr>
        <w:pStyle w:val="BodyText"/>
      </w:pPr>
      <w:r>
        <w:rPr>
          <w:i/>
        </w:rPr>
        <w:t xml:space="preserve">Note</w:t>
      </w:r>
      <w:r>
        <w:t xml:space="preserve">: Parentheticals indicate the reference level for dummy-coded variables.</w:t>
      </w:r>
    </w:p>
    <w:p>
      <w:pPr>
        <w:pStyle w:val="Compact"/>
      </w:pPr>
      <w:r>
        <w:t xml:space="preserve">Table S6</w:t>
      </w:r>
    </w:p>
    <w:p>
      <w:pPr>
        <w:pStyle w:val="BodyText"/>
      </w:pPr>
      <w:r>
        <w:rPr>
          <w:i/>
        </w:rPr>
        <w:t xml:space="preserve">Note</w:t>
      </w:r>
      <w:r>
        <w:t xml:space="preserve">: Parentheticals indicate the reference level for dummy-coded variables.</w:t>
      </w:r>
    </w:p>
    <w:p>
      <w:pPr>
        <w:pStyle w:val="Compact"/>
      </w:pPr>
      <w:r>
        <w:t xml:space="preserve">Table S5</w:t>
      </w:r>
    </w:p>
    <w:p>
      <w:pPr>
        <w:pStyle w:val="BodyText"/>
      </w:pPr>
      <w:r>
        <w:rPr>
          <w:i/>
        </w:rPr>
        <w:t xml:space="preserve">Note</w:t>
      </w:r>
      <w:r>
        <w:t xml:space="preserve">: Parentheticals indicate the reference level for dummy-coded variables.</w:t>
      </w:r>
    </w:p>
    <w:p>
      <w:pPr>
        <w:pStyle w:val="Compact"/>
      </w:pPr>
      <w:r>
        <w:t xml:space="preserve">Table S1</w:t>
      </w:r>
    </w:p>
    <w:p>
      <w:pPr>
        <w:pStyle w:val="BodyText"/>
      </w:pPr>
      <w:r>
        <w:rPr>
          <w:i/>
        </w:rPr>
        <w:t xml:space="preserve">Note</w:t>
      </w:r>
      <w:r>
        <w:t xml:space="preserve">: Parentheticals indicate the reference level for dummy-coded variables.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d809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no</dc:creator>
  <dcterms:created xsi:type="dcterms:W3CDTF">2018-05-10T06:45:40Z</dcterms:created>
  <dcterms:modified xsi:type="dcterms:W3CDTF">2018-05-10T06:45:40Z</dcterms:modified>
</cp:coreProperties>
</file>