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Multicenter Mexican cohort of adults with IgA vasculitis nephritis: risk phenotypes and predictors of progression</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Héctor Benjamín García González</w:t>
      </w:r>
      <w:r w:rsidDel="00000000" w:rsidR="00000000" w:rsidRPr="00000000">
        <w:rPr>
          <w:rFonts w:ascii="Times New Roman" w:cs="Times New Roman" w:eastAsia="Times New Roman" w:hAnsi="Times New Roman"/>
          <w:color w:val="000000"/>
          <w:sz w:val="18"/>
          <w:szCs w:val="18"/>
          <w:vertAlign w:val="superscript"/>
          <w:rtl w:val="0"/>
        </w:rPr>
        <w:t xml:space="preserve">1</w:t>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sz w:val="18"/>
          <w:szCs w:val="18"/>
          <w:rtl w:val="0"/>
        </w:rPr>
        <w:t xml:space="preserve">André Méndez Bolaños Cacho</w:t>
      </w:r>
      <w:r w:rsidDel="00000000" w:rsidR="00000000" w:rsidRPr="00000000">
        <w:rPr>
          <w:rFonts w:ascii="Times New Roman" w:cs="Times New Roman" w:eastAsia="Times New Roman" w:hAnsi="Times New Roman"/>
          <w:color w:val="000000"/>
          <w:sz w:val="18"/>
          <w:szCs w:val="18"/>
          <w:vertAlign w:val="superscript"/>
          <w:rtl w:val="0"/>
        </w:rPr>
        <w:t xml:space="preserve">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Norma Uribe Uribe</w:t>
      </w:r>
      <w:r w:rsidDel="00000000" w:rsidR="00000000" w:rsidRPr="00000000">
        <w:rPr>
          <w:rFonts w:ascii="Times New Roman" w:cs="Times New Roman" w:eastAsia="Times New Roman" w:hAnsi="Times New Roman"/>
          <w:color w:val="000000"/>
          <w:sz w:val="18"/>
          <w:szCs w:val="18"/>
          <w:vertAlign w:val="superscript"/>
          <w:rtl w:val="0"/>
        </w:rPr>
        <w:t xml:space="preserve">2</w:t>
      </w:r>
      <w:r w:rsidDel="00000000" w:rsidR="00000000" w:rsidRPr="00000000">
        <w:rPr>
          <w:rFonts w:ascii="Times New Roman" w:cs="Times New Roman" w:eastAsia="Times New Roman" w:hAnsi="Times New Roman"/>
          <w:color w:val="000000"/>
          <w:sz w:val="18"/>
          <w:szCs w:val="18"/>
          <w:rtl w:val="0"/>
        </w:rPr>
        <w:t xml:space="preserve">, Juan M. Mejía Vilet</w:t>
      </w:r>
      <w:r w:rsidDel="00000000" w:rsidR="00000000" w:rsidRPr="00000000">
        <w:rPr>
          <w:rFonts w:ascii="Times New Roman" w:cs="Times New Roman" w:eastAsia="Times New Roman" w:hAnsi="Times New Roman"/>
          <w:color w:val="000000"/>
          <w:sz w:val="18"/>
          <w:szCs w:val="18"/>
          <w:vertAlign w:val="superscript"/>
          <w:rtl w:val="0"/>
        </w:rPr>
        <w:t xml:space="preserve">1</w:t>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sz w:val="18"/>
          <w:szCs w:val="18"/>
          <w:rtl w:val="0"/>
        </w:rPr>
        <w:t xml:space="preserve">Alfredo Fonseca Chávez</w:t>
      </w:r>
      <w:r w:rsidDel="00000000" w:rsidR="00000000" w:rsidRPr="00000000">
        <w:rPr>
          <w:rFonts w:ascii="Times New Roman" w:cs="Times New Roman" w:eastAsia="Times New Roman" w:hAnsi="Times New Roman"/>
          <w:color w:val="000000"/>
          <w:sz w:val="18"/>
          <w:szCs w:val="18"/>
          <w:vertAlign w:val="superscript"/>
          <w:rtl w:val="0"/>
        </w:rPr>
        <w:t xml:space="preserve">3,4</w:t>
      </w:r>
      <w:r w:rsidDel="00000000" w:rsidR="00000000" w:rsidRPr="00000000">
        <w:rPr>
          <w:rFonts w:ascii="Times New Roman" w:cs="Times New Roman" w:eastAsia="Times New Roman" w:hAnsi="Times New Roman"/>
          <w:sz w:val="18"/>
          <w:szCs w:val="18"/>
          <w:rtl w:val="0"/>
        </w:rPr>
        <w:t xml:space="preserve">, Ma. Virgilia Soto Abraham</w:t>
      </w:r>
      <w:r w:rsidDel="00000000" w:rsidR="00000000" w:rsidRPr="00000000">
        <w:rPr>
          <w:rFonts w:ascii="Times New Roman" w:cs="Times New Roman" w:eastAsia="Times New Roman" w:hAnsi="Times New Roman"/>
          <w:color w:val="000000"/>
          <w:sz w:val="18"/>
          <w:szCs w:val="18"/>
          <w:vertAlign w:val="superscript"/>
          <w:rtl w:val="0"/>
        </w:rPr>
        <w:t xml:space="preserve">5</w:t>
      </w:r>
      <w:r w:rsidDel="00000000" w:rsidR="00000000" w:rsidRPr="00000000">
        <w:rPr>
          <w:rFonts w:ascii="Times New Roman" w:cs="Times New Roman" w:eastAsia="Times New Roman" w:hAnsi="Times New Roman"/>
          <w:sz w:val="18"/>
          <w:szCs w:val="18"/>
          <w:rtl w:val="0"/>
        </w:rPr>
        <w:t xml:space="preserve">, Ángela María Córdoba Hurtado</w:t>
      </w:r>
      <w:r w:rsidDel="00000000" w:rsidR="00000000" w:rsidRPr="00000000">
        <w:rPr>
          <w:rFonts w:ascii="Times New Roman" w:cs="Times New Roman" w:eastAsia="Times New Roman" w:hAnsi="Times New Roman"/>
          <w:color w:val="000000"/>
          <w:sz w:val="18"/>
          <w:szCs w:val="18"/>
          <w:vertAlign w:val="superscript"/>
          <w:rtl w:val="0"/>
        </w:rPr>
        <w:t xml:space="preserve">6</w:t>
      </w:r>
      <w:r w:rsidDel="00000000" w:rsidR="00000000" w:rsidRPr="00000000">
        <w:rPr>
          <w:rFonts w:ascii="Times New Roman" w:cs="Times New Roman" w:eastAsia="Times New Roman" w:hAnsi="Times New Roman"/>
          <w:sz w:val="18"/>
          <w:szCs w:val="18"/>
          <w:rtl w:val="0"/>
        </w:rPr>
        <w:t xml:space="preserve">, Belén Gallegos Vázquez</w:t>
      </w:r>
      <w:r w:rsidDel="00000000" w:rsidR="00000000" w:rsidRPr="00000000">
        <w:rPr>
          <w:rFonts w:ascii="Times New Roman" w:cs="Times New Roman" w:eastAsia="Times New Roman" w:hAnsi="Times New Roman"/>
          <w:color w:val="000000"/>
          <w:sz w:val="18"/>
          <w:szCs w:val="18"/>
          <w:vertAlign w:val="superscript"/>
          <w:rtl w:val="0"/>
        </w:rPr>
        <w:t xml:space="preserve">6</w:t>
      </w:r>
      <w:r w:rsidDel="00000000" w:rsidR="00000000" w:rsidRPr="00000000">
        <w:rPr>
          <w:rFonts w:ascii="Times New Roman" w:cs="Times New Roman" w:eastAsia="Times New Roman" w:hAnsi="Times New Roman"/>
          <w:sz w:val="18"/>
          <w:szCs w:val="18"/>
          <w:rtl w:val="0"/>
        </w:rPr>
        <w:t xml:space="preserve">, Octavio René García Flores</w:t>
      </w:r>
      <w:r w:rsidDel="00000000" w:rsidR="00000000" w:rsidRPr="00000000">
        <w:rPr>
          <w:rFonts w:ascii="Times New Roman" w:cs="Times New Roman" w:eastAsia="Times New Roman" w:hAnsi="Times New Roman"/>
          <w:color w:val="000000"/>
          <w:sz w:val="18"/>
          <w:szCs w:val="18"/>
          <w:vertAlign w:val="superscript"/>
          <w:rtl w:val="0"/>
        </w:rPr>
        <w:t xml:space="preserve">7</w:t>
      </w:r>
      <w:r w:rsidDel="00000000" w:rsidR="00000000" w:rsidRPr="00000000">
        <w:rPr>
          <w:rFonts w:ascii="Times New Roman" w:cs="Times New Roman" w:eastAsia="Times New Roman" w:hAnsi="Times New Roman"/>
          <w:sz w:val="18"/>
          <w:szCs w:val="18"/>
          <w:rtl w:val="0"/>
        </w:rPr>
        <w:t xml:space="preserve">, Enzo Vásquez Jiménez</w:t>
      </w:r>
      <w:r w:rsidDel="00000000" w:rsidR="00000000" w:rsidRPr="00000000">
        <w:rPr>
          <w:rFonts w:ascii="Times New Roman" w:cs="Times New Roman" w:eastAsia="Times New Roman" w:hAnsi="Times New Roman"/>
          <w:color w:val="000000"/>
          <w:sz w:val="18"/>
          <w:szCs w:val="18"/>
          <w:vertAlign w:val="superscript"/>
          <w:rtl w:val="0"/>
        </w:rPr>
        <w:t xml:space="preserve">7</w:t>
      </w:r>
      <w:r w:rsidDel="00000000" w:rsidR="00000000" w:rsidRPr="00000000">
        <w:rPr>
          <w:rFonts w:ascii="Times New Roman" w:cs="Times New Roman" w:eastAsia="Times New Roman" w:hAnsi="Times New Roman"/>
          <w:sz w:val="18"/>
          <w:szCs w:val="18"/>
          <w:rtl w:val="0"/>
        </w:rPr>
        <w:t xml:space="preserve">, Brenda Morales Martínez</w:t>
      </w:r>
      <w:r w:rsidDel="00000000" w:rsidR="00000000" w:rsidRPr="00000000">
        <w:rPr>
          <w:rFonts w:ascii="Times New Roman" w:cs="Times New Roman" w:eastAsia="Times New Roman" w:hAnsi="Times New Roman"/>
          <w:color w:val="000000"/>
          <w:sz w:val="18"/>
          <w:szCs w:val="18"/>
          <w:vertAlign w:val="superscript"/>
          <w:rtl w:val="0"/>
        </w:rPr>
        <w:t xml:space="preserve">7</w:t>
      </w:r>
      <w:r w:rsidDel="00000000" w:rsidR="00000000" w:rsidRPr="00000000">
        <w:rPr>
          <w:rFonts w:ascii="Times New Roman" w:cs="Times New Roman" w:eastAsia="Times New Roman" w:hAnsi="Times New Roman"/>
          <w:sz w:val="18"/>
          <w:szCs w:val="18"/>
          <w:rtl w:val="0"/>
        </w:rPr>
        <w:t xml:space="preserve">, Leslly Peña Flores</w:t>
      </w:r>
      <w:r w:rsidDel="00000000" w:rsidR="00000000" w:rsidRPr="00000000">
        <w:rPr>
          <w:rFonts w:ascii="Times New Roman" w:cs="Times New Roman" w:eastAsia="Times New Roman" w:hAnsi="Times New Roman"/>
          <w:color w:val="000000"/>
          <w:sz w:val="18"/>
          <w:szCs w:val="18"/>
          <w:vertAlign w:val="superscript"/>
          <w:rtl w:val="0"/>
        </w:rPr>
        <w:t xml:space="preserve">7</w:t>
      </w:r>
      <w:r w:rsidDel="00000000" w:rsidR="00000000" w:rsidRPr="00000000">
        <w:rPr>
          <w:rFonts w:ascii="Times New Roman" w:cs="Times New Roman" w:eastAsia="Times New Roman" w:hAnsi="Times New Roman"/>
          <w:sz w:val="18"/>
          <w:szCs w:val="18"/>
          <w:rtl w:val="0"/>
        </w:rPr>
        <w:t xml:space="preserve">, Mario Eduardo Alamilla Sánchez</w:t>
      </w:r>
      <w:r w:rsidDel="00000000" w:rsidR="00000000" w:rsidRPr="00000000">
        <w:rPr>
          <w:rFonts w:ascii="Times New Roman" w:cs="Times New Roman" w:eastAsia="Times New Roman" w:hAnsi="Times New Roman"/>
          <w:color w:val="000000"/>
          <w:sz w:val="18"/>
          <w:szCs w:val="18"/>
          <w:vertAlign w:val="superscript"/>
          <w:rtl w:val="0"/>
        </w:rPr>
        <w:t xml:space="preserve">8</w:t>
      </w:r>
      <w:r w:rsidDel="00000000" w:rsidR="00000000" w:rsidRPr="00000000">
        <w:rPr>
          <w:rFonts w:ascii="Times New Roman" w:cs="Times New Roman" w:eastAsia="Times New Roman" w:hAnsi="Times New Roman"/>
          <w:sz w:val="18"/>
          <w:szCs w:val="18"/>
          <w:rtl w:val="0"/>
        </w:rPr>
        <w:t xml:space="preserve">, Regina Canade Hernández Hernández</w:t>
      </w:r>
      <w:r w:rsidDel="00000000" w:rsidR="00000000" w:rsidRPr="00000000">
        <w:rPr>
          <w:rFonts w:ascii="Times New Roman" w:cs="Times New Roman" w:eastAsia="Times New Roman" w:hAnsi="Times New Roman"/>
          <w:color w:val="000000"/>
          <w:sz w:val="18"/>
          <w:szCs w:val="18"/>
          <w:vertAlign w:val="superscript"/>
          <w:rtl w:val="0"/>
        </w:rPr>
        <w:t xml:space="preserve">8</w:t>
      </w:r>
      <w:r w:rsidDel="00000000" w:rsidR="00000000" w:rsidRPr="00000000">
        <w:rPr>
          <w:rFonts w:ascii="Times New Roman" w:cs="Times New Roman" w:eastAsia="Times New Roman" w:hAnsi="Times New Roman"/>
          <w:sz w:val="18"/>
          <w:szCs w:val="18"/>
          <w:rtl w:val="0"/>
        </w:rPr>
        <w:t xml:space="preserve">, Martin Carbajal Zárate</w:t>
      </w:r>
      <w:r w:rsidDel="00000000" w:rsidR="00000000" w:rsidRPr="00000000">
        <w:rPr>
          <w:rFonts w:ascii="Times New Roman" w:cs="Times New Roman" w:eastAsia="Times New Roman" w:hAnsi="Times New Roman"/>
          <w:color w:val="000000"/>
          <w:sz w:val="18"/>
          <w:szCs w:val="18"/>
          <w:vertAlign w:val="superscript"/>
          <w:rtl w:val="0"/>
        </w:rPr>
        <w:t xml:space="preserve">8</w:t>
      </w:r>
      <w:r w:rsidDel="00000000" w:rsidR="00000000" w:rsidRPr="00000000">
        <w:rPr>
          <w:rFonts w:ascii="Times New Roman" w:cs="Times New Roman" w:eastAsia="Times New Roman" w:hAnsi="Times New Roman"/>
          <w:sz w:val="18"/>
          <w:szCs w:val="18"/>
          <w:rtl w:val="0"/>
        </w:rPr>
        <w:t xml:space="preserve">, José Luis Torres Cuevas</w:t>
      </w:r>
      <w:r w:rsidDel="00000000" w:rsidR="00000000" w:rsidRPr="00000000">
        <w:rPr>
          <w:rFonts w:ascii="Times New Roman" w:cs="Times New Roman" w:eastAsia="Times New Roman" w:hAnsi="Times New Roman"/>
          <w:color w:val="000000"/>
          <w:sz w:val="18"/>
          <w:szCs w:val="18"/>
          <w:vertAlign w:val="superscript"/>
          <w:rtl w:val="0"/>
        </w:rPr>
        <w:t xml:space="preserve">8</w:t>
      </w:r>
      <w:r w:rsidDel="00000000" w:rsidR="00000000" w:rsidRPr="00000000">
        <w:rPr>
          <w:rFonts w:ascii="Times New Roman" w:cs="Times New Roman" w:eastAsia="Times New Roman" w:hAnsi="Times New Roman"/>
          <w:sz w:val="18"/>
          <w:szCs w:val="18"/>
          <w:rtl w:val="0"/>
        </w:rPr>
        <w:t xml:space="preserve">, Stiven Cardenas Hurtado</w:t>
      </w:r>
      <w:r w:rsidDel="00000000" w:rsidR="00000000" w:rsidRPr="00000000">
        <w:rPr>
          <w:rFonts w:ascii="Times New Roman" w:cs="Times New Roman" w:eastAsia="Times New Roman" w:hAnsi="Times New Roman"/>
          <w:color w:val="000000"/>
          <w:sz w:val="18"/>
          <w:szCs w:val="18"/>
          <w:vertAlign w:val="superscript"/>
          <w:rtl w:val="0"/>
        </w:rPr>
        <w:t xml:space="preserve">8</w:t>
      </w:r>
      <w:r w:rsidDel="00000000" w:rsidR="00000000" w:rsidRPr="00000000">
        <w:rPr>
          <w:rFonts w:ascii="Times New Roman" w:cs="Times New Roman" w:eastAsia="Times New Roman" w:hAnsi="Times New Roman"/>
          <w:sz w:val="18"/>
          <w:szCs w:val="18"/>
          <w:rtl w:val="0"/>
        </w:rPr>
        <w:t xml:space="preserve">, Liliana Pacchiano Alemán</w:t>
      </w:r>
      <w:r w:rsidDel="00000000" w:rsidR="00000000" w:rsidRPr="00000000">
        <w:rPr>
          <w:rFonts w:ascii="Times New Roman" w:cs="Times New Roman" w:eastAsia="Times New Roman" w:hAnsi="Times New Roman"/>
          <w:color w:val="000000"/>
          <w:sz w:val="18"/>
          <w:szCs w:val="18"/>
          <w:vertAlign w:val="superscript"/>
          <w:rtl w:val="0"/>
        </w:rPr>
        <w:t xml:space="preserve">9</w:t>
      </w:r>
      <w:r w:rsidDel="00000000" w:rsidR="00000000" w:rsidRPr="00000000">
        <w:rPr>
          <w:rFonts w:ascii="Times New Roman" w:cs="Times New Roman" w:eastAsia="Times New Roman" w:hAnsi="Times New Roman"/>
          <w:sz w:val="18"/>
          <w:szCs w:val="18"/>
          <w:rtl w:val="0"/>
        </w:rPr>
        <w:t xml:space="preserve">, María Fernanda Zavala Miranda</w:t>
      </w:r>
      <w:r w:rsidDel="00000000" w:rsidR="00000000" w:rsidRPr="00000000">
        <w:rPr>
          <w:rFonts w:ascii="Times New Roman" w:cs="Times New Roman" w:eastAsia="Times New Roman" w:hAnsi="Times New Roman"/>
          <w:color w:val="000000"/>
          <w:sz w:val="18"/>
          <w:szCs w:val="18"/>
          <w:vertAlign w:val="superscript"/>
          <w:rtl w:val="0"/>
        </w:rPr>
        <w:t xml:space="preserve">1,7</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1 </w:t>
      </w:r>
      <w:r w:rsidDel="00000000" w:rsidR="00000000" w:rsidRPr="00000000">
        <w:rPr>
          <w:rFonts w:ascii="Times New Roman" w:cs="Times New Roman" w:eastAsia="Times New Roman" w:hAnsi="Times New Roman"/>
          <w:sz w:val="18"/>
          <w:szCs w:val="18"/>
          <w:rtl w:val="0"/>
        </w:rPr>
        <w:t xml:space="preserve">Department of Nephrology and Mineral Metabolism, Instituto Nacional de Ciencias Médicas y Nutrición Salvador Zubirán, Mexico City, Mexico. </w:t>
      </w:r>
      <w:r w:rsidDel="00000000" w:rsidR="00000000" w:rsidRPr="00000000">
        <w:rPr>
          <w:rFonts w:ascii="Times New Roman" w:cs="Times New Roman" w:eastAsia="Times New Roman" w:hAnsi="Times New Roman"/>
          <w:sz w:val="18"/>
          <w:szCs w:val="18"/>
          <w:vertAlign w:val="superscript"/>
          <w:rtl w:val="0"/>
        </w:rPr>
        <w:t xml:space="preserve">2 </w:t>
      </w:r>
      <w:r w:rsidDel="00000000" w:rsidR="00000000" w:rsidRPr="00000000">
        <w:rPr>
          <w:rFonts w:ascii="Times New Roman" w:cs="Times New Roman" w:eastAsia="Times New Roman" w:hAnsi="Times New Roman"/>
          <w:sz w:val="18"/>
          <w:szCs w:val="18"/>
          <w:rtl w:val="0"/>
        </w:rPr>
        <w:t xml:space="preserve">Department of Pathology and Anatomical Pathology, Instituto Nacional de Ciencias Médicas y Nutrición Salvador Zubirán, Mexico City, Mexico. </w:t>
      </w:r>
      <w:r w:rsidDel="00000000" w:rsidR="00000000" w:rsidRPr="00000000">
        <w:rPr>
          <w:rFonts w:ascii="Times New Roman" w:cs="Times New Roman" w:eastAsia="Times New Roman" w:hAnsi="Times New Roman"/>
          <w:color w:val="000000"/>
          <w:sz w:val="18"/>
          <w:szCs w:val="18"/>
          <w:vertAlign w:val="superscript"/>
          <w:rtl w:val="0"/>
        </w:rPr>
        <w:t xml:space="preserve"> 3</w:t>
      </w:r>
      <w:r w:rsidDel="00000000" w:rsidR="00000000" w:rsidRPr="00000000">
        <w:rPr>
          <w:rFonts w:ascii="Times New Roman" w:cs="Times New Roman" w:eastAsia="Times New Roman" w:hAnsi="Times New Roman"/>
          <w:sz w:val="18"/>
          <w:szCs w:val="18"/>
          <w:rtl w:val="0"/>
        </w:rPr>
        <w:t xml:space="preserve"> Department of Nephrology, Instituto Nacional de Cardiología Ignacio Chávez, Mexico City, Mexico. </w:t>
      </w:r>
      <w:r w:rsidDel="00000000" w:rsidR="00000000" w:rsidRPr="00000000">
        <w:rPr>
          <w:rFonts w:ascii="Times New Roman" w:cs="Times New Roman" w:eastAsia="Times New Roman" w:hAnsi="Times New Roman"/>
          <w:color w:val="000000"/>
          <w:sz w:val="18"/>
          <w:szCs w:val="18"/>
          <w:vertAlign w:val="superscript"/>
          <w:rtl w:val="0"/>
        </w:rPr>
        <w:t xml:space="preserve">4 </w:t>
      </w:r>
      <w:r w:rsidDel="00000000" w:rsidR="00000000" w:rsidRPr="00000000">
        <w:rPr>
          <w:rFonts w:ascii="Times New Roman" w:cs="Times New Roman" w:eastAsia="Times New Roman" w:hAnsi="Times New Roman"/>
          <w:sz w:val="18"/>
          <w:szCs w:val="18"/>
          <w:rtl w:val="0"/>
        </w:rPr>
        <w:t xml:space="preserve">Centro Médico ABC, Mexico City, Mexico. </w:t>
      </w:r>
      <w:r w:rsidDel="00000000" w:rsidR="00000000" w:rsidRPr="00000000">
        <w:rPr>
          <w:rFonts w:ascii="Times New Roman" w:cs="Times New Roman" w:eastAsia="Times New Roman" w:hAnsi="Times New Roman"/>
          <w:color w:val="000000"/>
          <w:sz w:val="18"/>
          <w:szCs w:val="18"/>
          <w:vertAlign w:val="superscript"/>
          <w:rtl w:val="0"/>
        </w:rPr>
        <w:t xml:space="preserve">5 </w:t>
      </w:r>
      <w:r w:rsidDel="00000000" w:rsidR="00000000" w:rsidRPr="00000000">
        <w:rPr>
          <w:rFonts w:ascii="Times New Roman" w:cs="Times New Roman" w:eastAsia="Times New Roman" w:hAnsi="Times New Roman"/>
          <w:sz w:val="18"/>
          <w:szCs w:val="18"/>
          <w:rtl w:val="0"/>
        </w:rPr>
        <w:t xml:space="preserve">Department of Pathology, Instituto Nacional de Cardiología Ignacio Chávez, Mexico City, Mexico. </w:t>
      </w:r>
      <w:r w:rsidDel="00000000" w:rsidR="00000000" w:rsidRPr="00000000">
        <w:rPr>
          <w:rFonts w:ascii="Times New Roman" w:cs="Times New Roman" w:eastAsia="Times New Roman" w:hAnsi="Times New Roman"/>
          <w:color w:val="000000"/>
          <w:sz w:val="18"/>
          <w:szCs w:val="18"/>
          <w:vertAlign w:val="superscript"/>
          <w:rtl w:val="0"/>
        </w:rPr>
        <w:t xml:space="preserve">6 </w:t>
      </w:r>
      <w:r w:rsidDel="00000000" w:rsidR="00000000" w:rsidRPr="00000000">
        <w:rPr>
          <w:rFonts w:ascii="Times New Roman" w:cs="Times New Roman" w:eastAsia="Times New Roman" w:hAnsi="Times New Roman"/>
          <w:sz w:val="18"/>
          <w:szCs w:val="18"/>
          <w:rtl w:val="0"/>
        </w:rPr>
        <w:t xml:space="preserve">Nephrology Service, Hospital General de México Dr. Eduardo Liceaga, Mexico City, Mexico. </w:t>
      </w:r>
      <w:r w:rsidDel="00000000" w:rsidR="00000000" w:rsidRPr="00000000">
        <w:rPr>
          <w:rFonts w:ascii="Times New Roman" w:cs="Times New Roman" w:eastAsia="Times New Roman" w:hAnsi="Times New Roman"/>
          <w:color w:val="000000"/>
          <w:sz w:val="18"/>
          <w:szCs w:val="18"/>
          <w:vertAlign w:val="superscript"/>
          <w:rtl w:val="0"/>
        </w:rPr>
        <w:t xml:space="preserve">7</w:t>
      </w:r>
      <w:r w:rsidDel="00000000" w:rsidR="00000000" w:rsidRPr="00000000">
        <w:rPr>
          <w:rFonts w:ascii="Times New Roman" w:cs="Times New Roman" w:eastAsia="Times New Roman" w:hAnsi="Times New Roman"/>
          <w:sz w:val="18"/>
          <w:szCs w:val="18"/>
          <w:rtl w:val="0"/>
        </w:rPr>
        <w:t xml:space="preserve"> Nephrology Service, Hospital Juárez de México Mexico City, Mexico. </w:t>
      </w:r>
      <w:r w:rsidDel="00000000" w:rsidR="00000000" w:rsidRPr="00000000">
        <w:rPr>
          <w:rFonts w:ascii="Times New Roman" w:cs="Times New Roman" w:eastAsia="Times New Roman" w:hAnsi="Times New Roman"/>
          <w:color w:val="000000"/>
          <w:sz w:val="18"/>
          <w:szCs w:val="18"/>
          <w:vertAlign w:val="superscript"/>
          <w:rtl w:val="0"/>
        </w:rPr>
        <w:t xml:space="preserve">8 </w:t>
      </w:r>
      <w:r w:rsidDel="00000000" w:rsidR="00000000" w:rsidRPr="00000000">
        <w:rPr>
          <w:rFonts w:ascii="Times New Roman" w:cs="Times New Roman" w:eastAsia="Times New Roman" w:hAnsi="Times New Roman"/>
          <w:sz w:val="18"/>
          <w:szCs w:val="18"/>
          <w:rtl w:val="0"/>
        </w:rPr>
        <w:t xml:space="preserve">Nephrology Service, Centro Médico Nacional (CMN) 20 de Noviembre, ISSSTE, Mexico City, Mexico. </w:t>
      </w:r>
      <w:r w:rsidDel="00000000" w:rsidR="00000000" w:rsidRPr="00000000">
        <w:rPr>
          <w:rFonts w:ascii="Times New Roman" w:cs="Times New Roman" w:eastAsia="Times New Roman" w:hAnsi="Times New Roman"/>
          <w:color w:val="000000"/>
          <w:sz w:val="18"/>
          <w:szCs w:val="18"/>
          <w:vertAlign w:val="superscript"/>
          <w:rtl w:val="0"/>
        </w:rPr>
        <w:t xml:space="preserve">9 </w:t>
      </w:r>
      <w:r w:rsidDel="00000000" w:rsidR="00000000" w:rsidRPr="00000000">
        <w:rPr>
          <w:rFonts w:ascii="Times New Roman" w:cs="Times New Roman" w:eastAsia="Times New Roman" w:hAnsi="Times New Roman"/>
          <w:sz w:val="18"/>
          <w:szCs w:val="18"/>
          <w:rtl w:val="0"/>
        </w:rPr>
        <w:t xml:space="preserve">Nephrology Service, Instituto Nacional de Enfermedades Respiratorias, Mexico City, Mexico.</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IgA vasculitis nephritis is a rare disease and has a severe course and relapses in adults. There are no internationally agreed criteria for the diagnosis of IgA vasculitis in adults, but a biopsy is required to diagnose nephritis. The prognosis is mainly conditioned by kidney involvement, which is more frequent in adults, with a reported 10-30% development of advanced CKD. The poor prognosis factors are impaired kidney function at baselines, proteinuria &gt; 1 gr at onset or persistent during follow up, macroscopic hematuria and hypertension. Also, relapses are reported at 20% in adults. The evidence in IgAVN is limited, and there is no information available about the Latin-American population. </w:t>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define the clinical spectrum of IgAVN and outcomes in a Mexican patient population. </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 population</w:t>
      </w:r>
      <w:r w:rsidDel="00000000" w:rsidR="00000000" w:rsidRPr="00000000">
        <w:rPr>
          <w:rFonts w:ascii="Times New Roman" w:cs="Times New Roman" w:eastAsia="Times New Roman" w:hAnsi="Times New Roman"/>
          <w:sz w:val="24"/>
          <w:szCs w:val="24"/>
          <w:rtl w:val="0"/>
        </w:rPr>
        <w:t xml:space="preserve">: we conducted a multicenter retrospective study across </w:t>
      </w:r>
      <w:r w:rsidDel="00000000" w:rsidR="00000000" w:rsidRPr="00000000">
        <w:rPr>
          <w:rFonts w:ascii="Times New Roman" w:cs="Times New Roman" w:eastAsia="Times New Roman" w:hAnsi="Times New Roman"/>
          <w:sz w:val="24"/>
          <w:szCs w:val="24"/>
          <w:rtl w:val="0"/>
        </w:rPr>
        <w:t xml:space="preserve">seven</w:t>
      </w:r>
      <w:sdt>
        <w:sdtPr>
          <w:id w:val="-1096452548"/>
          <w:tag w:val="goog_rdk_0"/>
        </w:sdtPr>
        <w:sdtContent>
          <w:r w:rsidDel="00000000" w:rsidR="00000000" w:rsidRPr="00000000">
            <w:rPr>
              <w:rFonts w:ascii="Gungsuh" w:cs="Gungsuh" w:eastAsia="Gungsuh" w:hAnsi="Gungsuh"/>
              <w:sz w:val="24"/>
              <w:szCs w:val="24"/>
              <w:rtl w:val="0"/>
            </w:rPr>
            <w:t xml:space="preserve"> tertiary care hospitals in Mexico City. Adult patients (≥ 18 years) with IgA vasculitis with nephritis (IgAVN) were identified through the renal biopsy registries of each participant center between 2000-2025. For the purposes of this study IgAVN was defined by the presence of palpable purpura and biopsy proven IgA dominant or co-dominant immunofluorescence in the kidney, regardless of other extrarenal  manifestations (articular or gastrointestinal). Inclusion criteria were: 1) biopsy proven IgAVN in the native kidneys, 2) age 18 years or older at the time of the biopsy. </w:t>
          </w:r>
        </w:sdtContent>
      </w:sdt>
      <w:r w:rsidDel="00000000" w:rsidR="00000000" w:rsidRPr="00000000">
        <w:rPr>
          <w:rFonts w:ascii="Times New Roman" w:cs="Times New Roman" w:eastAsia="Times New Roman" w:hAnsi="Times New Roman"/>
          <w:sz w:val="24"/>
          <w:szCs w:val="24"/>
          <w:rtl w:val="0"/>
        </w:rPr>
        <w:t xml:space="preserve">Patients with incomplete clinical or laboratory records were excluded</w:t>
      </w:r>
      <w:r w:rsidDel="00000000" w:rsidR="00000000" w:rsidRPr="00000000">
        <w:rPr>
          <w:rFonts w:ascii="Times New Roman" w:cs="Times New Roman" w:eastAsia="Times New Roman" w:hAnsi="Times New Roman"/>
          <w:sz w:val="24"/>
          <w:szCs w:val="24"/>
          <w:rtl w:val="0"/>
        </w:rPr>
        <w:t xml:space="preserve">. The study protocol was approved by the Institutional Review Board  or Ethics Committee of each hospital and was conducted in accordance with the principles of the Declaration of Helsinki. </w:t>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w:t>
      </w:r>
      <w:r w:rsidDel="00000000" w:rsidR="00000000" w:rsidRPr="00000000">
        <w:rPr>
          <w:rFonts w:ascii="Times New Roman" w:cs="Times New Roman" w:eastAsia="Times New Roman" w:hAnsi="Times New Roman"/>
          <w:sz w:val="24"/>
          <w:szCs w:val="24"/>
          <w:rtl w:val="0"/>
        </w:rPr>
        <w:t xml:space="preserve">clinical and laboratory characteristics were recorded at baseline (time of the biopsy) using a standardized electronic case report form. Laboratory assessments included serum creatinine (SCr), 24-hrs urinary protein excretion, urinalysis to evaluate hematuria. The estimated glomerular filtration rate (eGFR) was calculated using the CKD-EPI 2021 equation. Histologic data included glomerular sclerosis, interstitial fibrosis, tubular atrophy, interstitial inflammatory infiltrate, presence of crescents, immunofluorescence and the Oxford Classification (MEST-C score). Biopsies were reviewed by specialized renal pathologists at each center. </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Renal Outcomes: </w:t>
      </w:r>
      <w:sdt>
        <w:sdtPr>
          <w:id w:val="-534049323"/>
          <w:tag w:val="goog_rdk_1"/>
        </w:sdtPr>
        <w:sdtContent>
          <w:r w:rsidDel="00000000" w:rsidR="00000000" w:rsidRPr="00000000">
            <w:rPr>
              <w:rFonts w:ascii="Gungsuh" w:cs="Gungsuh" w:eastAsia="Gungsuh" w:hAnsi="Gungsuh"/>
              <w:sz w:val="24"/>
              <w:szCs w:val="24"/>
              <w:rtl w:val="0"/>
            </w:rPr>
            <w:t xml:space="preserve">the evaluated outcomes of kidney disease progression was the following: 1) a ≥ 30% decline in eGFR; 2) a doubling of serum creatinine; 3) progression to kidney failure; or 4) all-cause mortality.</w:t>
          </w:r>
        </w:sdtContent>
      </w:sdt>
    </w:p>
    <w:p w:rsidR="00000000" w:rsidDel="00000000" w:rsidP="00000000" w:rsidRDefault="00000000" w:rsidRPr="00000000" w14:paraId="00000017">
      <w:pPr>
        <w:jc w:val="both"/>
        <w:rPr>
          <w:rFonts w:ascii="Times New Roman" w:cs="Times New Roman" w:eastAsia="Times New Roman" w:hAnsi="Times New Roman"/>
          <w:sz w:val="24"/>
          <w:szCs w:val="24"/>
        </w:rPr>
      </w:pPr>
      <w:sdt>
        <w:sdtPr>
          <w:id w:val="821191852"/>
          <w:tag w:val="goog_rdk_2"/>
        </w:sdtPr>
        <w:sdtContent>
          <w:r w:rsidDel="00000000" w:rsidR="00000000" w:rsidRPr="00000000">
            <w:rPr>
              <w:rFonts w:ascii="Gungsuh" w:cs="Gungsuh" w:eastAsia="Gungsuh" w:hAnsi="Gungsuh"/>
              <w:sz w:val="24"/>
              <w:szCs w:val="24"/>
              <w:rtl w:val="0"/>
            </w:rPr>
            <w:t xml:space="preserve">Specifically, the ≥ 30% eGFR decline and the doubling of serum creatinine were calculated relative to the baseline value (at the time of biopsy) or the best recorded value (nadir for creatinine/peak for eGFR) achieved within the first six months following the initiation of treatment. Kidney failure was defined as an eGFR ≤ 15 mL/min/1.73 m</w:t>
          </w:r>
        </w:sdtContent>
      </w:sdt>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or the requirement for chronic kidney replacement therapy.</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evaluated IgAVN relapse</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in patients who had previously achieved clinical remission (total or partial). A renal relapse was defined as a new increase in proteinuria (doubling of previous values), new-onset hematuria, or a decline in kidney function that necessitated either a new course of immunosuppressive therapy or a dosage increase of existing treatment</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Clustering: </w:t>
      </w:r>
      <w:r w:rsidDel="00000000" w:rsidR="00000000" w:rsidRPr="00000000">
        <w:rPr>
          <w:rFonts w:ascii="Times New Roman" w:cs="Times New Roman" w:eastAsia="Times New Roman" w:hAnsi="Times New Roman"/>
          <w:sz w:val="24"/>
          <w:szCs w:val="24"/>
          <w:rtl w:val="0"/>
        </w:rPr>
        <w:t xml:space="preserve">unsupervised hierarchical cluster analysis was performed to identify distinct phenotypic subgroups. We included five variables collected at the time of the biopsy for the cluster analysis, selected for their relevance to chronic kidney damage and inflammation: eGFR, interstitial fibrosis, protein-to-creatinine ratio, inflammatory infiltrate and Oxford C (crescent).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analysis, continuous and ordinal variables were standardized to z-score to ensure equal contribution. The dissimilarity matrix was calculated using Euclidean distance. For the clustering algorithm, Ward's minimum variance method was employed. The optimal number of clusters was determined by visual inspection of the dendrogram and heat map, resulting in the selection of four groups. </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analysis</w:t>
      </w:r>
      <w:r w:rsidDel="00000000" w:rsidR="00000000" w:rsidRPr="00000000">
        <w:rPr>
          <w:rFonts w:ascii="Times New Roman" w:cs="Times New Roman" w:eastAsia="Times New Roman" w:hAnsi="Times New Roman"/>
          <w:sz w:val="24"/>
          <w:szCs w:val="24"/>
          <w:rtl w:val="0"/>
        </w:rPr>
        <w:t xml:space="preserve">: was performed using R software (</w:t>
      </w:r>
      <w:r w:rsidDel="00000000" w:rsidR="00000000" w:rsidRPr="00000000">
        <w:rPr>
          <w:rFonts w:ascii="Times New Roman" w:cs="Times New Roman" w:eastAsia="Times New Roman" w:hAnsi="Times New Roman"/>
          <w:sz w:val="24"/>
          <w:szCs w:val="24"/>
          <w:highlight w:val="yellow"/>
          <w:rtl w:val="0"/>
        </w:rPr>
        <w:t xml:space="preserve">version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variables were expressed as mean ± SD or median (IQR) and compared using the Student's t test or Mann-Whitney U test, as appropriate. Categorical variables were presented as frequencies (%) and analysed using the χ</w:t>
      </w:r>
      <w:r w:rsidDel="00000000" w:rsidR="00000000" w:rsidRPr="00000000">
        <w:rPr>
          <w:rFonts w:ascii="Times New Roman" w:cs="Times New Roman" w:eastAsia="Times New Roman" w:hAnsi="Times New Roman"/>
          <w:sz w:val="24"/>
          <w:szCs w:val="24"/>
          <w:vertAlign w:val="superscript"/>
          <w:rtl w:val="0"/>
        </w:rPr>
        <w:t xml:space="preserve">2</w:t>
      </w:r>
      <w:sdt>
        <w:sdtPr>
          <w:id w:val="-216020974"/>
          <w:tag w:val="goog_rdk_3"/>
        </w:sdtPr>
        <w:sdtContent>
          <w:r w:rsidDel="00000000" w:rsidR="00000000" w:rsidRPr="00000000">
            <w:rPr>
              <w:rFonts w:ascii="Gungsuh" w:cs="Gungsuh" w:eastAsia="Gungsuh" w:hAnsi="Gungsuh"/>
              <w:sz w:val="24"/>
              <w:szCs w:val="24"/>
              <w:rtl w:val="0"/>
            </w:rPr>
            <w:t xml:space="preserve"> test or Fisher's extract test. P-values ≤0.05 were considered statistically significant. </w:t>
          </w:r>
        </w:sdtContent>
      </w:sdt>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 and laboratory characteristics of the patients.</w:t>
      </w:r>
      <w:r w:rsidDel="00000000" w:rsidR="00000000" w:rsidRPr="00000000">
        <w:rPr>
          <w:rFonts w:ascii="Times New Roman" w:cs="Times New Roman" w:eastAsia="Times New Roman" w:hAnsi="Times New Roman"/>
          <w:sz w:val="24"/>
          <w:szCs w:val="24"/>
          <w:rtl w:val="0"/>
        </w:rPr>
        <w:t xml:space="preserve"> Of the 50 patients assessed with IgAVN  47 patients were included. Three patients were excluded because of incomplete data or kidney transplantation status. The main baselines characteristics of the 55 patients are shown in table 1. The mean age of the patients with IgAVN at diagnosis was 36 years and 47% of patients were male. Clinical manifestations included </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D7217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D7217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D7217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D7217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semiHidden w:val="1"/>
    <w:rsid w:val="00D7217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D72172"/>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D72172"/>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D72172"/>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D7217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D7217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D7217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D72172"/>
    <w:rPr>
      <w:rFonts w:cstheme="majorBidi" w:eastAsiaTheme="majorEastAsia"/>
      <w:color w:val="272727" w:themeColor="text1" w:themeTint="0000D8"/>
    </w:rPr>
  </w:style>
  <w:style w:type="character" w:styleId="TtuloCar" w:customStyle="1">
    <w:name w:val="Título Car"/>
    <w:basedOn w:val="Fuentedeprrafopredeter"/>
    <w:uiPriority w:val="10"/>
    <w:rsid w:val="00D7217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D7217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D7217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D72172"/>
    <w:rPr>
      <w:i w:val="1"/>
      <w:iCs w:val="1"/>
      <w:color w:val="404040" w:themeColor="text1" w:themeTint="0000BF"/>
    </w:rPr>
  </w:style>
  <w:style w:type="paragraph" w:styleId="Prrafodelista">
    <w:name w:val="List Paragraph"/>
    <w:basedOn w:val="Normal"/>
    <w:uiPriority w:val="34"/>
    <w:qFormat w:val="1"/>
    <w:rsid w:val="00D72172"/>
    <w:pPr>
      <w:ind w:left="720"/>
      <w:contextualSpacing w:val="1"/>
    </w:pPr>
  </w:style>
  <w:style w:type="character" w:styleId="nfasisintenso">
    <w:name w:val="Intense Emphasis"/>
    <w:basedOn w:val="Fuentedeprrafopredeter"/>
    <w:uiPriority w:val="21"/>
    <w:qFormat w:val="1"/>
    <w:rsid w:val="00D72172"/>
    <w:rPr>
      <w:i w:val="1"/>
      <w:iCs w:val="1"/>
      <w:color w:val="0f4761" w:themeColor="accent1" w:themeShade="0000BF"/>
    </w:rPr>
  </w:style>
  <w:style w:type="paragraph" w:styleId="Citadestacada">
    <w:name w:val="Intense Quote"/>
    <w:basedOn w:val="Normal"/>
    <w:next w:val="Normal"/>
    <w:link w:val="CitadestacadaCar"/>
    <w:uiPriority w:val="30"/>
    <w:qFormat w:val="1"/>
    <w:rsid w:val="00D7217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D72172"/>
    <w:rPr>
      <w:i w:val="1"/>
      <w:iCs w:val="1"/>
      <w:color w:val="0f4761" w:themeColor="accent1" w:themeShade="0000BF"/>
    </w:rPr>
  </w:style>
  <w:style w:type="character" w:styleId="Referenciaintensa">
    <w:name w:val="Intense Reference"/>
    <w:basedOn w:val="Fuentedeprrafopredeter"/>
    <w:uiPriority w:val="32"/>
    <w:qFormat w:val="1"/>
    <w:rsid w:val="00D7217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4cFsIdxNj89hOBKEzE8TctKZHw==">CgMxLjAaJQoBMBIgCh4IB0IaCg9UaW1lcyBOZXcgUm9tYW4SB0d1bmdzdWgaJQoBMRIgCh4IB0IaCg9UaW1lcyBOZXcgUm9tYW4SB0d1bmdzdWgaJQoBMhIgCh4IB0IaCg9UaW1lcyBOZXcgUm9tYW4SB0d1bmdzdWgaJQoBMxIgCh4IB0IaCg9UaW1lcyBOZXcgUm9tYW4SB0d1bmdzdWg4AHIhMVFfc1lFaThsWndPdVcySTZOdEt4LW5zYUZkY1E5bWxl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2026-01-02T15:32:00Z</dcterms:created>
  <dc:creator>Héctor Benjamín García González</dc:creator>
</cp:coreProperties>
</file>