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5E3F" w14:textId="77777777" w:rsidR="001C736C" w:rsidRDefault="001C736C">
      <w:pPr>
        <w:pStyle w:val="Ttulo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ACTA DE ENTREGA DE SOFTWARE</w:t>
      </w:r>
    </w:p>
    <w:p w14:paraId="771480D5" w14:textId="77777777" w:rsidR="001C736C" w:rsidRDefault="001C736C">
      <w:pPr>
        <w:pStyle w:val="Ttulo2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  <w:color w:val="1A1A1A"/>
        </w:rPr>
        <w:t>Proyecto: Elevate — Plataforma de gestión gastronómica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6531"/>
      </w:tblGrid>
      <w:tr w:rsidR="00000000" w14:paraId="080CFAB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8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89F656F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8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6034F7B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Detalle</w:t>
            </w:r>
          </w:p>
        </w:tc>
      </w:tr>
      <w:tr w:rsidR="00000000" w14:paraId="1619632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4FA76C5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color w:val="1A1A1A"/>
                <w:sz w:val="19"/>
                <w:szCs w:val="19"/>
              </w:rPr>
              <w:t>Proyecto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7AB6A4A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Elevate — Tienda web + Punto de venta (POS) + ERP financiero</w:t>
            </w:r>
          </w:p>
        </w:tc>
      </w:tr>
      <w:tr w:rsidR="00000000" w14:paraId="32C6D70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6FD0FC7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color w:val="1A1A1A"/>
                <w:sz w:val="19"/>
                <w:szCs w:val="19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5532BDF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______________________________________</w:t>
            </w:r>
          </w:p>
        </w:tc>
      </w:tr>
      <w:tr w:rsidR="00000000" w14:paraId="06C66C3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13469FC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color w:val="1A1A1A"/>
                <w:sz w:val="19"/>
                <w:szCs w:val="19"/>
              </w:rPr>
              <w:t>Equipo de desarrollo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2D2A9BD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______________________________________</w:t>
            </w:r>
          </w:p>
        </w:tc>
      </w:tr>
      <w:tr w:rsidR="00000000" w14:paraId="1BC60E2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5312D94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color w:val="1A1A1A"/>
                <w:sz w:val="19"/>
                <w:szCs w:val="19"/>
              </w:rPr>
              <w:t>Fecha de entrega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AAE4CD3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____ / ____ / 2026</w:t>
            </w:r>
          </w:p>
        </w:tc>
      </w:tr>
      <w:tr w:rsidR="00000000" w14:paraId="549170D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818A271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color w:val="1A1A1A"/>
                <w:sz w:val="19"/>
                <w:szCs w:val="19"/>
              </w:rPr>
              <w:t>Versión entregada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41C811A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1.0 (rama </w:t>
            </w:r>
            <w:r>
              <w:rPr>
                <w:rStyle w:val="CdigoHTML"/>
              </w:rPr>
              <w:t>main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del repositorio)</w:t>
            </w:r>
          </w:p>
        </w:tc>
      </w:tr>
      <w:tr w:rsidR="00000000" w14:paraId="02639B6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AA23933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color w:val="1A1A1A"/>
                <w:sz w:val="19"/>
                <w:szCs w:val="19"/>
              </w:rPr>
              <w:t>Repositorio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C793E9A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CdigoHTML"/>
              </w:rPr>
              <w:t>github.com/benjaminheredia1/elevateNext</w:t>
            </w:r>
          </w:p>
        </w:tc>
      </w:tr>
    </w:tbl>
    <w:p w14:paraId="424E5347" w14:textId="77777777" w:rsidR="001C736C" w:rsidRDefault="001C736C">
      <w:pPr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5B29E06B">
          <v:rect id="_x0000_i1025" style="width:0;height:1.5pt" o:hralign="center" o:hrstd="t" o:hr="t" fillcolor="#a0a0a0" stroked="f"/>
        </w:pict>
      </w:r>
    </w:p>
    <w:p w14:paraId="51DDAADA" w14:textId="77777777" w:rsidR="001C736C" w:rsidRDefault="001C736C">
      <w:pPr>
        <w:pStyle w:val="Ttulo2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  <w:color w:val="1A1A1A"/>
        </w:rPr>
        <w:t>1. Objeto del acta</w:t>
      </w:r>
    </w:p>
    <w:p w14:paraId="3FF058CB" w14:textId="77777777" w:rsidR="001C736C" w:rsidRDefault="001C736C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Este documento formaliza la entrega del sistema </w:t>
      </w:r>
      <w:r>
        <w:rPr>
          <w:rStyle w:val="Fuerte"/>
          <w:rFonts w:ascii="Segoe UI" w:hAnsi="Segoe UI" w:cs="Segoe UI"/>
          <w:color w:val="1A1A1A"/>
          <w:sz w:val="22"/>
          <w:szCs w:val="22"/>
        </w:rPr>
        <w:t>Elevate</w:t>
      </w:r>
      <w:r>
        <w:rPr>
          <w:rFonts w:ascii="Segoe UI" w:hAnsi="Segoe UI" w:cs="Segoe UI"/>
          <w:color w:val="1A1A1A"/>
          <w:sz w:val="22"/>
          <w:szCs w:val="22"/>
        </w:rPr>
        <w:t xml:space="preserve"> al cliente. Describe el alcance funcional entregado, el inventario técnico, las instrucciones de despliegue, operación y mantenimiento, los pendientes conocidos y las condiciones de aceptación.</w:t>
      </w:r>
    </w:p>
    <w:p w14:paraId="028B374C" w14:textId="77777777" w:rsidR="001C736C" w:rsidRDefault="001C736C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Los anexos técnicos que acompañan esta acta son:</w:t>
      </w:r>
    </w:p>
    <w:p w14:paraId="31D50007" w14:textId="77777777" w:rsidR="001C736C" w:rsidRDefault="001C736C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Anexo A — Guía de Usuario Final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</w:t>
      </w:r>
      <w:r>
        <w:rPr>
          <w:rStyle w:val="CdigoHTML"/>
        </w:rPr>
        <w:t>docs/GUIA_USUARIO_FINAL.pdf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): manual de uso de todos los módulos, por rol.</w:t>
      </w:r>
    </w:p>
    <w:p w14:paraId="536EE6D5" w14:textId="77777777" w:rsidR="001C736C" w:rsidRDefault="001C736C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Anexo B — Documentación de Arquitectura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</w:t>
      </w:r>
      <w:r>
        <w:rPr>
          <w:rStyle w:val="CdigoHTML"/>
        </w:rPr>
        <w:t>docs/ARQUITECTURA_ELEVATE.pdf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): arquitectura técnica, estructura del código, seguridad y riesgos.</w:t>
      </w:r>
    </w:p>
    <w:p w14:paraId="609A6580" w14:textId="77777777" w:rsidR="001C736C" w:rsidRDefault="001C736C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Anexo C — Documentos de diseño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</w:t>
      </w:r>
      <w:r>
        <w:rPr>
          <w:rStyle w:val="CdigoHTML"/>
        </w:rPr>
        <w:t>docs/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): plan maestro, roadmap ejecutado y especificaciones por módulo.</w:t>
      </w:r>
    </w:p>
    <w:p w14:paraId="1E34BD76" w14:textId="77777777" w:rsidR="001C736C" w:rsidRDefault="001C736C">
      <w:pPr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70933EE3">
          <v:rect id="_x0000_i1026" style="width:0;height:1.5pt" o:hralign="center" o:hrstd="t" o:hr="t" fillcolor="#a0a0a0" stroked="f"/>
        </w:pict>
      </w:r>
    </w:p>
    <w:p w14:paraId="6855292A" w14:textId="77777777" w:rsidR="001C736C" w:rsidRDefault="001C736C">
      <w:pPr>
        <w:pStyle w:val="Ttulo2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  <w:color w:val="1A1A1A"/>
        </w:rPr>
        <w:t>2. Alcance funcional entregado</w:t>
      </w:r>
    </w:p>
    <w:p w14:paraId="26190D2C" w14:textId="77777777" w:rsidR="001C736C" w:rsidRDefault="001C736C">
      <w:pPr>
        <w:pStyle w:val="Ttulo3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  <w:color w:val="1A1A1A"/>
        </w:rPr>
        <w:t>2.1 Tienda web (cliente final)</w:t>
      </w:r>
    </w:p>
    <w:p w14:paraId="2A1B0D74" w14:textId="77777777" w:rsidR="001C736C" w:rsidRDefault="001C736C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Catálogo público multi-marca (</w:t>
      </w:r>
      <w:r>
        <w:rPr>
          <w:rStyle w:val="CdigoHTML"/>
        </w:rPr>
        <w:t>/menu/[marca]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 con imágenes, categorías y disponibilidad en tiempo real.</w:t>
      </w:r>
    </w:p>
    <w:p w14:paraId="6ADFE505" w14:textId="77777777" w:rsidR="001C736C" w:rsidRDefault="001C736C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Promociones y descuentos por </w:t>
      </w: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reglas horarias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aplicados automáticamente al precio mostrado.</w:t>
      </w:r>
    </w:p>
    <w:p w14:paraId="2A61CE67" w14:textId="77777777" w:rsidR="001C736C" w:rsidRDefault="001C736C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Flujo completo de pedido: armado del carrito, datos de contacto y entrega (delivery con coordenadas en mapa, o recojo en local).</w:t>
      </w:r>
    </w:p>
    <w:p w14:paraId="05381A51" w14:textId="77777777" w:rsidR="001C736C" w:rsidRDefault="001C736C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Seguimiento del estado del pedido.</w:t>
      </w:r>
    </w:p>
    <w:p w14:paraId="5456412F" w14:textId="77777777" w:rsidR="001C736C" w:rsidRDefault="001C736C">
      <w:pPr>
        <w:pStyle w:val="Ttulo3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  <w:color w:val="1A1A1A"/>
        </w:rPr>
        <w:t>2.2 Punto de venta / Caja (rol Cajero)</w:t>
      </w:r>
    </w:p>
    <w:p w14:paraId="0C0F84EA" w14:textId="77777777" w:rsidR="001C736C" w:rsidRDefault="001C736C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Turnos de caja</w:t>
      </w:r>
      <w:r>
        <w:rPr>
          <w:rFonts w:ascii="Segoe UI" w:eastAsia="Times New Roman" w:hAnsi="Segoe UI" w:cs="Segoe UI"/>
          <w:color w:val="1A1A1A"/>
          <w:sz w:val="22"/>
          <w:szCs w:val="22"/>
        </w:rPr>
        <w:t>: apertura con monto inicial, cierre con arqueo (esperado vs. real por método de pago) y registro de diferencias.</w:t>
      </w:r>
    </w:p>
    <w:p w14:paraId="4A6ABA82" w14:textId="77777777" w:rsidR="001C736C" w:rsidRDefault="001C736C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Venta de mostrador (POS)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con total calculado en el servidor; métodos de pago efectivo, QR, tarjeta y </w:t>
      </w: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pago mixto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(efectivo + QR).</w:t>
      </w:r>
    </w:p>
    <w:p w14:paraId="7B81DB39" w14:textId="77777777" w:rsidR="001C736C" w:rsidRDefault="001C736C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Numeración correlativa de pedidos por turno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</w:t>
      </w:r>
      <w:r>
        <w:rPr>
          <w:rStyle w:val="CdigoHTML"/>
        </w:rPr>
        <w:t>#1..#n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), garantizada por índice único en base de datos.</w:t>
      </w:r>
    </w:p>
    <w:p w14:paraId="3FC41D48" w14:textId="77777777" w:rsidR="001C736C" w:rsidRDefault="001C736C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Fiado (venta a crédito)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: cuentas por cobrar ligadas a cliente registrado, con </w:t>
      </w:r>
      <w:r>
        <w:rPr>
          <w:rFonts w:ascii="Segoe UI" w:eastAsia="Times New Roman" w:hAnsi="Segoe UI" w:cs="Segoe UI"/>
          <w:color w:val="1A1A1A"/>
          <w:sz w:val="22"/>
          <w:szCs w:val="22"/>
        </w:rPr>
        <w:t>cobro total, parcial o selectivo, historial inmutable de pagos y sincronización automática del estado de pago de la venta.</w:t>
      </w:r>
    </w:p>
    <w:p w14:paraId="61A42B7F" w14:textId="77777777" w:rsidR="001C736C" w:rsidRDefault="001C736C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Privilegios</w:t>
      </w:r>
      <w:r>
        <w:rPr>
          <w:rFonts w:ascii="Segoe UI" w:eastAsia="Times New Roman" w:hAnsi="Segoe UI" w:cs="Segoe UI"/>
          <w:color w:val="1A1A1A"/>
          <w:sz w:val="22"/>
          <w:szCs w:val="22"/>
        </w:rPr>
        <w:t>: descuentos porcentuales elegidos por el cajero por venta, o aplicables posteriormente sobre una deuda.</w:t>
      </w:r>
    </w:p>
    <w:p w14:paraId="722586E4" w14:textId="77777777" w:rsidR="001C736C" w:rsidRDefault="001C736C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Cortesías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(entrega sin cobro, con descuento de stock).</w:t>
      </w:r>
    </w:p>
    <w:p w14:paraId="24B4DE47" w14:textId="77777777" w:rsidR="001C736C" w:rsidRDefault="001C736C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Gestión de pedidos web: preparación, entrega en mostrador y despacho con repartidor (conciliación de efectivo de delivery por turno).</w:t>
      </w:r>
    </w:p>
    <w:p w14:paraId="49C0109A" w14:textId="77777777" w:rsidR="001C736C" w:rsidRDefault="001C736C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Registro de gastos e ingresos extra del turno; libro de movimientos; historial de </w:t>
      </w:r>
      <w:r>
        <w:rPr>
          <w:rFonts w:ascii="Segoe UI" w:eastAsia="Times New Roman" w:hAnsi="Segoe UI" w:cs="Segoe UI"/>
          <w:color w:val="1A1A1A"/>
          <w:sz w:val="22"/>
          <w:szCs w:val="22"/>
        </w:rPr>
        <w:t>turnos cerrados con detalle.</w:t>
      </w:r>
    </w:p>
    <w:p w14:paraId="6849B05F" w14:textId="77777777" w:rsidR="001C736C" w:rsidRDefault="001C736C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Alta y búsqueda de clientes desde caja.</w:t>
      </w:r>
    </w:p>
    <w:p w14:paraId="6E0010D7" w14:textId="77777777" w:rsidR="001C736C" w:rsidRDefault="001C736C">
      <w:pPr>
        <w:pStyle w:val="Ttulo3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  <w:color w:val="1A1A1A"/>
        </w:rPr>
        <w:t>2.3 Panel de administración / ERP (roles Dueño y Admin)</w:t>
      </w:r>
    </w:p>
    <w:p w14:paraId="1392EA44" w14:textId="77777777" w:rsidR="001C736C" w:rsidRDefault="001C736C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Dashboard ejecutivo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con KPIs, gráfico de pedidos por hora y pedidos recientes; notificaciones en vivo (nuevos pedidos y alertas de inventario).</w:t>
      </w:r>
    </w:p>
    <w:p w14:paraId="0631E462" w14:textId="77777777" w:rsidR="001C736C" w:rsidRDefault="001C736C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Catálogo</w:t>
      </w:r>
      <w:r>
        <w:rPr>
          <w:rFonts w:ascii="Segoe UI" w:eastAsia="Times New Roman" w:hAnsi="Segoe UI" w:cs="Segoe UI"/>
          <w:color w:val="1A1A1A"/>
          <w:sz w:val="22"/>
          <w:szCs w:val="22"/>
        </w:rPr>
        <w:t>: productos (con ciclo de vida: publicado, en revisión, baja lógica), categorías, recetas (ficha técnica por producto) y marcas.</w:t>
      </w:r>
    </w:p>
    <w:p w14:paraId="4313477D" w14:textId="77777777" w:rsidR="001C736C" w:rsidRDefault="001C736C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Inventario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: insumos simples y mixtos (sub-preparaciones), unidades de medida </w:t>
      </w:r>
      <w:r>
        <w:rPr>
          <w:rFonts w:ascii="Segoe UI" w:eastAsia="Times New Roman" w:hAnsi="Segoe UI" w:cs="Segoe UI"/>
          <w:color w:val="1A1A1A"/>
          <w:sz w:val="22"/>
          <w:szCs w:val="22"/>
        </w:rPr>
        <w:t>con equivalencias, stock mínimo con alertas, costo promedio ponderado y movimientos (compras, mermas, conteos, producción).</w:t>
      </w:r>
    </w:p>
    <w:p w14:paraId="55AA4F9D" w14:textId="77777777" w:rsidR="001C736C" w:rsidRDefault="001C736C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Descuento automático de stock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por receta al preparar/entregar pedidos y en ventas de mostrador (idempotente: nunca descuenta dos veces).</w:t>
      </w:r>
    </w:p>
    <w:p w14:paraId="01BD25A3" w14:textId="77777777" w:rsidR="001C736C" w:rsidRDefault="001C736C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Finanzas</w:t>
      </w:r>
      <w:r>
        <w:rPr>
          <w:rFonts w:ascii="Segoe UI" w:eastAsia="Times New Roman" w:hAnsi="Segoe UI" w:cs="Segoe UI"/>
          <w:color w:val="1A1A1A"/>
          <w:sz w:val="22"/>
          <w:szCs w:val="22"/>
        </w:rPr>
        <w:t>: contabilidad (Estado de Resultados y Balance), flujo de caja por método y categoría, gastos fijos y operativos, ingresos extra, caja consolidada de todos los turnos.</w:t>
      </w:r>
    </w:p>
    <w:p w14:paraId="50598B65" w14:textId="77777777" w:rsidR="001C736C" w:rsidRDefault="001C736C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Administración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: activos fijos con depreciación, cuentas por cobrar y por </w:t>
      </w:r>
      <w:r>
        <w:rPr>
          <w:rFonts w:ascii="Segoe UI" w:eastAsia="Times New Roman" w:hAnsi="Segoe UI" w:cs="Segoe UI"/>
          <w:color w:val="1A1A1A"/>
          <w:sz w:val="22"/>
          <w:szCs w:val="22"/>
        </w:rPr>
        <w:t>pagar, clientes (con deduplicación/fusión), privilegios, usuarios con roles, horarios de trabajadores.</w:t>
      </w:r>
    </w:p>
    <w:p w14:paraId="16458FD7" w14:textId="77777777" w:rsidR="001C736C" w:rsidRDefault="001C736C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Auditoría</w:t>
      </w:r>
      <w:r>
        <w:rPr>
          <w:rFonts w:ascii="Segoe UI" w:eastAsia="Times New Roman" w:hAnsi="Segoe UI" w:cs="Segoe UI"/>
          <w:color w:val="1A1A1A"/>
          <w:sz w:val="22"/>
          <w:szCs w:val="22"/>
        </w:rPr>
        <w:t>: bitácora inmutable (solo-agregar) de toda acción sensible, con usuario, rol, fecha, monto, IP y navegador.</w:t>
      </w:r>
    </w:p>
    <w:p w14:paraId="05ABF60A" w14:textId="77777777" w:rsidR="001C736C" w:rsidRDefault="001C736C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Rastreo de repartidores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en mapa (Leaflet) en tiempo real, mediante enlace por token sin necesidad de cuenta para el repartidor.</w:t>
      </w:r>
    </w:p>
    <w:p w14:paraId="310A8353" w14:textId="77777777" w:rsidR="001C736C" w:rsidRDefault="001C736C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Analítica</w:t>
      </w:r>
      <w:r>
        <w:rPr>
          <w:rFonts w:ascii="Segoe UI" w:eastAsia="Times New Roman" w:hAnsi="Segoe UI" w:cs="Segoe UI"/>
          <w:color w:val="1A1A1A"/>
          <w:sz w:val="22"/>
          <w:szCs w:val="22"/>
        </w:rPr>
        <w:t>: food cost e ingeniería de menú.</w:t>
      </w:r>
    </w:p>
    <w:p w14:paraId="7B5CC8A3" w14:textId="77777777" w:rsidR="001C736C" w:rsidRDefault="001C736C">
      <w:pPr>
        <w:pStyle w:val="Ttulo3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  <w:color w:val="1A1A1A"/>
        </w:rPr>
        <w:t>2.4 Transversal</w:t>
      </w:r>
    </w:p>
    <w:p w14:paraId="318A0BFA" w14:textId="77777777" w:rsidR="001C736C" w:rsidRDefault="001C736C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Autenticación con JWT y contraseñas cifradas (bcrypt); control de acceso por rol 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(DUEÑO, ADMIN, CAJERO, CLIENTE) verificado </w:t>
      </w: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en el servidor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en cada endpoint.</w:t>
      </w:r>
    </w:p>
    <w:p w14:paraId="17FA4BEA" w14:textId="77777777" w:rsidR="001C736C" w:rsidRDefault="001C736C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Validación de toda entrada con esquemas Zod; límite de frecuencia de peticiones en operaciones sensibles.</w:t>
      </w:r>
    </w:p>
    <w:p w14:paraId="783F1E88" w14:textId="77777777" w:rsidR="001C736C" w:rsidRDefault="001C736C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Precios y totales recalculados siempre en el servidor.</w:t>
      </w:r>
    </w:p>
    <w:p w14:paraId="28832F09" w14:textId="77777777" w:rsidR="001C736C" w:rsidRDefault="001C736C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Aplicación de escritorio para Windows (Electron) como envoltorio del POS.</w:t>
      </w:r>
    </w:p>
    <w:p w14:paraId="4BB027D6" w14:textId="77777777" w:rsidR="001C736C" w:rsidRDefault="001C736C">
      <w:pPr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5BE07862">
          <v:rect id="_x0000_i1027" style="width:0;height:1.5pt" o:hralign="center" o:hrstd="t" o:hr="t" fillcolor="#a0a0a0" stroked="f"/>
        </w:pict>
      </w:r>
    </w:p>
    <w:p w14:paraId="3FF52617" w14:textId="77777777" w:rsidR="001C736C" w:rsidRDefault="001C736C">
      <w:pPr>
        <w:pStyle w:val="Ttulo2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  <w:color w:val="1A1A1A"/>
        </w:rPr>
        <w:t>3. Inventario técnico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6510"/>
      </w:tblGrid>
      <w:tr w:rsidR="00000000" w14:paraId="531EEE7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8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AC32908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8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C09E83A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Detalle</w:t>
            </w:r>
          </w:p>
        </w:tc>
      </w:tr>
      <w:tr w:rsidR="00000000" w14:paraId="789216A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4AFD6CC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8D04273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Next.js 16 (App Router) + React 19 + TypeScript</w:t>
            </w:r>
          </w:p>
        </w:tc>
      </w:tr>
      <w:tr w:rsidR="00000000" w14:paraId="4A7A6CB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77C25EB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0C757A7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PostgreSQL (37 tablas), ORM Prisma 7</w:t>
            </w:r>
          </w:p>
        </w:tc>
      </w:tr>
      <w:tr w:rsidR="00000000" w14:paraId="557B7D3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5AAB560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Estilos / UI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0FD037D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Tailwind CSS v4, PrimeReact, Framer Motion</w:t>
            </w:r>
          </w:p>
        </w:tc>
      </w:tr>
      <w:tr w:rsidR="00000000" w14:paraId="01B4D99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D7EB623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Mapas / Gráficos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11E47CB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Leaflet / Recharts</w:t>
            </w:r>
          </w:p>
        </w:tc>
      </w:tr>
      <w:tr w:rsidR="00000000" w14:paraId="1438EED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20C3B18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Almacenamiento de imágenes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A43C065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Vercel Blob</w:t>
            </w:r>
          </w:p>
        </w:tc>
      </w:tr>
      <w:tr w:rsidR="00000000" w14:paraId="5EC1294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72FB859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Backend HTTP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CC00D0B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93 endpoints REST (</w:t>
            </w:r>
            <w:r>
              <w:rPr>
                <w:rStyle w:val="CdigoHTML"/>
              </w:rPr>
              <w:t>app/api/**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)</w:t>
            </w:r>
          </w:p>
        </w:tc>
      </w:tr>
      <w:tr w:rsidR="00000000" w14:paraId="56BB5D9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3585651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Pantallas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EF421A3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25 de administración, 13 de caja, tienda pública multi-marca</w:t>
            </w:r>
          </w:p>
        </w:tc>
      </w:tr>
      <w:tr w:rsidR="00000000" w14:paraId="7931552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D02D2A8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0585E96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Vitest (unitarios, integración de endpoints y E2E de flujo) contra base de datos local desechable</w:t>
            </w:r>
          </w:p>
        </w:tc>
      </w:tr>
      <w:tr w:rsidR="00000000" w14:paraId="47F0628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49D20B2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Escritorio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AFC30FE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Electron (</w:t>
            </w:r>
            <w:r>
              <w:rPr>
                <w:rStyle w:val="CdigoHTML"/>
              </w:rPr>
              <w:t>npm run electron:build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, Windows)</w:t>
            </w:r>
          </w:p>
        </w:tc>
      </w:tr>
    </w:tbl>
    <w:p w14:paraId="6BFFCDB8" w14:textId="77777777" w:rsidR="001C736C" w:rsidRDefault="001C736C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Fuerte"/>
          <w:rFonts w:ascii="Segoe UI" w:hAnsi="Segoe UI" w:cs="Segoe UI"/>
          <w:color w:val="1A1A1A"/>
          <w:sz w:val="22"/>
          <w:szCs w:val="22"/>
        </w:rPr>
        <w:t>Estructura del código</w:t>
      </w:r>
      <w:r>
        <w:rPr>
          <w:rFonts w:ascii="Segoe UI" w:hAnsi="Segoe UI" w:cs="Segoe UI"/>
          <w:color w:val="1A1A1A"/>
          <w:sz w:val="22"/>
          <w:szCs w:val="22"/>
        </w:rPr>
        <w:t xml:space="preserve"> (detalle completo en el Anexo B): rutas HTTP delgadas en </w:t>
      </w:r>
      <w:r>
        <w:rPr>
          <w:rStyle w:val="CdigoHTML"/>
        </w:rPr>
        <w:t>app/api/**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</w:rPr>
        <w:t>→ lógica de negocio en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Style w:val="CdigoHTML"/>
        </w:rPr>
        <w:t>lib/server/&lt;dominio&gt;/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</w:rPr>
        <w:t>→ acceso a datos únicamente vía</w:t>
      </w:r>
      <w:r>
        <w:rPr>
          <w:rFonts w:ascii="Segoe UI" w:hAnsi="Segoe UI" w:cs="Segoe UI"/>
          <w:color w:val="1A1A1A"/>
          <w:sz w:val="22"/>
          <w:szCs w:val="22"/>
        </w:rPr>
        <w:t xml:space="preserve"> Prisma (</w:t>
      </w:r>
      <w:r>
        <w:rPr>
          <w:rStyle w:val="CdigoHTML"/>
        </w:rPr>
        <w:t>lib/prisma.ts</w:t>
      </w:r>
      <w:r>
        <w:rPr>
          <w:rFonts w:ascii="Segoe UI" w:hAnsi="Segoe UI" w:cs="Segoe UI"/>
          <w:color w:val="1A1A1A"/>
          <w:sz w:val="22"/>
          <w:szCs w:val="22"/>
        </w:rPr>
        <w:t xml:space="preserve">). Frontend en </w:t>
      </w:r>
      <w:r>
        <w:rPr>
          <w:rStyle w:val="CdigoHTML"/>
        </w:rPr>
        <w:t>app/</w:t>
      </w:r>
      <w:r>
        <w:rPr>
          <w:rFonts w:ascii="Segoe UI" w:hAnsi="Segoe UI" w:cs="Segoe UI"/>
          <w:color w:val="1A1A1A"/>
          <w:sz w:val="22"/>
          <w:szCs w:val="22"/>
        </w:rPr>
        <w:t xml:space="preserve">, </w:t>
      </w:r>
      <w:r>
        <w:rPr>
          <w:rStyle w:val="CdigoHTML"/>
        </w:rPr>
        <w:t>components/</w:t>
      </w:r>
      <w:r>
        <w:rPr>
          <w:rFonts w:ascii="Segoe UI" w:hAnsi="Segoe UI" w:cs="Segoe UI"/>
          <w:color w:val="1A1A1A"/>
          <w:sz w:val="22"/>
          <w:szCs w:val="22"/>
        </w:rPr>
        <w:t xml:space="preserve">, </w:t>
      </w:r>
      <w:r>
        <w:rPr>
          <w:rStyle w:val="CdigoHTML"/>
        </w:rPr>
        <w:t>hooks/</w:t>
      </w:r>
      <w:r>
        <w:rPr>
          <w:rFonts w:ascii="Segoe UI" w:hAnsi="Segoe UI" w:cs="Segoe UI"/>
          <w:color w:val="1A1A1A"/>
          <w:sz w:val="22"/>
          <w:szCs w:val="22"/>
        </w:rPr>
        <w:t xml:space="preserve"> y </w:t>
      </w:r>
      <w:r>
        <w:rPr>
          <w:rStyle w:val="CdigoHTML"/>
        </w:rPr>
        <w:t>stores/</w:t>
      </w:r>
      <w:r>
        <w:rPr>
          <w:rFonts w:ascii="Segoe UI" w:hAnsi="Segoe UI" w:cs="Segoe UI"/>
          <w:color w:val="1A1A1A"/>
          <w:sz w:val="22"/>
          <w:szCs w:val="22"/>
        </w:rPr>
        <w:t>.</w:t>
      </w:r>
    </w:p>
    <w:p w14:paraId="4F840A66" w14:textId="77777777" w:rsidR="001C736C" w:rsidRDefault="001C736C">
      <w:pPr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4D77336C">
          <v:rect id="_x0000_i1028" style="width:0;height:1.5pt" o:hralign="center" o:hrstd="t" o:hr="t" fillcolor="#a0a0a0" stroked="f"/>
        </w:pict>
      </w:r>
    </w:p>
    <w:p w14:paraId="178FBCF4" w14:textId="77777777" w:rsidR="001C736C" w:rsidRDefault="001C736C">
      <w:pPr>
        <w:pStyle w:val="Ttulo2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  <w:color w:val="1A1A1A"/>
        </w:rPr>
        <w:t>4. Entregables</w:t>
      </w:r>
    </w:p>
    <w:p w14:paraId="0050A493" w14:textId="77777777" w:rsidR="001C736C" w:rsidRDefault="001C736C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Código fuente completo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en el repositorio Git, con historial de cambios.</w:t>
      </w:r>
    </w:p>
    <w:p w14:paraId="30C65D44" w14:textId="77777777" w:rsidR="001C736C" w:rsidRDefault="001C736C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Esquema de base de datos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</w:t>
      </w:r>
      <w:r>
        <w:rPr>
          <w:rStyle w:val="CdigoHTML"/>
        </w:rPr>
        <w:t>prisma/schema.prisma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 y migraciones (</w:t>
      </w:r>
      <w:r>
        <w:rPr>
          <w:rStyle w:val="CdigoHTML"/>
        </w:rPr>
        <w:t>prisma/migrations/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), más datos semilla (</w:t>
      </w:r>
      <w:r>
        <w:rPr>
          <w:rStyle w:val="CdigoHTML"/>
        </w:rPr>
        <w:t>prisma/seed.ts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).</w:t>
      </w:r>
    </w:p>
    <w:p w14:paraId="44F4C695" w14:textId="77777777" w:rsidR="001C736C" w:rsidRDefault="001C736C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Documentación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: esta acta y los anexos A, B y C (carpeta </w:t>
      </w:r>
      <w:r>
        <w:rPr>
          <w:rStyle w:val="CdigoHTML"/>
        </w:rPr>
        <w:t>docs/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).</w:t>
      </w:r>
    </w:p>
    <w:p w14:paraId="7D7311ED" w14:textId="77777777" w:rsidR="001C736C" w:rsidRDefault="001C736C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Scripts de operación</w:t>
      </w:r>
      <w:r>
        <w:rPr>
          <w:rFonts w:ascii="Segoe UI" w:eastAsia="Times New Roman" w:hAnsi="Segoe UI" w:cs="Segoe UI"/>
          <w:color w:val="1A1A1A"/>
          <w:sz w:val="22"/>
          <w:szCs w:val="22"/>
        </w:rPr>
        <w:t>: respaldo (</w:t>
      </w:r>
      <w:r>
        <w:rPr>
          <w:rStyle w:val="CdigoHTML"/>
        </w:rPr>
        <w:t>scripts/db-backup.mjs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) y utilidades de 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mantenimiento (carpeta </w:t>
      </w:r>
      <w:r>
        <w:rPr>
          <w:rStyle w:val="CdigoHTML"/>
        </w:rPr>
        <w:t>scripts/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).</w:t>
      </w:r>
    </w:p>
    <w:p w14:paraId="42839C18" w14:textId="77777777" w:rsidR="001C736C" w:rsidRDefault="001C736C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Credenciales y secretos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(URL de base de datos, secreto JWT, tokens de servicios): se entregan </w:t>
      </w: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por canal seguro separado</w:t>
      </w:r>
      <w:r>
        <w:rPr>
          <w:rFonts w:ascii="Segoe UI" w:eastAsia="Times New Roman" w:hAnsi="Segoe UI" w:cs="Segoe UI"/>
          <w:color w:val="1A1A1A"/>
          <w:sz w:val="22"/>
          <w:szCs w:val="22"/>
        </w:rPr>
        <w:t>, nunca dentro del repositorio.</w:t>
      </w:r>
    </w:p>
    <w:p w14:paraId="4E082D3E" w14:textId="77777777" w:rsidR="001C736C" w:rsidRDefault="001C736C">
      <w:pPr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70FC9EAF">
          <v:rect id="_x0000_i1029" style="width:0;height:1.5pt" o:hralign="center" o:hrstd="t" o:hr="t" fillcolor="#a0a0a0" stroked="f"/>
        </w:pict>
      </w:r>
    </w:p>
    <w:p w14:paraId="2ABC8C46" w14:textId="77777777" w:rsidR="001C736C" w:rsidRDefault="001C736C">
      <w:pPr>
        <w:pStyle w:val="Ttulo2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  <w:color w:val="1A1A1A"/>
        </w:rPr>
        <w:t>5. Despliegue y operación</w:t>
      </w:r>
    </w:p>
    <w:p w14:paraId="1E5E30B9" w14:textId="77777777" w:rsidR="001C736C" w:rsidRDefault="001C736C">
      <w:pPr>
        <w:pStyle w:val="Ttulo3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  <w:color w:val="1A1A1A"/>
        </w:rPr>
        <w:t>5.1 Infraestructura actual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6245"/>
      </w:tblGrid>
      <w:tr w:rsidR="00000000" w14:paraId="13CE7D0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8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E7FF423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Pieza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8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DC5AEC5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Dónde</w:t>
            </w:r>
          </w:p>
        </w:tc>
      </w:tr>
      <w:tr w:rsidR="00000000" w14:paraId="72C594B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3A0527B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Aplicación web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8893510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Vercel (build automático desde la rama </w:t>
            </w:r>
            <w:r>
              <w:rPr>
                <w:rStyle w:val="CdigoHTML"/>
              </w:rPr>
              <w:t>main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)</w:t>
            </w:r>
          </w:p>
        </w:tc>
      </w:tr>
      <w:tr w:rsidR="00000000" w14:paraId="3219ECF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0E7B5AF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431B5D7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PostgreSQL autoalojado en VPS, gestionado con Dokploy</w:t>
            </w:r>
          </w:p>
        </w:tc>
      </w:tr>
      <w:tr w:rsidR="00000000" w14:paraId="07EEF47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7A3D2DD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Imágenes de productos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2DD1EAF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Vercel Blob</w:t>
            </w:r>
          </w:p>
        </w:tc>
      </w:tr>
    </w:tbl>
    <w:p w14:paraId="752571B6" w14:textId="77777777" w:rsidR="001C736C" w:rsidRDefault="001C736C">
      <w:pPr>
        <w:pStyle w:val="Ttulo3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  <w:color w:val="1A1A1A"/>
        </w:rPr>
        <w:t>5.2 Variables de entorno requeridas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7"/>
        <w:gridCol w:w="4633"/>
      </w:tblGrid>
      <w:tr w:rsidR="00000000" w14:paraId="5D92EDC1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8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8885651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8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1643D5C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Uso</w:t>
            </w:r>
          </w:p>
        </w:tc>
      </w:tr>
      <w:tr w:rsidR="00000000" w14:paraId="1B189B8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8B7DE33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CdigoHTML"/>
              </w:rPr>
              <w:t>DATABASE_URL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0D4499A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Conexión a PostgreSQL</w:t>
            </w:r>
          </w:p>
        </w:tc>
      </w:tr>
      <w:tr w:rsidR="00000000" w14:paraId="6F7059B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A14146A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CdigoHTML"/>
              </w:rPr>
              <w:t>DIRECT_URL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F5FF616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Conexión directa (migraciones)</w:t>
            </w:r>
          </w:p>
        </w:tc>
      </w:tr>
      <w:tr w:rsidR="00000000" w14:paraId="516524C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42EDCBB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CdigoHTML"/>
              </w:rPr>
              <w:t>SECRET_JWT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4D6D98F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Firma de tokens de sesión</w:t>
            </w:r>
          </w:p>
        </w:tc>
      </w:tr>
      <w:tr w:rsidR="00000000" w14:paraId="7F08213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041D538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CdigoHTML"/>
              </w:rPr>
              <w:t>SALT_ROUNDS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89D8BC6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Rondas de cifrado bcrypt</w:t>
            </w:r>
          </w:p>
        </w:tc>
      </w:tr>
      <w:tr w:rsidR="00000000" w14:paraId="24BB085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5F01A17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CdigoHTML"/>
              </w:rPr>
              <w:t>BLOB_READ_WRITE_TOKEN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725EB27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Vercel Blob (imágenes)</w:t>
            </w:r>
          </w:p>
        </w:tc>
      </w:tr>
      <w:tr w:rsidR="00000000" w14:paraId="512FC9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63ADA67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CdigoHTML"/>
              </w:rPr>
              <w:t>NEXT_PUBLIC_APP_URL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AD96621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URL pública de la aplicación</w:t>
            </w:r>
          </w:p>
        </w:tc>
      </w:tr>
      <w:tr w:rsidR="00000000" w14:paraId="688C3F8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1436887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CdigoHTML"/>
              </w:rPr>
              <w:t>RESEND_API_KEY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CdigoHTML"/>
              </w:rPr>
              <w:t>RESEND_FROM_EMAIL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20DDAB7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Envío de correos</w:t>
            </w:r>
          </w:p>
        </w:tc>
      </w:tr>
      <w:tr w:rsidR="00000000" w14:paraId="61FEA3C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76DD57D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CdigoHTML"/>
              </w:rPr>
              <w:t>WHATSAPP_TOKEN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CdigoHTML"/>
              </w:rPr>
              <w:t>WHATSAPP_PHONE_ID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BA41D22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Alertas WhatsApp (al activar proveedor real)</w:t>
            </w:r>
          </w:p>
        </w:tc>
      </w:tr>
    </w:tbl>
    <w:p w14:paraId="00DED275" w14:textId="77777777" w:rsidR="001C736C" w:rsidRDefault="001C736C">
      <w:pPr>
        <w:pStyle w:val="Ttulo3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  <w:color w:val="1A1A1A"/>
        </w:rPr>
        <w:t>5.3 Comandos principales</w:t>
      </w:r>
    </w:p>
    <w:p w14:paraId="7F3C83F4" w14:textId="77777777" w:rsidR="001C736C" w:rsidRDefault="001C736C">
      <w:pPr>
        <w:pStyle w:val="HTMLconformatoprevio"/>
        <w:rPr>
          <w:color w:val="B5300B"/>
          <w:sz w:val="19"/>
          <w:szCs w:val="19"/>
          <w:bdr w:val="none" w:sz="0" w:space="0" w:color="auto" w:frame="1"/>
          <w:shd w:val="clear" w:color="auto" w:fill="F7F7F8"/>
        </w:rPr>
      </w:pPr>
      <w:r>
        <w:rPr>
          <w:color w:val="B5300B"/>
          <w:sz w:val="19"/>
          <w:szCs w:val="19"/>
          <w:bdr w:val="none" w:sz="0" w:space="0" w:color="auto" w:frame="1"/>
          <w:shd w:val="clear" w:color="auto" w:fill="F7F7F8"/>
        </w:rPr>
        <w:t>npm install            # instalar dependencias</w:t>
      </w:r>
    </w:p>
    <w:p w14:paraId="4F9F2359" w14:textId="77777777" w:rsidR="001C736C" w:rsidRDefault="001C736C">
      <w:pPr>
        <w:pStyle w:val="HTMLconformatoprevio"/>
        <w:rPr>
          <w:color w:val="B5300B"/>
          <w:sz w:val="19"/>
          <w:szCs w:val="19"/>
          <w:bdr w:val="none" w:sz="0" w:space="0" w:color="auto" w:frame="1"/>
          <w:shd w:val="clear" w:color="auto" w:fill="F7F7F8"/>
        </w:rPr>
      </w:pPr>
      <w:r>
        <w:rPr>
          <w:color w:val="B5300B"/>
          <w:sz w:val="19"/>
          <w:szCs w:val="19"/>
          <w:bdr w:val="none" w:sz="0" w:space="0" w:color="auto" w:frame="1"/>
          <w:shd w:val="clear" w:color="auto" w:fill="F7F7F8"/>
        </w:rPr>
        <w:t>npm run dev            # desarrollo (usa la BD configurada en .env)</w:t>
      </w:r>
    </w:p>
    <w:p w14:paraId="271BEE84" w14:textId="77777777" w:rsidR="001C736C" w:rsidRDefault="001C736C">
      <w:pPr>
        <w:pStyle w:val="HTMLconformatoprevio"/>
        <w:rPr>
          <w:color w:val="B5300B"/>
          <w:sz w:val="19"/>
          <w:szCs w:val="19"/>
          <w:bdr w:val="none" w:sz="0" w:space="0" w:color="auto" w:frame="1"/>
          <w:shd w:val="clear" w:color="auto" w:fill="F7F7F8"/>
        </w:rPr>
      </w:pPr>
      <w:r>
        <w:rPr>
          <w:color w:val="B5300B"/>
          <w:sz w:val="19"/>
          <w:szCs w:val="19"/>
          <w:bdr w:val="none" w:sz="0" w:space="0" w:color="auto" w:frame="1"/>
          <w:shd w:val="clear" w:color="auto" w:fill="F7F7F8"/>
        </w:rPr>
        <w:t>npm run build          # build de producción</w:t>
      </w:r>
    </w:p>
    <w:p w14:paraId="759A07FB" w14:textId="77777777" w:rsidR="001C736C" w:rsidRDefault="001C736C">
      <w:pPr>
        <w:pStyle w:val="HTMLconformatoprevio"/>
        <w:rPr>
          <w:color w:val="B5300B"/>
          <w:sz w:val="19"/>
          <w:szCs w:val="19"/>
          <w:bdr w:val="none" w:sz="0" w:space="0" w:color="auto" w:frame="1"/>
          <w:shd w:val="clear" w:color="auto" w:fill="F7F7F8"/>
        </w:rPr>
      </w:pPr>
      <w:r>
        <w:rPr>
          <w:color w:val="B5300B"/>
          <w:sz w:val="19"/>
          <w:szCs w:val="19"/>
          <w:bdr w:val="none" w:sz="0" w:space="0" w:color="auto" w:frame="1"/>
          <w:shd w:val="clear" w:color="auto" w:fill="F7F7F8"/>
        </w:rPr>
        <w:t>npm start              # servir el build</w:t>
      </w:r>
    </w:p>
    <w:p w14:paraId="313113B5" w14:textId="77777777" w:rsidR="001C736C" w:rsidRDefault="001C736C">
      <w:pPr>
        <w:pStyle w:val="HTMLconformatoprevio"/>
        <w:rPr>
          <w:color w:val="B5300B"/>
          <w:sz w:val="19"/>
          <w:szCs w:val="19"/>
          <w:bdr w:val="none" w:sz="0" w:space="0" w:color="auto" w:frame="1"/>
          <w:shd w:val="clear" w:color="auto" w:fill="F7F7F8"/>
        </w:rPr>
      </w:pPr>
      <w:r>
        <w:rPr>
          <w:color w:val="B5300B"/>
          <w:sz w:val="19"/>
          <w:szCs w:val="19"/>
          <w:bdr w:val="none" w:sz="0" w:space="0" w:color="auto" w:frame="1"/>
          <w:shd w:val="clear" w:color="auto" w:fill="F7F7F8"/>
        </w:rPr>
        <w:t>npm test               # suite de tests (BD local desechable en Docker)</w:t>
      </w:r>
    </w:p>
    <w:p w14:paraId="42CDD368" w14:textId="77777777" w:rsidR="001C736C" w:rsidRDefault="001C736C">
      <w:pPr>
        <w:pStyle w:val="HTMLconformatoprevio"/>
        <w:rPr>
          <w:color w:val="B5300B"/>
          <w:sz w:val="19"/>
          <w:szCs w:val="19"/>
          <w:bdr w:val="none" w:sz="0" w:space="0" w:color="auto" w:frame="1"/>
          <w:shd w:val="clear" w:color="auto" w:fill="F7F7F8"/>
        </w:rPr>
      </w:pPr>
      <w:r>
        <w:rPr>
          <w:color w:val="B5300B"/>
          <w:sz w:val="19"/>
          <w:szCs w:val="19"/>
          <w:bdr w:val="none" w:sz="0" w:space="0" w:color="auto" w:frame="1"/>
          <w:shd w:val="clear" w:color="auto" w:fill="F7F7F8"/>
        </w:rPr>
        <w:t>npm run electron:build # empaquetar app de escritorio para Windows</w:t>
      </w:r>
    </w:p>
    <w:p w14:paraId="6D340FA6" w14:textId="77777777" w:rsidR="001C736C" w:rsidRDefault="001C736C">
      <w:pPr>
        <w:pStyle w:val="Ttulo3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  <w:color w:val="1A1A1A"/>
        </w:rPr>
        <w:t>5.4 Entorno local de pruebas (sandbox)</w:t>
      </w:r>
    </w:p>
    <w:p w14:paraId="01494F77" w14:textId="77777777" w:rsidR="001C736C" w:rsidRDefault="001C736C">
      <w:pPr>
        <w:pStyle w:val="HTMLconformatoprevio"/>
        <w:rPr>
          <w:color w:val="B5300B"/>
          <w:sz w:val="19"/>
          <w:szCs w:val="19"/>
          <w:bdr w:val="none" w:sz="0" w:space="0" w:color="auto" w:frame="1"/>
          <w:shd w:val="clear" w:color="auto" w:fill="F7F7F8"/>
        </w:rPr>
      </w:pPr>
      <w:r>
        <w:rPr>
          <w:color w:val="B5300B"/>
          <w:sz w:val="19"/>
          <w:szCs w:val="19"/>
          <w:bdr w:val="none" w:sz="0" w:space="0" w:color="auto" w:frame="1"/>
          <w:shd w:val="clear" w:color="auto" w:fill="F7F7F8"/>
        </w:rPr>
        <w:t>docker compose up -d   # PostgreSQL local (puerto 5435)</w:t>
      </w:r>
    </w:p>
    <w:p w14:paraId="747A3AF4" w14:textId="77777777" w:rsidR="001C736C" w:rsidRDefault="001C736C">
      <w:pPr>
        <w:pStyle w:val="HTMLconformatoprevio"/>
        <w:rPr>
          <w:color w:val="B5300B"/>
          <w:sz w:val="19"/>
          <w:szCs w:val="19"/>
          <w:bdr w:val="none" w:sz="0" w:space="0" w:color="auto" w:frame="1"/>
          <w:shd w:val="clear" w:color="auto" w:fill="F7F7F8"/>
        </w:rPr>
      </w:pPr>
      <w:r>
        <w:rPr>
          <w:color w:val="B5300B"/>
          <w:sz w:val="19"/>
          <w:szCs w:val="19"/>
          <w:bdr w:val="none" w:sz="0" w:space="0" w:color="auto" w:frame="1"/>
          <w:shd w:val="clear" w:color="auto" w:fill="F7F7F8"/>
        </w:rPr>
        <w:t>npm run db:local       # estructura + datos semilla</w:t>
      </w:r>
    </w:p>
    <w:p w14:paraId="1034A1B9" w14:textId="77777777" w:rsidR="001C736C" w:rsidRDefault="001C736C">
      <w:pPr>
        <w:pStyle w:val="HTMLconformatoprevio"/>
        <w:rPr>
          <w:color w:val="B5300B"/>
          <w:sz w:val="19"/>
          <w:szCs w:val="19"/>
          <w:bdr w:val="none" w:sz="0" w:space="0" w:color="auto" w:frame="1"/>
          <w:shd w:val="clear" w:color="auto" w:fill="F7F7F8"/>
        </w:rPr>
      </w:pPr>
      <w:r>
        <w:rPr>
          <w:color w:val="B5300B"/>
          <w:sz w:val="19"/>
          <w:szCs w:val="19"/>
          <w:bdr w:val="none" w:sz="0" w:space="0" w:color="auto" w:frame="1"/>
          <w:shd w:val="clear" w:color="auto" w:fill="F7F7F8"/>
        </w:rPr>
        <w:t>npm run dev:local      # desarrollo contra la BD local</w:t>
      </w:r>
    </w:p>
    <w:p w14:paraId="4E2CF79E" w14:textId="77777777" w:rsidR="001C736C" w:rsidRDefault="001C736C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El sandbox permite probar libremente sin afectar datos reales.</w:t>
      </w:r>
    </w:p>
    <w:p w14:paraId="2E245831" w14:textId="77777777" w:rsidR="001C736C" w:rsidRDefault="001C736C">
      <w:pPr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2660815C">
          <v:rect id="_x0000_i1030" style="width:0;height:1.5pt" o:hralign="center" o:hrstd="t" o:hr="t" fillcolor="#a0a0a0" stroked="f"/>
        </w:pict>
      </w:r>
    </w:p>
    <w:p w14:paraId="435829F1" w14:textId="77777777" w:rsidR="001C736C" w:rsidRDefault="001C736C">
      <w:pPr>
        <w:pStyle w:val="Ttulo2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  <w:color w:val="1A1A1A"/>
        </w:rPr>
        <w:t>6. Mantenimiento</w:t>
      </w:r>
    </w:p>
    <w:p w14:paraId="284DC9BC" w14:textId="77777777" w:rsidR="001C736C" w:rsidRDefault="001C736C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Cambios de esquema de BD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(flujo estándar; el historial de migraciones está verificado y al día con producción): editar </w:t>
      </w:r>
      <w:r>
        <w:rPr>
          <w:rStyle w:val="CdigoHTML"/>
        </w:rPr>
        <w:t>prisma/schema.prisma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</w:rPr>
        <w:t>→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CdigoHTML"/>
        </w:rPr>
        <w:t>npm run db:migrate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(genera y aplica la migración </w:t>
      </w: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en el sandbox local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 →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</w:rPr>
        <w:t>revisar el SQL generado → aprobar el cambio →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CdigoHTML"/>
        </w:rPr>
        <w:t>npm run db:deploy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</w:t>
      </w:r>
      <w:r>
        <w:rPr>
          <w:rStyle w:val="CdigoHTML"/>
        </w:rPr>
        <w:t>prisma migrate deploy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) contra producción como paso de release. </w:t>
      </w: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Nunca usar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Style w:val="CdigoHTML"/>
        </w:rPr>
        <w:t>prisma migrate dev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ni </w:t>
      </w:r>
      <w:r>
        <w:rPr>
          <w:rStyle w:val="CdigoHTML"/>
        </w:rPr>
        <w:t>prisma db push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contra la base de producción, y el build de despliegue no debe tocar la base de datos.</w:t>
      </w:r>
    </w:p>
    <w:p w14:paraId="4B40FA34" w14:textId="77777777" w:rsidR="001C736C" w:rsidRDefault="001C736C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Respaldos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: ejecutar </w:t>
      </w:r>
      <w:r>
        <w:rPr>
          <w:rStyle w:val="CdigoHTML"/>
        </w:rPr>
        <w:t>scripts/db-backup.mjs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de forma periódica y conservar los archivos fuera del repositorio.</w:t>
      </w:r>
    </w:p>
    <w:p w14:paraId="16CB6C9E" w14:textId="77777777" w:rsidR="001C736C" w:rsidRDefault="001C736C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Calidad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: antes de publicar cambios, </w:t>
      </w:r>
      <w:r>
        <w:rPr>
          <w:rStyle w:val="CdigoHTML"/>
        </w:rPr>
        <w:t>npx tsc --noEmit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y </w:t>
      </w:r>
      <w:r>
        <w:rPr>
          <w:rStyle w:val="CdigoHTML"/>
        </w:rPr>
        <w:t>npm test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deben pasar en verde. Toda corrección de bug debe incluir un test que lo reproduzca.</w:t>
      </w:r>
    </w:p>
    <w:p w14:paraId="1512A711" w14:textId="77777777" w:rsidR="001C736C" w:rsidRDefault="001C736C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Usuarios iniciales</w:t>
      </w:r>
      <w:r>
        <w:rPr>
          <w:rFonts w:ascii="Segoe UI" w:eastAsia="Times New Roman" w:hAnsi="Segoe UI" w:cs="Segoe UI"/>
          <w:color w:val="1A1A1A"/>
          <w:sz w:val="22"/>
          <w:szCs w:val="22"/>
        </w:rPr>
        <w:t>: el seed (</w:t>
      </w:r>
      <w:r>
        <w:rPr>
          <w:rStyle w:val="CdigoHTML"/>
        </w:rPr>
        <w:t>prisma/seed.ts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 crea los usuarios base (administrador y cajero); las credenciales se entregan por canal seguro y deben cambiarse en el primer inicio de sesión.</w:t>
      </w:r>
    </w:p>
    <w:p w14:paraId="079FFD76" w14:textId="77777777" w:rsidR="001C736C" w:rsidRDefault="001C736C">
      <w:pPr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5F4F5B8B">
          <v:rect id="_x0000_i1031" style="width:0;height:1.5pt" o:hralign="center" o:hrstd="t" o:hr="t" fillcolor="#a0a0a0" stroked="f"/>
        </w:pict>
      </w:r>
    </w:p>
    <w:p w14:paraId="1FCB59E2" w14:textId="77777777" w:rsidR="001C736C" w:rsidRDefault="001C736C">
      <w:pPr>
        <w:pStyle w:val="Ttulo2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  <w:color w:val="1A1A1A"/>
        </w:rPr>
        <w:t>7. Mantenimiento y soporte posterior a la entrega</w:t>
      </w:r>
    </w:p>
    <w:p w14:paraId="5743E78D" w14:textId="77777777" w:rsidR="001C736C" w:rsidRDefault="001C736C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Periodo de garantía y mantenimiento sin costo: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durante los </w:t>
      </w: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60 días calendario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posteriores a la firma de esta acta, el equipo de desarrollo brindará mantenimiento </w:t>
      </w: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gratuito</w:t>
      </w:r>
      <w:r>
        <w:rPr>
          <w:rFonts w:ascii="Segoe UI" w:eastAsia="Times New Roman" w:hAnsi="Segoe UI" w:cs="Segoe UI"/>
          <w:color w:val="1A1A1A"/>
          <w:sz w:val="22"/>
          <w:szCs w:val="22"/>
        </w:rPr>
        <w:t>: corrección de errores, ajustes menores y soporte sobre la operación del sistema.</w:t>
      </w:r>
    </w:p>
    <w:p w14:paraId="6316EBC1" w14:textId="77777777" w:rsidR="001C736C" w:rsidRDefault="001C736C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Mantenimiento continuo: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finalizado el periodo gratuito, el servicio de mantenimiento tendrá un costo de </w:t>
      </w: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Bs. 200 (doscientos bolivianos) mensuales</w:t>
      </w:r>
      <w:r>
        <w:rPr>
          <w:rFonts w:ascii="Segoe UI" w:eastAsia="Times New Roman" w:hAnsi="Segoe UI" w:cs="Segoe UI"/>
          <w:color w:val="1A1A1A"/>
          <w:sz w:val="22"/>
          <w:szCs w:val="22"/>
        </w:rPr>
        <w:t>, que cubre corrección de errores, monitoreo del despliegue y soporte operativo.</w:t>
      </w:r>
    </w:p>
    <w:p w14:paraId="015F3BA9" w14:textId="77777777" w:rsidR="001C736C" w:rsidRDefault="001C736C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Los desarrollos de </w:t>
      </w:r>
      <w:r>
        <w:rPr>
          <w:rStyle w:val="Fuerte"/>
          <w:rFonts w:ascii="Segoe UI" w:eastAsia="Times New Roman" w:hAnsi="Segoe UI" w:cs="Segoe UI"/>
          <w:color w:val="1A1A1A"/>
          <w:sz w:val="22"/>
          <w:szCs w:val="22"/>
        </w:rPr>
        <w:t>nuevas funcionalidades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no están incluidos en el mantenimiento y se cotizan por separado, previo acuerdo entre las partes.</w:t>
      </w:r>
    </w:p>
    <w:p w14:paraId="3D806F21" w14:textId="77777777" w:rsidR="001C736C" w:rsidRDefault="001C736C">
      <w:pPr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0277DB63">
          <v:rect id="_x0000_i1032" style="width:0;height:1.5pt" o:hralign="center" o:hrstd="t" o:hr="t" fillcolor="#a0a0a0" stroked="f"/>
        </w:pict>
      </w:r>
    </w:p>
    <w:p w14:paraId="03340954" w14:textId="77777777" w:rsidR="001C736C" w:rsidRDefault="001C736C">
      <w:pPr>
        <w:pStyle w:val="Ttulo2"/>
        <w:rPr>
          <w:rFonts w:ascii="Segoe UI" w:eastAsia="Times New Roman" w:hAnsi="Segoe UI" w:cs="Segoe UI"/>
          <w:color w:val="1A1A1A"/>
        </w:rPr>
      </w:pPr>
      <w:r>
        <w:rPr>
          <w:rFonts w:ascii="Segoe UI" w:eastAsia="Times New Roman" w:hAnsi="Segoe UI" w:cs="Segoe UI"/>
          <w:color w:val="1A1A1A"/>
        </w:rPr>
        <w:t>8. Aceptación</w:t>
      </w:r>
    </w:p>
    <w:p w14:paraId="7E568D44" w14:textId="77777777" w:rsidR="001C736C" w:rsidRDefault="001C736C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Con la firma de la presente acta, el cliente declara haber recibido el código fuente, la documentación y los accesos descritos, y que el sistema entregado cumple el alcance detallado en la sección 2.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3193"/>
        <w:gridCol w:w="4280"/>
      </w:tblGrid>
      <w:tr w:rsidR="00000000" w14:paraId="6D44E102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8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9765AEC" w14:textId="77777777" w:rsidR="001C736C" w:rsidRDefault="001C736C">
            <w:pPr>
              <w:rPr>
                <w:rFonts w:ascii="Segoe UI" w:hAnsi="Segoe UI" w:cs="Segoe UI"/>
                <w:color w:val="1A1A1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8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C8AEBD3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color w:val="1A1A1A"/>
                <w:sz w:val="19"/>
                <w:szCs w:val="19"/>
              </w:rPr>
              <w:t>Por el cliente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8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885BA31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Style w:val="Fuerte"/>
                <w:rFonts w:ascii="Segoe UI" w:eastAsia="Times New Roman" w:hAnsi="Segoe UI" w:cs="Segoe UI"/>
                <w:color w:val="1A1A1A"/>
                <w:sz w:val="19"/>
                <w:szCs w:val="19"/>
              </w:rPr>
              <w:t>Por el equipo de desarrollo</w:t>
            </w:r>
          </w:p>
        </w:tc>
      </w:tr>
      <w:tr w:rsidR="00000000" w14:paraId="2985A02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679098F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C7061ED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______________________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E69BD08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______________________</w:t>
            </w:r>
          </w:p>
        </w:tc>
      </w:tr>
      <w:tr w:rsidR="00000000" w14:paraId="5D0B3E5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65E574F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Cargo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C482253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______________________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659C5F0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______________________</w:t>
            </w:r>
          </w:p>
        </w:tc>
      </w:tr>
      <w:tr w:rsidR="00000000" w14:paraId="445FB3C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36435C7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Firma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66FCB6B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______________________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9DB7D39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______________________</w:t>
            </w:r>
          </w:p>
        </w:tc>
      </w:tr>
      <w:tr w:rsidR="00000000" w14:paraId="2D9D0B1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6807205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Fecha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8A30169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______________________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079D996" w14:textId="77777777" w:rsidR="001C736C" w:rsidRDefault="001C736C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______________________</w:t>
            </w:r>
          </w:p>
        </w:tc>
      </w:tr>
    </w:tbl>
    <w:p w14:paraId="7CBE27CC" w14:textId="77777777" w:rsidR="001C736C" w:rsidRDefault="001C736C">
      <w:pPr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4B280A0E">
          <v:rect id="_x0000_i1033" style="width:0;height:1.5pt" o:hralign="center" o:hrstd="t" o:hr="t" fillcolor="#a0a0a0" stroked="f"/>
        </w:pict>
      </w:r>
    </w:p>
    <w:p w14:paraId="2609A5C9" w14:textId="77777777" w:rsidR="001C736C" w:rsidRDefault="001C736C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nfasis"/>
          <w:rFonts w:ascii="Segoe UI" w:hAnsi="Segoe UI" w:cs="Segoe UI"/>
          <w:color w:val="1A1A1A"/>
          <w:sz w:val="22"/>
          <w:szCs w:val="22"/>
        </w:rPr>
        <w:t>Elevate — Acta de Entrega de Software · Julio 2026</w:t>
      </w:r>
    </w:p>
    <w:sectPr w:rsidR="001C7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0CD2"/>
    <w:multiLevelType w:val="multilevel"/>
    <w:tmpl w:val="0C7C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454F3"/>
    <w:multiLevelType w:val="multilevel"/>
    <w:tmpl w:val="8FCC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B359B"/>
    <w:multiLevelType w:val="multilevel"/>
    <w:tmpl w:val="8C40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E0D96"/>
    <w:multiLevelType w:val="multilevel"/>
    <w:tmpl w:val="F000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E4412"/>
    <w:multiLevelType w:val="multilevel"/>
    <w:tmpl w:val="368E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B975CF"/>
    <w:multiLevelType w:val="multilevel"/>
    <w:tmpl w:val="A2A8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C16A6"/>
    <w:multiLevelType w:val="multilevel"/>
    <w:tmpl w:val="2CB8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8676E"/>
    <w:multiLevelType w:val="multilevel"/>
    <w:tmpl w:val="6280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758912">
    <w:abstractNumId w:val="6"/>
  </w:num>
  <w:num w:numId="2" w16cid:durableId="1453935517">
    <w:abstractNumId w:val="3"/>
  </w:num>
  <w:num w:numId="3" w16cid:durableId="2023895776">
    <w:abstractNumId w:val="0"/>
  </w:num>
  <w:num w:numId="4" w16cid:durableId="1788617297">
    <w:abstractNumId w:val="5"/>
  </w:num>
  <w:num w:numId="5" w16cid:durableId="377822246">
    <w:abstractNumId w:val="1"/>
  </w:num>
  <w:num w:numId="6" w16cid:durableId="1715154349">
    <w:abstractNumId w:val="4"/>
  </w:num>
  <w:num w:numId="7" w16cid:durableId="1035959099">
    <w:abstractNumId w:val="7"/>
  </w:num>
  <w:num w:numId="8" w16cid:durableId="1453397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80"/>
    <w:rsid w:val="001C736C"/>
    <w:rsid w:val="00B52180"/>
    <w:rsid w:val="00E1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552F8A"/>
  <w15:chartTrackingRefBased/>
  <w15:docId w15:val="{C13EA180-450A-4305-9080-ED9B48321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FF5C19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keepNext/>
      <w:pBdr>
        <w:bottom w:val="single" w:sz="12" w:space="5" w:color="FF5C19"/>
      </w:pBdr>
      <w:spacing w:before="450" w:after="150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keepNext/>
      <w:spacing w:before="300" w:after="90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pPr>
      <w:spacing w:before="210" w:after="60"/>
      <w:outlineLvl w:val="3"/>
    </w:pPr>
    <w:rPr>
      <w:b/>
      <w:bCs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color w:val="B5300B"/>
      <w:sz w:val="19"/>
      <w:szCs w:val="19"/>
      <w:bdr w:val="single" w:sz="6" w:space="1" w:color="DDDDDD" w:frame="1"/>
      <w:shd w:val="clear" w:color="auto" w:fill="F7F7F8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1E1E1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E8E8E8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1394</Words>
  <Characters>7668</Characters>
  <Application>Microsoft Office Word</Application>
  <DocSecurity>0</DocSecurity>
  <Lines>63</Lines>
  <Paragraphs>18</Paragraphs>
  <ScaleCrop>false</ScaleCrop>
  <Company/>
  <LinksUpToDate>false</LinksUpToDate>
  <CharactersWithSpaces>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Elevate — Acta de Entrega</dc:title>
  <dc:subject/>
  <dc:creator>JOSE ALFREDO ZAMBRANA CRUZ</dc:creator>
  <cp:keywords/>
  <dc:description/>
  <cp:lastModifiedBy>JOSE ALFREDO ZAMBRANA CRUZ</cp:lastModifiedBy>
  <cp:revision>2</cp:revision>
  <dcterms:created xsi:type="dcterms:W3CDTF">2026-07-23T15:09:00Z</dcterms:created>
  <dcterms:modified xsi:type="dcterms:W3CDTF">2026-07-23T15:09:00Z</dcterms:modified>
</cp:coreProperties>
</file>